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Новосибирской области от 05.09.2011 N 390-п</w:t>
              <w:br/>
              <w:t xml:space="preserve">(ред. от 16.07.2018)</w:t>
              <w:br/>
              <w:t xml:space="preserve">"Об утверждении порядка добычи объектов животного мира, не отнесенных к охотничьим ресурсам и водным биологическим ресурсам, на территории Новосибирской области"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29.09.2022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НОВОСИБИРСКОЙ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5 сентября 2011 г. N 390-п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 ДОБЫЧИ ОБЪЕКТОВ ЖИВОТНОГО МИРА,</w:t>
      </w:r>
    </w:p>
    <w:p>
      <w:pPr>
        <w:pStyle w:val="2"/>
        <w:jc w:val="center"/>
      </w:pPr>
      <w:r>
        <w:rPr>
          <w:sz w:val="20"/>
        </w:rPr>
        <w:t xml:space="preserve">НЕ ОТНЕСЕННЫХ К ОХОТНИЧЬИМ РЕСУРСАМ И ВОДНЫМ БИОЛОГИЧЕСКИМ</w:t>
      </w:r>
    </w:p>
    <w:p>
      <w:pPr>
        <w:pStyle w:val="2"/>
        <w:jc w:val="center"/>
      </w:pPr>
      <w:r>
        <w:rPr>
          <w:sz w:val="20"/>
        </w:rPr>
        <w:t xml:space="preserve">РЕСУРСАМ, НА ТЕРРИТОРИИ НОВОСИБИРСКОЙ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Новосибирской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28.10.2016 </w:t>
            </w:r>
            <w:hyperlink w:history="0" r:id="rId7" w:tooltip="Постановление Правительства Новосибирской области от 28.10.2016 N 349-п &quot;О внесении изменений в постановление Правительства Новосибирской области от 05.09.2011 N 390-п&quot; {КонсультантПлюс}">
              <w:r>
                <w:rPr>
                  <w:sz w:val="20"/>
                  <w:color w:val="0000ff"/>
                </w:rPr>
                <w:t xml:space="preserve">N 349-п</w:t>
              </w:r>
            </w:hyperlink>
            <w:r>
              <w:rPr>
                <w:sz w:val="20"/>
                <w:color w:val="392c69"/>
              </w:rPr>
              <w:t xml:space="preserve">, от 16.07.2018 </w:t>
            </w:r>
            <w:hyperlink w:history="0" r:id="rId8" w:tooltip="Постановление Правительства Новосибирской области от 16.07.2018 N 308-п &quot;О внесении изменений в постановление Правительства Новосибирской области от 05.09.2011 N 390-п&quot; {КонсультантПлюс}">
              <w:r>
                <w:rPr>
                  <w:sz w:val="20"/>
                  <w:color w:val="0000ff"/>
                </w:rPr>
                <w:t xml:space="preserve">N 308-п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9" w:tooltip="Федеральный закон от 24.04.1995 N 52-ФЗ (ред. от 11.06.2021) &quot;О животном мире&quot; (с изм. и доп., вступ. в силу с 01.08.2021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24.04.1995 N 52-ФЗ "О животном мире" Правительство Новосибирской области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0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добычи объектов животного мира, не отнесенных к охотничьим ресурсам и водным биологическим ресурсам, на территории Новосибирской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Контроль за исполнением настоящего постановления возложить на временно исполняющего обязанности первого заместителя Председателя Правительства Новосибирской области Знаткова В.М.</w:t>
      </w:r>
    </w:p>
    <w:p>
      <w:pPr>
        <w:pStyle w:val="0"/>
        <w:jc w:val="both"/>
      </w:pPr>
      <w:r>
        <w:rPr>
          <w:sz w:val="20"/>
        </w:rPr>
        <w:t xml:space="preserve">(п. 2 в ред. </w:t>
      </w:r>
      <w:hyperlink w:history="0" r:id="rId10" w:tooltip="Постановление Правительства Новосибирской области от 16.07.2018 N 308-п &quot;О внесении изменений в постановление Правительства Новосибирской области от 05.09.2011 N 390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Новосибирской области от 16.07.2018 N 308-п)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 Новосибирской области</w:t>
      </w:r>
    </w:p>
    <w:p>
      <w:pPr>
        <w:pStyle w:val="0"/>
        <w:jc w:val="right"/>
      </w:pPr>
      <w:r>
        <w:rPr>
          <w:sz w:val="20"/>
        </w:rPr>
        <w:t xml:space="preserve">В.А.ЮРЧЕНКО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 Новосибирской области</w:t>
      </w:r>
    </w:p>
    <w:p>
      <w:pPr>
        <w:pStyle w:val="0"/>
        <w:jc w:val="right"/>
      </w:pPr>
      <w:r>
        <w:rPr>
          <w:sz w:val="20"/>
        </w:rPr>
        <w:t xml:space="preserve">от 05.09.2011 N 390-п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0" w:name="P30"/>
    <w:bookmarkEnd w:id="30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ДОБЫЧИ ОБЪЕКТОВ ЖИВОТНОГО МИРА, НЕ ОТНЕСЕННЫХ</w:t>
      </w:r>
    </w:p>
    <w:p>
      <w:pPr>
        <w:pStyle w:val="2"/>
        <w:jc w:val="center"/>
      </w:pPr>
      <w:r>
        <w:rPr>
          <w:sz w:val="20"/>
        </w:rPr>
        <w:t xml:space="preserve">К ОХОТНИЧЬИМ РЕСУРСАМ И ВОДНЫМ БИОЛОГИЧЕСКИМ</w:t>
      </w:r>
    </w:p>
    <w:p>
      <w:pPr>
        <w:pStyle w:val="2"/>
        <w:jc w:val="center"/>
      </w:pPr>
      <w:r>
        <w:rPr>
          <w:sz w:val="20"/>
        </w:rPr>
        <w:t xml:space="preserve">РЕСУРСАМ, НА ТЕРРИТОРИИ НОВОСИБИРСКОЙ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Новосибирской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28.10.2016 </w:t>
            </w:r>
            <w:hyperlink w:history="0" r:id="rId11" w:tooltip="Постановление Правительства Новосибирской области от 28.10.2016 N 349-п &quot;О внесении изменений в постановление Правительства Новосибирской области от 05.09.2011 N 390-п&quot; {КонсультантПлюс}">
              <w:r>
                <w:rPr>
                  <w:sz w:val="20"/>
                  <w:color w:val="0000ff"/>
                </w:rPr>
                <w:t xml:space="preserve">N 349-п</w:t>
              </w:r>
            </w:hyperlink>
            <w:r>
              <w:rPr>
                <w:sz w:val="20"/>
                <w:color w:val="392c69"/>
              </w:rPr>
              <w:t xml:space="preserve">, от 16.07.2018 </w:t>
            </w:r>
            <w:hyperlink w:history="0" r:id="rId12" w:tooltip="Постановление Правительства Новосибирской области от 16.07.2018 N 308-п &quot;О внесении изменений в постановление Правительства Новосибирской области от 05.09.2011 N 390-п&quot; {КонсультантПлюс}">
              <w:r>
                <w:rPr>
                  <w:sz w:val="20"/>
                  <w:color w:val="0000ff"/>
                </w:rPr>
                <w:t xml:space="preserve">N 308-п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Порядок добычи объектов животного мира, не отнесенных к охотничьим ресурсам и водным биологическим ресурсам, на территории Новосибирской области (далее - Порядок) разработан в соответствии с Федеральным </w:t>
      </w:r>
      <w:hyperlink w:history="0" r:id="rId13" w:tooltip="Федеральный закон от 24.04.1995 N 52-ФЗ (ред. от 11.06.2021) &quot;О животном мире&quot; (с изм. и доп., вступ. в силу с 01.08.2021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24.04.1995 N 52-ФЗ "О животном мире".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Настоящий Порядок не распространяется на объекты животного мира: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занесенные в Красную книгу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обитающие на особо охраняемых природных территориях федерального значения;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отнесенные в установленном порядке к охотничьим ресурсам и водным биологическим ресурсам.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Добычей объектов животного мира, не отнесенных к охотничьим ресурсам и водным биологическим ресурсам (далее - объекты животного мира), признаются все виды деятельности, направленные на их изъятие из среды обитания с целью получения пользы от объектов животного мира для удовлетворения материальных или духовных потребностей человека.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Изъятие объектов животного мира из среды их обитания должно производиться в объемах и способами, не наносящими ущерба их воспроизводству и исключающими причинение вреда другим объектам животного мира и среде их обитания.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II. Порядок добычи объектов животного мира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Право на добычу объектов животного мира имеют граждане, индивидуальные предприниматели и юридические лица (далее - заявители).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Действие Порядка распространяется также на иностранных граждан, лиц без гражданства и иностранных юридических лиц, если иное не предусмотрено законодательством.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Добыча объектов животного мира осуществляется на основании </w:t>
      </w:r>
      <w:hyperlink w:history="0" w:anchor="P114" w:tooltip="                                РАЗРЕШЕНИЕ">
        <w:r>
          <w:rPr>
            <w:sz w:val="20"/>
            <w:color w:val="0000ff"/>
          </w:rPr>
          <w:t xml:space="preserve">разрешения</w:t>
        </w:r>
      </w:hyperlink>
      <w:r>
        <w:rPr>
          <w:sz w:val="20"/>
        </w:rPr>
        <w:t xml:space="preserve"> на добычу объектов животного мира (далее - разрешение), выдаваемого министерством природных ресурсов и экологии Новосибирской области (далее - уполномоченный орган) по форме согласно приложению к настоящему Порядку.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" w:tooltip="Постановление Правительства Новосибирской области от 16.07.2018 N 308-п &quot;О внесении изменений в постановление Правительства Новосибирской области от 05.09.2011 N 390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Новосибирской области от 16.07.2018 N 308-п)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III. Порядок выдачи разрешения на добычу объектов</w:t>
      </w:r>
    </w:p>
    <w:p>
      <w:pPr>
        <w:pStyle w:val="0"/>
        <w:jc w:val="center"/>
      </w:pPr>
      <w:r>
        <w:rPr>
          <w:sz w:val="20"/>
        </w:rPr>
        <w:t xml:space="preserve">животного мира, не отнесенных к охотничьим ресурсам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Для получения разрешения заявитель представляет в уполномоченный орган заявление на добычу объектов животного мира (далее - заявка). Форма заявки утверждается уполномоченным органом.</w:t>
      </w:r>
    </w:p>
    <w:bookmarkStart w:id="59" w:name="P59"/>
    <w:bookmarkEnd w:id="5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С заявкой представляются следующие документы: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учредительные документы - для юридического лица;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документ, удостоверяющий личность, - для физического лица, индивидуального предпринимателя.</w:t>
      </w:r>
    </w:p>
    <w:p>
      <w:pPr>
        <w:pStyle w:val="0"/>
        <w:jc w:val="both"/>
      </w:pPr>
      <w:r>
        <w:rPr>
          <w:sz w:val="20"/>
        </w:rPr>
        <w:t xml:space="preserve">(п. 8 в ред. </w:t>
      </w:r>
      <w:hyperlink w:history="0" r:id="rId15" w:tooltip="Постановление Правительства Новосибирской области от 16.07.2018 N 308-п &quot;О внесении изменений в постановление Правительства Новосибирской области от 05.09.2011 N 390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Новосибирской области от 16.07.2018 N 308-п)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8.1. С заявкой заявитель вправе представить по собственной инициативе документ, подтверждающий уплату государственной пошлины за предоставление разрешения на добычу объектов животного мира.</w:t>
      </w:r>
    </w:p>
    <w:p>
      <w:pPr>
        <w:pStyle w:val="0"/>
        <w:jc w:val="both"/>
      </w:pPr>
      <w:r>
        <w:rPr>
          <w:sz w:val="20"/>
        </w:rPr>
        <w:t xml:space="preserve">(п. 8.1 введен </w:t>
      </w:r>
      <w:hyperlink w:history="0" r:id="rId16" w:tooltip="Постановление Правительства Новосибирской области от 16.07.2018 N 308-п &quot;О внесении изменений в постановление Правительства Новосибирской области от 05.09.2011 N 390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Новосибирской области от 16.07.2018 N 308-п)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Заявка от юридического лица подписывается его руководителем и, при наличии, заверяется печатью юридического лица.</w:t>
      </w:r>
    </w:p>
    <w:p>
      <w:pPr>
        <w:pStyle w:val="0"/>
        <w:jc w:val="both"/>
      </w:pPr>
      <w:r>
        <w:rPr>
          <w:sz w:val="20"/>
        </w:rPr>
        <w:t xml:space="preserve">(п. 9 в ред. </w:t>
      </w:r>
      <w:hyperlink w:history="0" r:id="rId17" w:tooltip="Постановление Правительства Новосибирской области от 28.10.2016 N 349-п &quot;О внесении изменений в постановление Правительства Новосибирской области от 05.09.2011 N 390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Новосибирской области от 28.10.2016 N 349-п)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Заявка о выдаче разрешения с приложением документов, указанных в </w:t>
      </w:r>
      <w:hyperlink w:history="0" w:anchor="P59" w:tooltip="8. С заявкой представляются следующие документы:">
        <w:r>
          <w:rPr>
            <w:sz w:val="20"/>
            <w:color w:val="0000ff"/>
          </w:rPr>
          <w:t xml:space="preserve">пункте 8</w:t>
        </w:r>
      </w:hyperlink>
      <w:r>
        <w:rPr>
          <w:sz w:val="20"/>
        </w:rPr>
        <w:t xml:space="preserve"> Порядка (далее - документы), представляется в уполномоченный орган. В случае направления заявки почтовым отправлением прилагаются копии документов. Заявка регистрируется в уполномоченном органе в день поступления.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Уполномоченный орган рассматривает поступившие документы и принимает решение о выдаче разрешения или об отказе в его выдаче в течение 15 рабочих дней со дня их поступления.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Основаниями для отказа в выдаче разрешения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отсутствие документов, указанных в </w:t>
      </w:r>
      <w:hyperlink w:history="0" w:anchor="P59" w:tooltip="8. С заявкой представляются следующие документы:">
        <w:r>
          <w:rPr>
            <w:sz w:val="20"/>
            <w:color w:val="0000ff"/>
          </w:rPr>
          <w:t xml:space="preserve">пункте 8</w:t>
        </w:r>
      </w:hyperlink>
      <w:r>
        <w:rPr>
          <w:sz w:val="20"/>
        </w:rPr>
        <w:t xml:space="preserve">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наличие в документах, представленных заявителем на получение разрешения, недостоверной или искаженной информации;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введение на заявленной территории предполагаемой добычи ограничений и запретов на добычу заявленных объектов животного мира, а также в случае вспышки эпизоотии, возникновения пожароопасной ситуации;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непредставление отчета о результатах добычи объектов животного мира по ранее выданному разрешению;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выявление случаев нарушения настоящего Порядка по ранее выданному разрешению.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Уполномоченный орган в течение пяти рабочих дней со дня принятия решения о выдаче разрешения или об отказе в его выдаче уведомляет о нем заявителя в письменной форме. В случае принятия решения об отказе в выдаче разрешения в уведомлении также указываются причины отказа.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Решение об отказе в выдаче разрешения может быть обжаловано в судебном порядке в соответствии с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Разрешение действует в указанные в нем даты и сроки, которые не могут превышать сроков добычи, установленных </w:t>
      </w:r>
      <w:hyperlink w:history="0" r:id="rId18" w:tooltip="Постановление Правительства Новосибирской области от 19.08.2011 N 353-п (ред. от 05.02.2019) &quot;Об утверждении Правил использования объектов животного мира, не отнесенных к охотничьим ресурсам, на территории Новосибирской области&quot;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использования объектов животного мира, не отнесенных к охотничьим ресурсам, на территории Новосибирской области, утвержденными постановлением Правительства Новосибирской области от 19.08.2011 N 353-п "Об утверждении Правил использования объектов животного мира, не отнесенных к охотничьим ресурсам, на территории Новосибирской области".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" w:tooltip="Постановление Правительства Новосибирской области от 16.07.2018 N 308-п &quot;О внесении изменений в постановление Правительства Новосибирской области от 05.09.2011 N 390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Новосибирской области от 16.07.2018 N 308-п)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Бланки разрешений являются документами строгой отчетности.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Разрешение является именным документом, передача его другим гражданам или юридическим лицам не допускается.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Выданные разрешения регистрируются в книге выдачи разрешений, которая ведется уполномоченным органом.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В случае изъятия объектов животного мира с применением огнестрельного оружия разрешение подлежит согласованию с охотпользователем, на территории которого будет производиться добыча объектов животного мира.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Разрешение в месячный срок после окончания срока его действия возвращается по месту его получения с кратким отчетом о результатах.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Лица, получившие разрешения, обязаны: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соблюдать требования Федерального </w:t>
      </w:r>
      <w:hyperlink w:history="0" r:id="rId20" w:tooltip="Федеральный закон от 13.12.1996 N 150-ФЗ (ред. от 14.07.2022) &quot;Об оруж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13.12.1996 N 150-ФЗ "Об оружии", требования техники безопасности при добыче объектов животного мира;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1" w:tooltip="Постановление Правительства Новосибирской области от 16.07.2018 N 308-п &quot;О внесении изменений в постановление Правительства Новосибирской области от 05.09.2011 N 390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Новосибирской области от 16.07.2018 N 308-п)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иметь при себе разрешение при добыче и транспортировке объектов животного мира;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осуществлять добычу объектов животного мира указанными в разрешении орудиями и способами добычи;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соблюдать сроки добычи объектов животного мира, указанные в разрешении;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осуществлять добычу на указанной в разрешении территории;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факту каждой добычи объектов животного мира отмечать в разрешении время, место добычи, вид и количество добытых объектов животного мира.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В случае нарушения настоящего Порядка и </w:t>
      </w:r>
      <w:hyperlink w:history="0" r:id="rId22" w:tooltip="Постановление Правительства Новосибирской области от 19.08.2011 N 353-п (ред. от 05.02.2019) &quot;Об утверждении Правил использования объектов животного мира, не отнесенных к охотничьим ресурсам, на территории Новосибирской области&quot; {КонсультантПлюс}">
        <w:r>
          <w:rPr>
            <w:sz w:val="20"/>
            <w:color w:val="0000ff"/>
          </w:rPr>
          <w:t xml:space="preserve">Правил</w:t>
        </w:r>
      </w:hyperlink>
      <w:r>
        <w:rPr>
          <w:sz w:val="20"/>
        </w:rPr>
        <w:t xml:space="preserve"> использования объектов животного мира, не отнесенных к охотничьим ресурсам, на территории Новосибирской области, утвержденных постановлением Правительства Новосибирской области от 19.08.2011 N 353-п "Об утверждении Правил использования объектов животного мира, не отнесенных к охотничьим ресурсам, на территории Новосибирской области", разрешение изымается уполномоченным органом.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" w:tooltip="Постановление Правительства Новосибирской области от 16.07.2018 N 308-п &quot;О внесении изменений в постановление Правительства Новосибирской области от 05.09.2011 N 390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Новосибирской области от 16.07.2018 N 308-п)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Порядку добычи объектов животного</w:t>
      </w:r>
    </w:p>
    <w:p>
      <w:pPr>
        <w:pStyle w:val="0"/>
        <w:jc w:val="right"/>
      </w:pPr>
      <w:r>
        <w:rPr>
          <w:sz w:val="20"/>
        </w:rPr>
        <w:t xml:space="preserve">мира, не отнесенных к охотничьим</w:t>
      </w:r>
    </w:p>
    <w:p>
      <w:pPr>
        <w:pStyle w:val="0"/>
        <w:jc w:val="right"/>
      </w:pPr>
      <w:r>
        <w:rPr>
          <w:sz w:val="20"/>
        </w:rPr>
        <w:t xml:space="preserve">ресурсам и водным биологическим</w:t>
      </w:r>
    </w:p>
    <w:p>
      <w:pPr>
        <w:pStyle w:val="0"/>
        <w:jc w:val="right"/>
      </w:pPr>
      <w:r>
        <w:rPr>
          <w:sz w:val="20"/>
        </w:rPr>
        <w:t xml:space="preserve">ресурсам, на территории</w:t>
      </w:r>
    </w:p>
    <w:p>
      <w:pPr>
        <w:pStyle w:val="0"/>
        <w:jc w:val="right"/>
      </w:pPr>
      <w:r>
        <w:rPr>
          <w:sz w:val="20"/>
        </w:rPr>
        <w:t xml:space="preserve">Новосибирской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24" w:tooltip="Постановление Правительства Новосибирской области от 16.07.2018 N 308-п &quot;О внесении изменений в постановление Правительства Новосибирской области от 05.09.2011 N 390-п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Новосибирской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16.07.2018 N 308-п)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(лицевая сторона)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МИНИСТЕРСТВО ПРИРОДНЫХ РЕСУРСОВ И ЭКОЛОГИИ</w:t>
      </w:r>
    </w:p>
    <w:p>
      <w:pPr>
        <w:pStyle w:val="1"/>
        <w:jc w:val="both"/>
      </w:pPr>
      <w:r>
        <w:rPr>
          <w:sz w:val="20"/>
        </w:rPr>
        <w:t xml:space="preserve">                           НОВОСИБИРСКОЙ ОБЛАСТИ</w:t>
      </w:r>
    </w:p>
    <w:p>
      <w:pPr>
        <w:pStyle w:val="1"/>
        <w:jc w:val="both"/>
      </w:pPr>
      <w:r>
        <w:rPr>
          <w:sz w:val="20"/>
        </w:rPr>
      </w:r>
    </w:p>
    <w:bookmarkStart w:id="114" w:name="P114"/>
    <w:bookmarkEnd w:id="114"/>
    <w:p>
      <w:pPr>
        <w:pStyle w:val="1"/>
        <w:jc w:val="both"/>
      </w:pPr>
      <w:r>
        <w:rPr>
          <w:sz w:val="20"/>
        </w:rPr>
        <w:t xml:space="preserve">                                РАЗРЕШЕНИЕ</w:t>
      </w:r>
    </w:p>
    <w:p>
      <w:pPr>
        <w:pStyle w:val="1"/>
        <w:jc w:val="both"/>
      </w:pPr>
      <w:r>
        <w:rPr>
          <w:sz w:val="20"/>
        </w:rPr>
        <w:t xml:space="preserve">            на добычу объектов животного мира, не отнесенных к</w:t>
      </w:r>
    </w:p>
    <w:p>
      <w:pPr>
        <w:pStyle w:val="1"/>
        <w:jc w:val="both"/>
      </w:pPr>
      <w:r>
        <w:rPr>
          <w:sz w:val="20"/>
        </w:rPr>
        <w:t xml:space="preserve">           охотничьим ресурсам и водным биологическим ресурсам,</w:t>
      </w:r>
    </w:p>
    <w:p>
      <w:pPr>
        <w:pStyle w:val="1"/>
        <w:jc w:val="both"/>
      </w:pPr>
      <w:r>
        <w:rPr>
          <w:sz w:val="20"/>
        </w:rPr>
        <w:t xml:space="preserve">                    на территории Новосибирской области</w:t>
      </w:r>
    </w:p>
    <w:p>
      <w:pPr>
        <w:pStyle w:val="1"/>
        <w:jc w:val="both"/>
      </w:pPr>
      <w:r>
        <w:rPr>
          <w:sz w:val="20"/>
        </w:rPr>
        <w:t xml:space="preserve">                                  N 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Выдано: 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(Ф.И.О. физического лица, индивидуального предпринимателя,</w:t>
      </w:r>
    </w:p>
    <w:p>
      <w:pPr>
        <w:pStyle w:val="1"/>
        <w:jc w:val="both"/>
      </w:pPr>
      <w:r>
        <w:rPr>
          <w:sz w:val="20"/>
        </w:rPr>
        <w:t xml:space="preserve">                          руководителя юридического лица)</w:t>
      </w:r>
    </w:p>
    <w:p>
      <w:pPr>
        <w:pStyle w:val="1"/>
        <w:jc w:val="both"/>
      </w:pPr>
      <w:r>
        <w:rPr>
          <w:sz w:val="20"/>
        </w:rPr>
        <w:t xml:space="preserve">Адрес: 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Наименование юридического лица ____________________________________________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422"/>
        <w:gridCol w:w="1531"/>
        <w:gridCol w:w="1531"/>
        <w:gridCol w:w="1587"/>
      </w:tblGrid>
      <w:tr>
        <w:tc>
          <w:tcPr>
            <w:tcW w:w="44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объектов животного мира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Возраст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Пол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</w:tr>
      <w:tr>
        <w:tc>
          <w:tcPr>
            <w:tcW w:w="44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44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44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44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44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Цель добычи: 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Способ добычи: 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Орудия добычи: 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Место добычи: 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Сроки добычи:    с "___" __________ 20__ г. по "___" ____________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  случае  изъятия объектов животного мира с применением огнестрельного</w:t>
      </w:r>
    </w:p>
    <w:p>
      <w:pPr>
        <w:pStyle w:val="1"/>
        <w:jc w:val="both"/>
      </w:pPr>
      <w:r>
        <w:rPr>
          <w:sz w:val="20"/>
        </w:rPr>
        <w:t xml:space="preserve">оружия  разрешение подлежит согласованию с охотпользователем, на территории</w:t>
      </w:r>
    </w:p>
    <w:p>
      <w:pPr>
        <w:pStyle w:val="1"/>
        <w:jc w:val="both"/>
      </w:pPr>
      <w:r>
        <w:rPr>
          <w:sz w:val="20"/>
        </w:rPr>
        <w:t xml:space="preserve">которого будет производиться добыча животных.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 ___________________ _____________________________</w:t>
      </w:r>
    </w:p>
    <w:p>
      <w:pPr>
        <w:pStyle w:val="1"/>
        <w:jc w:val="both"/>
      </w:pPr>
      <w:r>
        <w:rPr>
          <w:sz w:val="20"/>
        </w:rPr>
        <w:t xml:space="preserve">       (Должность)          (М.П., подпись)             (Ф.И.О.)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Дата выдачи разрешения: "___" __________ 20__г.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(оборотная сторона разрешения)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Согласование разрешения с охотпользователями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01"/>
        <w:gridCol w:w="3118"/>
        <w:gridCol w:w="3061"/>
        <w:gridCol w:w="1191"/>
      </w:tblGrid>
      <w:tr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согласования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Территория Новосибирской области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Фамилия, имя, отчество, должность представителя охотпользователя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</w:t>
            </w:r>
          </w:p>
        </w:tc>
      </w:tr>
      <w:tr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Краткий отчет об использовании разрешения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______________________________________________________________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______________________________________________________________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Подпись владельца разрешения ____________________________________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Примечание: разрешение подлежит возврату в министерство природных ресурсов и экологии Новосибирской области в месячный срок после окончания срока его действия.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Новосибирской области от 05.09.2011 N 390-п</w:t>
            <w:br/>
            <w:t>(ред. от 16.07.2018)</w:t>
            <w:br/>
            <w:t>"Об утверждении порядка доб...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B50F5DBB24FDE214486CB1060BFF92EDE1541A5290C90424A30A3C24DF0245AD85E99FD38B28819D136966208C410EF129BE7AC6809E68390E6FA9E9ODK" TargetMode = "External"/>
	<Relationship Id="rId8" Type="http://schemas.openxmlformats.org/officeDocument/2006/relationships/hyperlink" Target="consultantplus://offline/ref=B50F5DBB24FDE214486CB1060BFF92EDE1541A5298CB0D2BAB09612ED75B49AF82E6C0C48C618D9C13696625821E0BE438E675CD9780612E126DAB9DECO2K" TargetMode = "External"/>
	<Relationship Id="rId9" Type="http://schemas.openxmlformats.org/officeDocument/2006/relationships/hyperlink" Target="consultantplus://offline/ref=B50F5DBB24FDE214486CAF0B1D93CCE4EB5845569CCA0674F7556779880B4FFAC2A6C692CF218BC9422D3328851C41B575AD7ACF9CE9OCK" TargetMode = "External"/>
	<Relationship Id="rId10" Type="http://schemas.openxmlformats.org/officeDocument/2006/relationships/hyperlink" Target="consultantplus://offline/ref=B50F5DBB24FDE214486CB1060BFF92EDE1541A5298CB0D2BAB09612ED75B49AF82E6C0C48C618D9C13696625811E0BE438E675CD9780612E126DAB9DECO2K" TargetMode = "External"/>
	<Relationship Id="rId11" Type="http://schemas.openxmlformats.org/officeDocument/2006/relationships/hyperlink" Target="consultantplus://offline/ref=B50F5DBB24FDE214486CB1060BFF92EDE1541A5290C90424A30A3C24DF0245AD85E99FD38B28819D1369662D8C410EF129BE7AC6809E68390E6FA9E9ODK" TargetMode = "External"/>
	<Relationship Id="rId12" Type="http://schemas.openxmlformats.org/officeDocument/2006/relationships/hyperlink" Target="consultantplus://offline/ref=B50F5DBB24FDE214486CB1060BFF92EDE1541A5298CB0D2BAB09612ED75B49AF82E6C0C48C618D9C136966258F1E0BE438E675CD9780612E126DAB9DECO2K" TargetMode = "External"/>
	<Relationship Id="rId13" Type="http://schemas.openxmlformats.org/officeDocument/2006/relationships/hyperlink" Target="consultantplus://offline/ref=B50F5DBB24FDE214486CAF0B1D93CCE4EB5845569CCA0674F7556779880B4FFAC2A6C692CF218BC9422D3328851C41B575AD7ACF9CE9OCK" TargetMode = "External"/>
	<Relationship Id="rId14" Type="http://schemas.openxmlformats.org/officeDocument/2006/relationships/hyperlink" Target="consultantplus://offline/ref=B50F5DBB24FDE214486CB1060BFF92EDE1541A5298CB0D2BAB09612ED75B49AF82E6C0C48C618D9C136966258E1E0BE438E675CD9780612E126DAB9DECO2K" TargetMode = "External"/>
	<Relationship Id="rId15" Type="http://schemas.openxmlformats.org/officeDocument/2006/relationships/hyperlink" Target="consultantplus://offline/ref=B50F5DBB24FDE214486CB1060BFF92EDE1541A5298CB0D2BAB09612ED75B49AF82E6C0C48C618D9C13696624871E0BE438E675CD9780612E126DAB9DECO2K" TargetMode = "External"/>
	<Relationship Id="rId16" Type="http://schemas.openxmlformats.org/officeDocument/2006/relationships/hyperlink" Target="consultantplus://offline/ref=B50F5DBB24FDE214486CB1060BFF92EDE1541A5298CB0D2BAB09612ED75B49AF82E6C0C48C618D9C13696624831E0BE438E675CD9780612E126DAB9DECO2K" TargetMode = "External"/>
	<Relationship Id="rId17" Type="http://schemas.openxmlformats.org/officeDocument/2006/relationships/hyperlink" Target="consultantplus://offline/ref=B50F5DBB24FDE214486CB1060BFF92EDE1541A5290C90424A30A3C24DF0245AD85E99FD38B28819D1369662D8C410EF129BE7AC6809E68390E6FA9E9ODK" TargetMode = "External"/>
	<Relationship Id="rId18" Type="http://schemas.openxmlformats.org/officeDocument/2006/relationships/hyperlink" Target="consultantplus://offline/ref=B50F5DBB24FDE214486CB1060BFF92EDE1541A5298CB0B26AA01612ED75B49AF82E6C0C48C618D9C136966258E1E0BE438E675CD9780612E126DAB9DECO2K" TargetMode = "External"/>
	<Relationship Id="rId19" Type="http://schemas.openxmlformats.org/officeDocument/2006/relationships/hyperlink" Target="consultantplus://offline/ref=B50F5DBB24FDE214486CB1060BFF92EDE1541A5298CB0D2BAB09612ED75B49AF82E6C0C48C618D9C13696624811E0BE438E675CD9780612E126DAB9DECO2K" TargetMode = "External"/>
	<Relationship Id="rId20" Type="http://schemas.openxmlformats.org/officeDocument/2006/relationships/hyperlink" Target="consultantplus://offline/ref=B50F5DBB24FDE214486CAF0B1D93CCE4EC5E445C99C20674F7556779880B4FFAD0A69E9DCD2C9E9D1A77642585E1O7K" TargetMode = "External"/>
	<Relationship Id="rId21" Type="http://schemas.openxmlformats.org/officeDocument/2006/relationships/hyperlink" Target="consultantplus://offline/ref=B50F5DBB24FDE214486CB1060BFF92EDE1541A5298CB0D2BAB09612ED75B49AF82E6C0C48C618D9C13696624801E0BE438E675CD9780612E126DAB9DECO2K" TargetMode = "External"/>
	<Relationship Id="rId22" Type="http://schemas.openxmlformats.org/officeDocument/2006/relationships/hyperlink" Target="consultantplus://offline/ref=B50F5DBB24FDE214486CB1060BFF92EDE1541A5298CB0B26AA01612ED75B49AF82E6C0C48C618D9C136966258E1E0BE438E675CD9780612E126DAB9DECO2K" TargetMode = "External"/>
	<Relationship Id="rId23" Type="http://schemas.openxmlformats.org/officeDocument/2006/relationships/hyperlink" Target="consultantplus://offline/ref=B50F5DBB24FDE214486CB1060BFF92EDE1541A5298CB0D2BAB09612ED75B49AF82E6C0C48C618D9C136966248F1E0BE438E675CD9780612E126DAB9DECO2K" TargetMode = "External"/>
	<Relationship Id="rId24" Type="http://schemas.openxmlformats.org/officeDocument/2006/relationships/hyperlink" Target="consultantplus://offline/ref=B50F5DBB24FDE214486CB1060BFF92EDE1541A5298CB0D2BAB09612ED75B49AF82E6C0C48C618D9C136966248E1E0BE438E675CD9780612E126DAB9DECO2K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Новосибирской области от 05.09.2011 N 390-п
(ред. от 16.07.2018)
"Об утверждении порядка добычи объектов животного мира, не отнесенных к охотничьим ресурсам и водным биологическим ресурсам, на территории Новосибирской области"</dc:title>
  <dcterms:created xsi:type="dcterms:W3CDTF">2022-09-29T10:14:04Z</dcterms:created>
</cp:coreProperties>
</file>