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tabs>
          <w:tab w:val="left" w:pos="4208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Информация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tabs>
          <w:tab w:val="left" w:pos="4208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о проверках, проведенных в 2024 году в отношении министерства экономического развития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58"/>
        <w:tblW w:w="15021" w:type="dxa"/>
        <w:tblLayout w:type="fixed"/>
        <w:tblLook w:val="04A0" w:firstRow="1" w:lastRow="0" w:firstColumn="1" w:lastColumn="0" w:noHBand="0" w:noVBand="1"/>
      </w:tblPr>
      <w:tblGrid>
        <w:gridCol w:w="424"/>
        <w:gridCol w:w="1983"/>
        <w:gridCol w:w="1843"/>
        <w:gridCol w:w="1276"/>
        <w:gridCol w:w="1843"/>
        <w:gridCol w:w="3816"/>
        <w:gridCol w:w="10"/>
        <w:gridCol w:w="3826"/>
      </w:tblGrid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Организация, проводившая проверку.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Цель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Документ-основание для проведения проверки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Период проведения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Документ-результат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Выявленные нарушения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8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Принятые меры по устранению выявленных 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Контрольно-счетная палата Новосибирской области.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Проверка законности и эффективности использования средств областного бюджета, направленных на реализацию государственной программы Новосибирской области «Развитие туризма в Новосибирской области» в 2022 – 2023 гг.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Основания проведения мероприятия: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пункт 1.6 Годового плана работы Контрольно-счетной палаты Новосибирской области на 2024 год от 29.12.2023 № 219/01-Вн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(в ред. от 17.10.2024 № 165/01-Вн)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Проверяемый период: 2022 – 2023 гг.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январь-июнь 2024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Представление Контрольно-счетной палаты Новосибирской области от 12.07.2024 № 2997-8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Акт о результатах проверки законности и эффективности использования бюджетных средств, направленных на реализацию государственной программы Новосибирской области «Развитие туризма в Новосибирской области» в 2022-2023 гг. от 18.06.2024 № 130/09-Вн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1) Законом области от 05.07.2017 №187-ОЗ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«Об отдельных вопросах развития туризма в Новосибирской области» (далее – Закон области о развитии туризма) определены полномочия органов государственной власти и приоритетные направления в сфере туризма, ведение туристского реестра Новосибирской области.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Перечень приоритетных направлений развития туризма в Новосибирской области, установленный статьей 5 Закона области о развитии туризма не соответствует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приоритетным направлениям, установленным в ст.3.2 Федерального закона от 24.11.1996 №132-Ф3 «Об основах туристской деятельности в Российской Федерации» и п.10 ст.3 Закона области о развитии туризма (социальный, сельский, детский и самодеятельный туризм).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Реализация мер по поддержке сельского туризма отнесена к полномочиям Минэкономразвития НСО (п.10 ст.3 Закона области о развитии туризма), фактически осуществляется Минсельхозом НСО в рамках государственной программы в сфере развития сельского хозяйства.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2) Федеральная стратегия развития туризма предполаг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ает разработку отдельной концепции развития экологического туризма до 2035 г. В Новосибирской области экологический туризм не отнесен к приоритетным, актуальным или перспективным видам туризма. Отдельные мероприятия по развитию экологического туризма в ГП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НСО «Развитие туризма в Новосибирской области» (далее – Госпрограмма), утвержденную постановлением Правительства НСО от 30.12.2021 №576-п (далее – Постановление №576-п), не включены.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3) В нарушение п.28 Порядка предоставления грантов в форме субсидий из областного бюджета Новосибирской области на осуществление поддержки общественн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ых и предпринимательских инициатив, направленных на развитие внутреннего и въездного туризма на территории региона, утвержденный приложением №2 к Постановлению №576-п (далее – Порядок предоставления грантов), грантополучателем ИП Давыдовым С.В. не достигну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 результат реализации проекта, предусмотренный соглашением (реконструкция гостиничного комплекса, отсутствуют отделочные работы). Согласно п.32 Порядка предоставления грантов недостижение результата и показателей проекта влечет возврат полученных средств.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4) В нарушение п.31 Порядка предоставления гранта контроль за достижением показателей и результатов, установленных соглашением, Министерством не осуществлялся. Согласно п.6.4 и п.6.4.4 Соглашений, заключенных в 2022-2023 гг., при недостижении полу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чателем гранта установленных соглашением результатов предоставления гранта (иных показателей в 2022 году, характеристик в 2023 году), предусмотрено расторжение соглашений в одностороннем порядке. Соглашение с ИП Давыдовым С.В. Министерством не расторгнуто.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5) В нарушение п 4.3.7.2 соглашений о предоставлении из областного бюджета Новосибирской области гранта в форме субсидии на финансовое обеспечение общественных и предпринимательских инициатив, направленных на развитие внутреннего и въездного туризма 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территории региона, заключенных в 2022 году в Министерство несвоевременно предоставлена отчетность по использованию средств гранта ИП Чуриков А.Н. (на 28 раб.дней), ИП Сутягин В.А. (на 7 раб.дней), ООО «Беринг» (на 2 раб.дня).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6) Порядок предоставления грантов имеет ряд недостатков: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предусмотрена возможность ежегодного предо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ставления гранта одному и тому же заявителю при установленном сроке реализации проекта 18 месяцев, что создает риски выделения субсидий при неосвоении в полном объеме ранее предоставленных бюджетных средств и недостижении результатов реализуемых проектов;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при отказе получателя от ср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едств гранта Порядком предоставления грантов не предусмотрено их перераспределение другим заявителям, прошедшим конкурсный отбор, что приводит к неосвоению бюджетных ассигнований по мероприятию и влияет на уровень достижения показателя целевого индикатора;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не предусмотрен контроль за соблюдением ряда уста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новленных требований при приобретении транспортных средств, в том числе не предусмотрено представлять грантополучателем копии паспорта транспортного средства с указанием года выпуска и документов, подтверждающих постановку на учет в уполномоченных органах;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не ограничено возмещение расходов за счет средств грантов без учета налога на добавленную стоимость, для получателей государственной поддержки, являющихся плательщиками НДС;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не предусмотре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 в формах отчетности отражение объема собственных средств, направленных на реализацию проекта, а также представление подтверждающих первичных документов (при этом Порядком предоставления грантов предусмотрено условие софинансирования проекта соискателем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гранта в объеме не менее 30% от стоимости проекта за счет собственных средств), Министерством соблюдение условия не контролируется;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 с 2023 года определение результата и показателей использования 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гранта направлено только на своевременное освоение бюджетных средств и не увязано ни с критериями оценки заявок, ни с достижением экономических показателей (создание дополнительных мест размещения, дополнительных рабочих мест, прирост налоговых платежей).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7)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Порядок предоставления и распределения субсидий из областного бюджета бюджетам муниципальных образований Новосибирской области на реализацию мероприятий по созданию усл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овий для развития сферы туризма, инфраструктуры досуга и отдыха на территориях муниципальных образований Новосибирской области в рамках государственной программы Новосибирской области «Развитие туризма в Новосибирской области», утвержденный Приложением №4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 Госпрограмме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(далее – Порядок предоставления субсидий МО) не приведен в соответствие с постановлением Правительства НСО от 03.03.2020 № 40-п «О Правилах формирования, предоставления и распределения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субсидий из областного бюджета Новосибирской области бюджетам муниципальных образований Новосибирской области», в котором установлены общие требования к формированию, предоставлению и распределению субсидий из областного бюджета муниципальным образованиям.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tabs>
                <w:tab w:val="left" w:pos="56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8) Министерством в 2022-2023 гг. в 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рушение п.18 Порядка предоставления субсидий МО при перечислении субсидий МО не соблюдены условия о наличии контрактов, заключенных в соответствии с Федеральным законом от 05.04.2013 № 44-ФЗ «О контрактной системе в сфере закупок товаров, работ, услуг для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обеспечения государственных и муниципальных нужд» (далее - Федерального закона № 44-ФЗ), изменения в соглашения с МО в части корректировки графиков перечисления субсидий при отсутствии заключенных контрактов Министерством не вносились.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9)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нарушение п.9 Порядка предоставления субсидий МО (в ред. от 30.12.2021), информация о проведении конкурсного отбора в 2022 году размещена на сайте Министерства с несоблюдением установленных сроков. Длительность сроков проведения конкурсного отбора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заключения соглашений с муниципальными образованиями (от 95 до 98 дней – 2022 г., от 119 до 129 дней – 2023 г.), при дальнейшем определении исполнителей работ в соответствии с Федеральным законом № 44-ФЗ влияет на сроки реализации муниципальных проектов.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10)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нарушение пунктов 6.1 и 6.2.1 соглашений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ru-RU"/>
              </w:rPr>
              <w:t xml:space="preserve">о предоставлении из областного бюджета Новосибирской области бюджетам муниципальных образований субсидии на реализаци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bidi="ru-RU"/>
              </w:rPr>
              <w:t xml:space="preserve">ю мероприятий по созданию условий для развития сферы туризма, инфраструктуры досуга и отдыха на территориях муниципальных образований Новосибирской области в рамках государственной программы Новосибирской области «Развитие туризма в Новосибирской области»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Администрациями Карасукского, Краснозерского, Маслянинского, Ордынского, Сузунского, Чановского и Черепановского районов допущены нарушения сроков предоставления отчетности о выполненных работах и об осуществлении расходов от 1 до 23 дней.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11) В рамках РП «Развитие туристской инфраструктуры», предоставлено 7 грантов (200 617,6 тыс.руб.) для реализации инвестиционных проектов на строительство модульных некапитальных средств размещения. Получателями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грантов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представлены документы, подтверждающие наличие собственных средств на проекты, на сумму 654 427,6 тыс.руб. (в 2023 году – 406 325,0 тыс.руб., в 2024 году – 248 102,1 тыс.руб.), при этом в Госпрограмму внебюджетные источники в указанном размере не включены.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12)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рамках РП «Повышение доступности туристических продуктов» возмещены затр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аты 6 туристическим организациям на сумму 19 424,0 тыс.руб. за предоставленные услуги по осуществлению туристических поездок по Новосибирской области школьников 5-9 классов по 2 428 социальным сертификатам. Недостижение целевого показателя регионального пр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оекта и Госпрограммы (80,9% к плану, 3000 сертификатов) обусловлено длительной разработкой и согласованием нормативных правовых актов Новосибирской области при внедрении нового механизма предоставления социальной услуги. В 2024 году расходы на мероприятия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рамках РП «Повышение доступности туристических продуктов» не запланированы. Вместе с тем, получателями государственных услуг (сертификатов на туристические поездки) даны положительные оценки новому направлению государственной поддержки развития туризма.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13) В нарушение ст. 94 Федерального закона № 44-ФЗ исполнителями по 10 контрактам не своевременно выполнены работы (оказаны услуги), 5 контрактов расторгнуто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 Несвоевременное исполнение (неисполнение) контрактов на размещение туристской навигации (3 925,5 тыс.руб.) привело к недостижению целевого индикатора «количество муниципальных образований НСО, на территории которых внедрена система туристской навигации».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14) В нарушение ст.34 Федерального закона №44-ФЗ оплата по контракту от 22.05.2023 №116-ЕП/2023 с ООО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«Вероникас Гурме Гид» на услуги по размещению рекламы произведена на 13 рабочий день после подписания акта приемки оказанных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услуг, 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нарушением установл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енного срока на три рабочих дня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8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1) В изменениях в Закон Новосибирской области от 5 июля 2017 года № 187-ОЗ «О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б отдельных вопросах развития туризма в Новосибирской области» учтены замечания в части определения приоритетных направлений развития туризма. В части разграничения полномочий по предоставлению мер государственной поддержки по приоритетному направлению раз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вития сельского туризма изменения не были учтены ввиду того, что на развитие сельского туризма предоставляется государственная поддержка в рамках нескольких государственных программ Новосибирской области (министерства экономического развития Новосибирской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области 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министерства сельского хозяйства Новосибирской области).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2)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целях возврата средств гранта на финансовое обеспечение предпринимательских инициатив во исполнение указанного пункта Порядка предоставления гранта в адрес ИП Давыдова С.В. 11.07.2024 направлено требование о возврате гранта в сумме 3 млн рублей в областн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ой бюджет Новосибирской области в течение 30 дней (исх. № 1672-15/8 от 11.07.2024) с приложением проекта Дополнительного соглашения о расторжении соглашения о предоставлении гранта на финансовое обеспечение предпринимательских инициатив от 25.07.2022 № 87.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связи с неосуществлением ИП Давыдовым С.В. возврата средств гранта на финансовое обеспечение предпринимательских инициатив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областной бюджет Новосибирской области в срок, установленный в требовании о возврате гранта, МЭР НСО приняты меры по возврату указанных средств в судебном порядке.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Кроме того, в целях проведения министерством проверок соблюдения получателями грантов, в том числе грантов на финансовое обеспечение предпринимательских инициатив 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грантов в форме субсидий из областного бюджета Новосибирской области на оказание государственной поддержки инвестиционных проектов по созданию модульных некапитальных средств размещения в 2023 и 2024 годах, а также лиц, являющихся поставщиками (подрядчикам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и, исполнителями) по договорам (соглашениям), заключенным в целях исполнения обязательств по соглашениям о предоставлении из областного бюджета Новосибирской области вышеуказанных грантов, порядка и условий их предоставления, в том числе в части достижения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результатов их предоставления создана группа по контролю за соблюдением получателями грантов порядка и условий их предоставления, утвержден ее состав и график контрольных мероприятий по соблюдению получателями грантов, порядка и условий их предоставления.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3) МЭР НСО разработан проект постано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вления Правительства Новосибирской области «О внесении изменений в постановление Правительства Новосибирской области от 30.12.2021 № 576-п», который предусматривает внесение изменений в Порядок предоставления и распределения субсидий из областного бюджета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Новосибирской области бюджетам муниципальных образований Новосибирской области на реализацию мероприятий по созданию условий для развития сферы туризма, инфраструктуры досуга и отдыха на территориях муниципальных образований Новосибирской области в рамках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государственной программы Новосибирской области «Развитие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туризма в Новосибирской области»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4)  МЭР НСО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пересмотрены условия возврата средств гранта на финансовое обеспечение предпринимательских инициатив в части определения размера средств, подлежащих возврату в областной бюджет Новосибирской области, в зависимости от допущенного грантополучателем нарушени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я и исходя из недостигнутых значений результата предоставления гранта. Указанные условия учтены в проекте постановления Правительства Новосибирской области «О внесении изменений в постановление Правительства Новосибирской области от 30.12.2021 № 576-п». По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сле принятия указанного правового акта МЭР НСО будут подготовлены дополнительные соглашения к соглашениям о предоставлении гранта на финансовое обеспечение предпринимательских инициатив, заключенные в 2024 году, предусматривающие соответствующие изменения.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before="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both"/>
              <w:spacing w:before="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84"/>
        </w:trPr>
        <w:tc>
          <w:tcPr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Контрольно-счетная палата Новосибирской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анализ формирования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реализации новых инвестицион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проектов за счет средств областного бюджета, высвобождаемых на условиях реструктурированной задолженности по бюджетным кредитам.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Поручение Законодательного Собрания Новосибирской области, пункт 2.7 Годового плана работы КСП НСО на 2024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2021 года по настоящее время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о результатах анализа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реализации новых инвестицион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проектов за счет средств областного бюджета,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высвобождаемых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реструктурированной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задолженности по бюджетным кредитам, от 16.12.2024 № 204/02-Вн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ind w:righ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адрес Контрольно-счетной палаты Новосибирской области направлены пояснения к справке КСП НСО письмом Минэкономразвития НСО о направлении пояснений и замечаний от 20.12.2024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3196-10/8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685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Контрольно-счетная палата Новосибирской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Обследование использования средств областного бюджета, направленных на создание и реконструкцию объектов инфраструктуры Новосибирского промышленно-логистического парка в 2022-2023 годах и за текущий период 2024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Поручение Законодательного Собрания Новосибирской области, пункт 2.8 Годового плана работы КСП НСО на 2024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2022 года по настоящее время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Акт от 01.10.2024 № 161/09-Вн о результатах проверки использования средств областного бюджета, направленных на создание и реконструкцию объектов инфраструктуры Новосибирского промышленно-логистического парка в 2022-2023 годах и за текущий период 2024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адрес Контрольно-счетной палаты Новосибирской области направлены пояснения к акту КСП НСО письмом от 14.10.2024 № 2547-10/8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064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 Отчет от 24.10.2024 № 168/09-Вн о результатах проверки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средств областного бюджета,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создание и реконструкцию объектов инфраструктуры Новосибирского промышленно-логистического парка в 2022-2023 годах и за текущий период 2024 года (далее – Отчет КСП НСО);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от 28.10.2024 № 39 /09 –прс (далее – Представление)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течение 30 дней со дня получения Представления (до 28.11.2024)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Отчета КСП НСО принять меры по пресечению и устранению выявленных нарушений и недостатков: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нарушение пп.9 п.4 Порядка, утвержденного постановлением Правительства Новосибирской области от 08.12.2014 № 475-п «О порядке принятия решений и требованиях к договору о предоставлении бюджетных инвестиций юр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ение объектов недвижимого имущества за счет средств областного бюджета Новосибирской области, а также о порядке возврата предоставленных бюджетных инвестиций юридическими лицами, не являющимися государственными или муниципальными учреждениями и государстве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областного бюджета Новосибирской области»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(далее - постановление Правительства Новосибирской области от 08.12.2014 № 475-п), в постановлениях Правительства Новосибирской области от 18.01.2022 № 2-п и от 05.12.2023 № 566-п о предоставлении бюджетных инвестиций Акционерному обществу «Управляющая ко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мпания «Промышленно-логистический парк» (далее соответственно – постановления № 2-п и № 566-п, АО «УК «ПЛП») не отражены объемы собственных средств инвестора (АО «УК «ПЛП»), направленные на строительство объектов инфраструктуры в размере 39 521,0 тыс.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В адрес КСП НСО письмом Минэкономразвития НСО от 28.11.2024 № 2950-10/8 направлена информация о принятых мерах по устранению выявленных нарушений и недостатков,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указанных в Представлении и Отчете КСП НСО: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Минэкономразвития НСО внесены изменения в постановления № 2-п и № 566-п с целью приведения в соответствие с требованиями пп. 9 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 4 постановления Правительства Новосибирской области от 08.12.2014 № 475-п в части отражения общего объема собственных средств АО «УК «ПЛП», направляемых на реализацию инвестиционного проекта - утверждены постановления Правительства Новосибирской области: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17.12.2024 № 593-п «О внесении изменений в постановление Правительства Новосибирской области от 05.12.2023 № 566-п»;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17.12.2024 № 596-п «О внесении изменений в постановление Правительства Новосибирской области от 18.01.2022 № 2-п»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655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 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постановлениях № 2-п и № 566-п и в договорах о предоставлении из областного бюджета Новосибирской области бюджетных инвестиций АО «УК «ПЛП» от 28.03.2022 №11, от 14.12.2023 № 1 (далее - Договор № 11 и Договор № 1) перечень объектов инфраструктуры и объемы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финансирования за счет средств областного бюджета Новосибирской области не соответствуют аналогичным показателям, утвержденным Приказом Минэкономразвития РФ от 25.05.2023 № 349 (в ред. от 07.08.2024)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 В целях приведения перечня объектов инфраструктуры и объемов финансирования за счет средств областного бюджета Новосибирской области в соответствие с аналогичными показателями, утвержденными Приказом Минэкономразвития РФ от 25.05.2023 № 349: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 На заседании президиума (штаба) Правительственной комиссии по региональному развитию в Российской Федерации под пред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седательством Заместителя Председателя Правительства России М.Ш. Хуснуллина утвержден актуализированный перечень объектов инфраструктуры и новых инвестиционных проектов региона Приказом Минэкономразвития РФ от 25.05.2023 № 349 (в ред. от 17.12.2024 № 803).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 По состоянию на 27.12.2024 в постановлениях № 2-п (в ред. от 17.12.2024) и № 566-п (в ред. от 17.12.2024) и Договоре № 11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(в ред. от 26.12.2024)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Договоре от 14.12.2023 № 1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(в ред. от 23.12.2024)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перечень объектов инфраструктуры и объемы финансирования за счет средств областного бюджета Новосибирской области соответствуют аналогичным показателям, утвержденным Приказом Минэкономразвития РФ от 25.05.2023 № 349 (в ред. от 17.12.2024 № 803)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1067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 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асходы областного бюджета Новосибирской области, установленные на 2024 год в постановлениях и договорах о предоставлении бюджетных инвестиций (553 673,5 тыс. руб.), не соответствуют объемам бюджетных ассигнований, предусмотренных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Законом Новосибирской области от 21.12.2023 №413-ОЗ «Об областном бюджете Новосибирской области на 2024 год и плановый период 2025 и 2026 годов» (далее – Закон о бюджете № 413-ОЗ)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(703 673,5 тыс. руб.)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 Расхождение на сумму 150 000,0 тыс. руб. связано с необходимостью внесения изменений в постановление № 566-п. Изменения в постановление № 566-п не вносились с связи со сдвигом получения статуса ОЭЗ.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устранения выявленного нарушения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Минэкономразвития НСО 17.12.2024 внесены изменения в постановление № 566-п (в ред. постановления № 593-п) с целью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приведения объемов бюджетных инвестиций в соответствие с объемами, запланированными в Законе Новосибирской области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21.12.2023 № 413-ОЗ «Об областном бюджете Новосибирской области на 2024 год и плановый период 2025 и 2026 годов»</w:t>
            </w:r>
            <w:r>
              <w:rPr>
                <w:rFonts w:ascii="Times New Roman" w:hAnsi="Times New Roman" w:eastAsia="Calibri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(с учетом изменений от 03.12.2024)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9346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 При снижении стоимости объекта «Двухцепная ЛЭП 220кВ и ПС 220/20кВ-2х63МВА Промышленно-логистического парка. Третий этап строите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льства» (далее – Подстанция) (по результатам торгов, проведенных 23.09.2022), перераспределение экономии и утверждение в нормативных правовых актах Новосибирской области затрат по новому объекту «Кабельная линия 20кВ от РУ-20 кВ ПС-220/20 кВ до РП-4 20 кВ»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(далее – Кабельная линия РП-4)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произведено только в сентябре 2024 года, что влияет на сроки строительства нового объекта (конец 2025 года) и влечет риски неэффективного использования бюджетных средств в размере 50 357,2 тыс.руб.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 Перераспределение экономии и утверждение в нормативных правовых актах Новосибирской области затрат по новому объекту «Кабельная линия 20кВ от РУ-20 кВ ПС-220/20 кВ до РП-4 20 кВ» только в сентябре 2024 года обусловлено следующим: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 10.01.2023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АО «УК «ПЛП» приняли решение об одностороннем отказе от исполнения контракта от 04.10.2022 № 0851200000622005936 на выполнение строительно-монтажных работ по созданию Подстанции (далее – контракт № 0851200000622005936), контракт расторгнут.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23.03.2023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в рамках дела № А45-1761/2023 признано недействительным решение об одностороннем отказе АО «УК «ПЛП» от исполнения контракта № 0851200000622005936.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 27.07.2023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02.05.2024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адрес АО «УК «ПЛП»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Минэкономразвития НСО неоднократно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направлялись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запросы с целью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предоставления пояснений о сумме экономии 50 357,2 тыс. руб., образовавшейся по итогам открытых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аукционов, в ответ на которые АО «УК «ПЛП» направляли ответ о наличии дополнительной потребности ООО «Проектный Центр Сибири» (Подрядчик по исполнению контракта № 0851200000622005936), не предусмотренной проектной документацией, на сумму 50 357,2 тыс. руб.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26.06.2024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между АО «УК «ПЛП» и Подрядчиком заключено дополнительное соглашение № 4 от 26.06.2024 к контракту № 0851200000622005936 о снижении цены контракта на сумму 23 825,6 тыс. руб.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03.07.2024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АО «УК «ПЛП» направлена заявка № 391 в адрес Минэкономразвития НСО о внесении изменений в постановление № 2-п, включающая перераспределение экономии в размере 74 182,8 тыс. руб. (50 357,2+23 825,6).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03.09.2024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Правительством НСО утверждено постановление № 410-п «О внесении изменений в постановление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Правительства Новосибирской области от 18.01.2022 № 2-п».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 Строительство новых объектов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Кабельная линия РП-4,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Кабельная линия 20 кВ от РУ-20 кВ ПС-220/20 кВ до РП-2 20 кВ АО «УК «ПЛП» (далее - Кабельная линия РП-2) со сроком ввода в эксплуатацию в IV кв. 2025г. осуществляется планомерно. По состоянию на 27.12.2024 – данные объекты находятся на стади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и проектирования, заключены договоры на создание проектной документации для строительства. Потребность в вводе Кабельных линий РП-4 и РП-2 в эксплуатацию ранее IV кв. 2025г отсутствует, в связи с чем риска неэффективного использования бюджетных средств нет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197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 В сметном расчете по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Подстанция, прошедшем государственную экспертизу, завышена сметная стоимость строительства (за счет необоснованного увеличения количества силового кабеля), что с учетом индексов инфляции и снижения цены при заключении контракта на 5% привело к завышению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стоимости контракта от 04.10.2022 № 0851200000622005936 на 23 014,6 тыс. руб. (нарушение устранено в ходе проверки КСП НСО, дополнительным соглашением от 26.06.2024 № 4 к контракту № 0851200000622005936, стоимость контракта уменьшена на 23 825,6 тыс. руб.)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 Указанное нарушение явилось следствием арифметической ошибки при составлении локального сметного расчета с использованием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рограммного комплекса «Гранд – смета». При расчете количества силового кабеля не указан математический знак «=», т.е. при отсутствии данного знака расчет количества производится без деления на единицу измерения, установленную в программе по данной позиции.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 С целью недопущения в дальнейш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 подобных нарушений усилены меры по контролю за организацией работ по проектированию объектов капитального строительства в части проверки сметных нормативов, а также корректности указания объемов выполняемых работ до направления проектной документации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ГБУ НСО Государственная вневедомственная экспертиза НСО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 Генеральным директором АО «УК «ПЛП» утвержден Приказ от 07.11.2024 № 120 «О принятии мер в целях недопущения в дальнейшей работе недостатко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в, выявленных Контрольно-счетной палатой Новосибирской области в ходе проверки использования средств областного бюджета, направленных на создание и реконструкцию объектов инфраструктуры Новосибирского ПЛП в 2022 – 2023 годах и за текущий период 2024 года»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818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 В нарушение п.5 Порядка определения начальной максимальной цены контракта (дале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– НМЦК), утвержденного приказом Министерства строительства и ЖКХ РФ от 23.12.2019 №841/пр, НМЦК на выполнение работ по строительству объекта Подстанция необоснованно занижена на 37 991,4 тыс. руб. (сформирована без применения установленных нормативов 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имнее удорожание, не учтены непредвиденные затраты, применен понижающий коэффициент) и приведена к размеру бюджетных ассигнований, предусмотренных АО «УК «ПЛП»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Согласно представленным пояснениям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АО «УК «ПЛП»: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п. 21 раздела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Порядка определения НМЦК, утвержденного приказом Министерства строительства и ЖКХ РФ от 23.12.2019 №841/пр, резерв средств на непредвиденные работы и затраты определяется заказчиком (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АО «УК «ПЛП»)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размере, не превышающем размер, предусмотренный сметной документацией по объекту Подстанция.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расчете НМЦК лимитированные затраты (зимнее удорожание и непредвиденные затраты) не превысили размер, предусмотренный сметной документацией по объекту Подстанция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776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 Строительство 5 объектов инфраструктуры (постановление № 566-п) на сумму 1 001 203,7 тыс. руб. (на 01.09.2024 выделено 906 780,8 тыс. руб.) предусмотрено для резидентов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Промышленно-логистического парка Новосибирской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ПЛП НСО) на планируемой территории ОЭЗ, граничащей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территорией ПЛП НСО. В качестве резидентов ОЭЗ рассматриваются компании с общим объемом инвестиций в 11 млрд руб. и созданием 615 рабочих мест. При этом, не урегулированы вопросы взаимодействия АО «УК «ПЛП» (как собственника объектов инфраструктуры,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ируемых к строительству на территории ОЭЗ), резидентов ОЭЗ и частной управляющей компании, которой будет принадлежать право реализовать земельные участки, обеспеченные объектами инфраструктуры за счет бюджетных инвестиций и собственных средств АО «УК «ПЛП»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После принятия Правительством РФ решения о создании ОЭЗ на территории Новосибирской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«УК «ПЛП» планируется проведение следующих мероприятий: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1) заключение с резидентами ОЭЗ договоров/соглашений, устанавливающих условия взаимодействия сторон в части подключения объектов резидентов ОЭЗ к создаваемым объектам инфраструктуры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ПЛП НСО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2)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соглашения о взаимодействии в сфере развития инфраструктуры ОЭЗ между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ООО «СПР»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управляющей компании ОЭЗ (с момента получения соответствующего статуса) и АО «УК «ПЛП» с целью обеспечения промышленно-производственной деятельности резидентов ОЭЗ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09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 Принятие решения и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деление по постановлению № 566-п бюджетных инвестиций АО «УК «ПЛП» на строительство на планируемой территории ОЭЗ объектов инфраструктуры осуществлялось при отсутствии документов, предусмотренных ч.6 ст.48 Градостроительного кодекса РФ (перевод земель сель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скохозяйственного назначения в соответствующую для размещения ОЭЗ категорию осуществлен 30.01.2024, проект планировки территории ОЭЗ утвержден только 25.04.2024). На 01.10.2024 проект межевания территории для подготовки проектной документации не утвержден.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в полном объеме установленных ч.6 ст. 48 Градостроительного кодекса РФ документов делает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невозможным получение положительного заключения государственной экспертизы на разрабатываемую проектную документацию и начало строительства объектов инженерной инфраструктуры и, как следствие, влечет риски неэффективного использования бюджетных средств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сумме 906 781,0 тыс. руб. (длительное неиспользование бюджетных инвестиций, перечисленных в 2023-2024 гг. (758 097,8 тыс. руб. и 148 683,0 тыс. руб.). Сроки вложения инвестиций и ввода в эксплуатацию объектов перенесены с конца 2024 года на конец 2025 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АО «УК «ПЛП»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следующие мероприятия: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 В соответствии с ч.6 ст.48 Градостроительного кодекса РФ АО «УК «ПЛП» проект планиров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ки территории объекта регионального значения ОЭЗ промышленно-производственного типа в границах Прокудского сельсовета Коченевского района Новосибирской области утвержден в установленном порядке и в мае 2024 года передан ООО «АРЕНА» (проектная организация);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 В связи с тем, что земельный участок, в граница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 которого будут построены объекты инфраструктуры, указанные в Постановлении № 566-п, сформирован и поставлен на государственный кадастровый учет 18.04.2024 (с кадастровым номером 54:11:017021:727), подготовка и утверждение проекта межевания не требуется.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3) Перенос сроков вложения бюджетных инвестиций и ввода в эксплуатацию объектов с конца 2024 на конец 2025, а также длительное неиспользование бюджетных инвестиций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906 781,0 тыс. руб. произошло в результате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сдвига срока получения статуса ОЭЗ.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 xml:space="preserve">В рамках создания ОЭЗ: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- 11.04.2024 - в адрес Минэкономразвития России направлена заявка на создание ОЭЗ, в ответ на которую получены замечания и рекомендации для корректировки;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 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02.08.2024 - в адрес Минэкономразвития России направлена актуализированная заявка;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- 16.10.2024 - Минэкономразвития России проект постановления Правительства Российской Федерации «О создании на территориях Прокудского сельсовета Коченевского района Новосибирской области и То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лмачевского сельсовета Новосибирского района Новосибирской области особой экономической зоны промышленно-производственного типа» направлен в Минфин России, Минпромторг России, ФТС России, Правительство Новосибирской области для рассмотрения и согласования;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- 21.10.2024 подготовлен ответ за подписью Губернатора Новосибирской области А.А. Травникова в адрес заместителя Министра экономического развития Российской Федерации Д.С. Вахрукова о согласовании проекта постановления;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 по состоянию на 27.11.2024 – получены замечания Минфина России (20.11.2024) по проекту создания ОЭЗ, ведется отработка данных замечаний ООО «СПР»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42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условиям соглашений о намерениях, заключенных Правительством Новосибирской области с 7 инвесторами, реализующими НИП на террит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ории ПЛП, предусмотрено направить инвестиции в размере 40 163,4 млн руб., к 2030 году создать 10 447 рабочих мест и обеспечить налоговые поступления на сумму 25 460,2 млн руб. (из них в федеральный бюджет – 12 038,0 млн руб.). Три инвестора достигли планов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ых сроков ввода в эксплуатацию НИП. Вместе с тем, ООО «РусАгроМаркет-Новосибирск» не удалось достичь показателей по налоговым поступлениям. Ответственность за невыполнение обязательств и не достижение показателей в соглашениях о намерениях не предусмотрена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Соглашения о намерениях по реализации НИП подготавливались исходя из положений Правил определения НИП, в целях реализации которых средства бюджета субъекта РФ, высвобождаемые в результате снижения объема погашения задолженности субъекта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РФ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утвержденных постановлением Правительства РФ от 19.10.2020 № 1704 (далее – Постановление № 1704).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Проекты соглашений о намерениях по реализации НИП, включенных в сводный перечень НИП предусматривают, что соглашения о намерениях, являющихся по своей природе намерением сторон по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совместной реализации инвестиционных проектов по созданию и эксплуатации объектов, не являются юридическим документом, не влекут юридических обязательств и не могут служить основанием для возникновения ответственности сторон за неисполнение его положений.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Постановлением № 1704 также не предусмотрено включение в соглашения о намерениях по реализации НИП положений об ответственности за невыполнение обязательств и недостижение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978"/>
        </w:trPr>
        <w:tc>
          <w:tcPr>
            <w:tcW w:w="42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01.09.2024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числятся на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цевом счете АО УК «ПЛП» в УФК по НСО средства в размере 1 010 544,5 тыс. руб., из них не использованы в полном объеме бюджетные инвестиции, предоставленные АО «УК «ПЛП» на строительство 7 объектов на сумму 980 963,6 тыс. руб. (51,3% от выделенных средств):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- 74 182,8 тыс. руб. – на строительство 2-х объектов, включенных в Постановление № 2-п только 03.09.2024 (в результате перераспределения экономии по торгам и корректировки стоимости контракта);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- 906 780,8 тыс. руб. – на строительство 5-ти объектов по Постановлению № 566-п, из них 758 097,8 тыс. руб. перечислены 19.12.2023, 148 683,0 тыс. руб. - 28.03.2024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10. 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Информация о принятых мерах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Постановлению № 2-п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представлена в п. 4,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Постановлению № 566-п - в п.8.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</w:t>
      </w:r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  <w:t xml:space="preserve">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6838" w:h="11906" w:orient="landscape"/>
      <w:pgMar w:top="142" w:right="678" w:bottom="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 w:default="1">
    <w:name w:val="Normal"/>
    <w:qFormat/>
  </w:style>
  <w:style w:type="paragraph" w:styleId="663">
    <w:name w:val="Heading 1"/>
    <w:basedOn w:val="662"/>
    <w:next w:val="662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4">
    <w:name w:val="Heading 2"/>
    <w:basedOn w:val="662"/>
    <w:next w:val="662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5">
    <w:name w:val="Heading 3"/>
    <w:basedOn w:val="662"/>
    <w:next w:val="662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6">
    <w:name w:val="Heading 4"/>
    <w:basedOn w:val="662"/>
    <w:next w:val="662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662"/>
    <w:next w:val="662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662"/>
    <w:next w:val="662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9">
    <w:name w:val="Heading 7"/>
    <w:basedOn w:val="662"/>
    <w:next w:val="662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0">
    <w:name w:val="Heading 8"/>
    <w:basedOn w:val="662"/>
    <w:next w:val="6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1">
    <w:name w:val="Heading 9"/>
    <w:basedOn w:val="662"/>
    <w:next w:val="662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character" w:styleId="675" w:customStyle="1">
    <w:name w:val="Heading 1 Char"/>
    <w:basedOn w:val="672"/>
    <w:uiPriority w:val="9"/>
    <w:rPr>
      <w:rFonts w:ascii="Arial" w:hAnsi="Arial" w:eastAsia="Arial" w:cs="Arial"/>
      <w:sz w:val="40"/>
      <w:szCs w:val="40"/>
    </w:rPr>
  </w:style>
  <w:style w:type="character" w:styleId="676" w:customStyle="1">
    <w:name w:val="Heading 2 Char"/>
    <w:basedOn w:val="672"/>
    <w:uiPriority w:val="9"/>
    <w:rPr>
      <w:rFonts w:ascii="Arial" w:hAnsi="Arial" w:eastAsia="Arial" w:cs="Arial"/>
      <w:sz w:val="34"/>
    </w:rPr>
  </w:style>
  <w:style w:type="character" w:styleId="677" w:customStyle="1">
    <w:name w:val="Heading 3 Char"/>
    <w:basedOn w:val="672"/>
    <w:uiPriority w:val="9"/>
    <w:rPr>
      <w:rFonts w:ascii="Arial" w:hAnsi="Arial" w:eastAsia="Arial" w:cs="Arial"/>
      <w:sz w:val="30"/>
      <w:szCs w:val="30"/>
    </w:rPr>
  </w:style>
  <w:style w:type="character" w:styleId="678" w:customStyle="1">
    <w:name w:val="Heading 4 Char"/>
    <w:basedOn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Heading 5 Char"/>
    <w:basedOn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Heading 6 Char"/>
    <w:basedOn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Heading 7 Char"/>
    <w:basedOn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Heading 8 Char"/>
    <w:basedOn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Heading 9 Char"/>
    <w:basedOn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684" w:customStyle="1">
    <w:name w:val="Title Char"/>
    <w:basedOn w:val="672"/>
    <w:uiPriority w:val="10"/>
    <w:rPr>
      <w:sz w:val="48"/>
      <w:szCs w:val="48"/>
    </w:rPr>
  </w:style>
  <w:style w:type="character" w:styleId="685" w:customStyle="1">
    <w:name w:val="Subtitle Char"/>
    <w:basedOn w:val="672"/>
    <w:uiPriority w:val="11"/>
    <w:rPr>
      <w:sz w:val="24"/>
      <w:szCs w:val="24"/>
    </w:rPr>
  </w:style>
  <w:style w:type="character" w:styleId="686" w:customStyle="1">
    <w:name w:val="Quote Char"/>
    <w:uiPriority w:val="29"/>
    <w:rPr>
      <w:i/>
    </w:rPr>
  </w:style>
  <w:style w:type="character" w:styleId="687" w:customStyle="1">
    <w:name w:val="Intense Quote Char"/>
    <w:uiPriority w:val="30"/>
    <w:rPr>
      <w:i/>
    </w:rPr>
  </w:style>
  <w:style w:type="character" w:styleId="688" w:customStyle="1">
    <w:name w:val="Header Char"/>
    <w:basedOn w:val="672"/>
    <w:uiPriority w:val="99"/>
  </w:style>
  <w:style w:type="character" w:styleId="689" w:customStyle="1">
    <w:name w:val="Caption Char"/>
    <w:uiPriority w:val="99"/>
  </w:style>
  <w:style w:type="character" w:styleId="690" w:customStyle="1">
    <w:name w:val="Footnote Text Char"/>
    <w:uiPriority w:val="99"/>
    <w:rPr>
      <w:sz w:val="18"/>
    </w:rPr>
  </w:style>
  <w:style w:type="character" w:styleId="691" w:customStyle="1">
    <w:name w:val="Endnote Text Char"/>
    <w:uiPriority w:val="99"/>
    <w:rPr>
      <w:sz w:val="20"/>
    </w:rPr>
  </w:style>
  <w:style w:type="character" w:styleId="692" w:customStyle="1">
    <w:name w:val="Заголовок 1 Знак"/>
    <w:basedOn w:val="672"/>
    <w:link w:val="663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basedOn w:val="672"/>
    <w:link w:val="664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basedOn w:val="672"/>
    <w:link w:val="665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basedOn w:val="672"/>
    <w:link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basedOn w:val="672"/>
    <w:link w:val="667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basedOn w:val="672"/>
    <w:link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basedOn w:val="672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basedOn w:val="67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basedOn w:val="672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62"/>
    <w:next w:val="662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basedOn w:val="672"/>
    <w:link w:val="701"/>
    <w:uiPriority w:val="10"/>
    <w:rPr>
      <w:sz w:val="48"/>
      <w:szCs w:val="48"/>
    </w:rPr>
  </w:style>
  <w:style w:type="paragraph" w:styleId="703">
    <w:name w:val="Subtitle"/>
    <w:basedOn w:val="662"/>
    <w:next w:val="662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basedOn w:val="672"/>
    <w:link w:val="703"/>
    <w:uiPriority w:val="11"/>
    <w:rPr>
      <w:sz w:val="24"/>
      <w:szCs w:val="24"/>
    </w:rPr>
  </w:style>
  <w:style w:type="paragraph" w:styleId="705">
    <w:name w:val="Quote"/>
    <w:basedOn w:val="662"/>
    <w:next w:val="662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62"/>
    <w:next w:val="662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62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basedOn w:val="672"/>
    <w:link w:val="709"/>
    <w:uiPriority w:val="99"/>
  </w:style>
  <w:style w:type="paragraph" w:styleId="711">
    <w:name w:val="Footer"/>
    <w:basedOn w:val="662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basedOn w:val="672"/>
    <w:uiPriority w:val="99"/>
  </w:style>
  <w:style w:type="paragraph" w:styleId="713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 w:customStyle="1">
    <w:name w:val="Table Grid Light"/>
    <w:basedOn w:val="6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>
    <w:name w:val="Plain Table 1"/>
    <w:basedOn w:val="67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67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4" w:customStyle="1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5" w:customStyle="1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6" w:customStyle="1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7" w:customStyle="1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8" w:customStyle="1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9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6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8" w:customStyle="1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9" w:customStyle="1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0" w:customStyle="1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1" w:customStyle="1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 w:customStyle="1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7" w:customStyle="1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8" w:customStyle="1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9" w:customStyle="1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0" w:customStyle="1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1" w:customStyle="1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2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ned - Accent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Lined - Accent 2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Lined - Accent 3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Lined - Accent 4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Lined - Accent 5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Lined - Accent 6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 &amp; Lined - Accent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8" w:customStyle="1">
    <w:name w:val="Bordered &amp; Lined - Accent 2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Bordered &amp; Lined - Accent 3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Bordered &amp; Lined - Accent 4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Bordered &amp; Lined - Accent 5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2" w:customStyle="1">
    <w:name w:val="Bordered &amp; Lined - Accent 6"/>
    <w:basedOn w:val="67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5" w:customStyle="1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6" w:customStyle="1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7" w:customStyle="1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8" w:customStyle="1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9" w:customStyle="1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563c1" w:themeColor="hyperlink"/>
      <w:u w:val="single"/>
    </w:rPr>
  </w:style>
  <w:style w:type="paragraph" w:styleId="841">
    <w:name w:val="footnote text"/>
    <w:basedOn w:val="662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basedOn w:val="672"/>
    <w:uiPriority w:val="99"/>
    <w:unhideWhenUsed/>
    <w:rPr>
      <w:vertAlign w:val="superscript"/>
    </w:rPr>
  </w:style>
  <w:style w:type="paragraph" w:styleId="844">
    <w:name w:val="endnote text"/>
    <w:basedOn w:val="662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basedOn w:val="672"/>
    <w:uiPriority w:val="99"/>
    <w:semiHidden/>
    <w:unhideWhenUsed/>
    <w:rPr>
      <w:vertAlign w:val="superscript"/>
    </w:rPr>
  </w:style>
  <w:style w:type="paragraph" w:styleId="847">
    <w:name w:val="toc 1"/>
    <w:basedOn w:val="662"/>
    <w:next w:val="662"/>
    <w:uiPriority w:val="39"/>
    <w:unhideWhenUsed/>
    <w:pPr>
      <w:spacing w:after="57"/>
    </w:pPr>
  </w:style>
  <w:style w:type="paragraph" w:styleId="848">
    <w:name w:val="toc 2"/>
    <w:basedOn w:val="662"/>
    <w:next w:val="662"/>
    <w:uiPriority w:val="39"/>
    <w:unhideWhenUsed/>
    <w:pPr>
      <w:ind w:left="283"/>
      <w:spacing w:after="57"/>
    </w:pPr>
  </w:style>
  <w:style w:type="paragraph" w:styleId="849">
    <w:name w:val="toc 3"/>
    <w:basedOn w:val="662"/>
    <w:next w:val="662"/>
    <w:uiPriority w:val="39"/>
    <w:unhideWhenUsed/>
    <w:pPr>
      <w:ind w:left="567"/>
      <w:spacing w:after="57"/>
    </w:pPr>
  </w:style>
  <w:style w:type="paragraph" w:styleId="850">
    <w:name w:val="toc 4"/>
    <w:basedOn w:val="662"/>
    <w:next w:val="662"/>
    <w:uiPriority w:val="39"/>
    <w:unhideWhenUsed/>
    <w:pPr>
      <w:ind w:left="850"/>
      <w:spacing w:after="57"/>
    </w:pPr>
  </w:style>
  <w:style w:type="paragraph" w:styleId="851">
    <w:name w:val="toc 5"/>
    <w:basedOn w:val="662"/>
    <w:next w:val="662"/>
    <w:uiPriority w:val="39"/>
    <w:unhideWhenUsed/>
    <w:pPr>
      <w:ind w:left="1134"/>
      <w:spacing w:after="57"/>
    </w:pPr>
  </w:style>
  <w:style w:type="paragraph" w:styleId="852">
    <w:name w:val="toc 6"/>
    <w:basedOn w:val="662"/>
    <w:next w:val="662"/>
    <w:uiPriority w:val="39"/>
    <w:unhideWhenUsed/>
    <w:pPr>
      <w:ind w:left="1417"/>
      <w:spacing w:after="57"/>
    </w:pPr>
  </w:style>
  <w:style w:type="paragraph" w:styleId="853">
    <w:name w:val="toc 7"/>
    <w:basedOn w:val="662"/>
    <w:next w:val="662"/>
    <w:uiPriority w:val="39"/>
    <w:unhideWhenUsed/>
    <w:pPr>
      <w:ind w:left="1701"/>
      <w:spacing w:after="57"/>
    </w:pPr>
  </w:style>
  <w:style w:type="paragraph" w:styleId="854">
    <w:name w:val="toc 8"/>
    <w:basedOn w:val="662"/>
    <w:next w:val="662"/>
    <w:uiPriority w:val="39"/>
    <w:unhideWhenUsed/>
    <w:pPr>
      <w:ind w:left="1984"/>
      <w:spacing w:after="57"/>
    </w:pPr>
  </w:style>
  <w:style w:type="paragraph" w:styleId="855">
    <w:name w:val="toc 9"/>
    <w:basedOn w:val="662"/>
    <w:next w:val="662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62"/>
    <w:next w:val="662"/>
    <w:uiPriority w:val="99"/>
    <w:unhideWhenUsed/>
    <w:pPr>
      <w:spacing w:after="0"/>
    </w:pPr>
  </w:style>
  <w:style w:type="table" w:styleId="858">
    <w:name w:val="Table Grid"/>
    <w:basedOn w:val="67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9">
    <w:name w:val="No Spacing"/>
    <w:uiPriority w:val="1"/>
    <w:qFormat/>
    <w:pPr>
      <w:spacing w:after="0" w:line="240" w:lineRule="auto"/>
    </w:pPr>
  </w:style>
  <w:style w:type="paragraph" w:styleId="860">
    <w:name w:val="List Paragraph"/>
    <w:basedOn w:val="662"/>
    <w:uiPriority w:val="34"/>
    <w:qFormat/>
    <w:pPr>
      <w:contextualSpacing/>
      <w:ind w:left="720"/>
    </w:pPr>
  </w:style>
  <w:style w:type="character" w:styleId="861" w:customStyle="1">
    <w:name w:val="Основной текст_"/>
    <w:basedOn w:val="672"/>
    <w:link w:val="862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paragraph" w:styleId="862" w:customStyle="1">
    <w:name w:val="Основной текст1"/>
    <w:basedOn w:val="662"/>
    <w:link w:val="861"/>
    <w:pPr>
      <w:jc w:val="both"/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63">
    <w:name w:val="Balloon Text"/>
    <w:basedOn w:val="662"/>
    <w:link w:val="86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4" w:customStyle="1">
    <w:name w:val="Текст выноски Знак"/>
    <w:basedOn w:val="672"/>
    <w:link w:val="86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Кадникова Марина Ивановна</dc:creator>
  <cp:keywords/>
  <dc:description/>
  <cp:revision>26</cp:revision>
  <dcterms:created xsi:type="dcterms:W3CDTF">2022-12-26T02:55:00Z</dcterms:created>
  <dcterms:modified xsi:type="dcterms:W3CDTF">2025-01-14T02:24:51Z</dcterms:modified>
</cp:coreProperties>
</file>