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4.xml" ContentType="application/vnd.openxmlformats-officedocument.wordprocessingml.header+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BB8D6" w14:textId="77777777" w:rsidR="00B25BE6" w:rsidRDefault="0078660F" w:rsidP="00B25BE6">
      <w:r>
        <w:rPr>
          <w:noProof/>
        </w:rPr>
        <mc:AlternateContent>
          <mc:Choice Requires="wps">
            <w:drawing>
              <wp:anchor distT="0" distB="0" distL="114300" distR="114300" simplePos="0" relativeHeight="251673600" behindDoc="0" locked="0" layoutInCell="1" allowOverlap="1" wp14:anchorId="51ED93CD" wp14:editId="224C0168">
                <wp:simplePos x="0" y="0"/>
                <wp:positionH relativeFrom="column">
                  <wp:posOffset>-864870</wp:posOffset>
                </wp:positionH>
                <wp:positionV relativeFrom="paragraph">
                  <wp:posOffset>-391160</wp:posOffset>
                </wp:positionV>
                <wp:extent cx="7508082" cy="378618"/>
                <wp:effectExtent l="0" t="0" r="0" b="254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8082" cy="378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9C637" w14:textId="77777777" w:rsidR="00E77388" w:rsidRPr="00E65411" w:rsidRDefault="00E77388" w:rsidP="0078660F">
                            <w:pPr>
                              <w:rPr>
                                <w:rFonts w:ascii="Times New Roman" w:hAnsi="Times New Roman" w:cs="Times New Roman"/>
                              </w:rPr>
                            </w:pPr>
                            <w:r w:rsidRPr="00E65411">
                              <w:rPr>
                                <w:rFonts w:ascii="Times New Roman" w:hAnsi="Times New Roman" w:cs="Times New Roman"/>
                              </w:rPr>
                              <w:t>МИНИСТЕРСТВО ЭКОНОМИЧЕСКОГО РАЗВИТИЯ</w:t>
                            </w:r>
                          </w:p>
                          <w:p w14:paraId="7865FF5F" w14:textId="77777777" w:rsidR="00E77388" w:rsidRPr="00E65411" w:rsidRDefault="00E77388" w:rsidP="0078660F">
                            <w:pPr>
                              <w:rPr>
                                <w:rFonts w:ascii="Times New Roman" w:hAnsi="Times New Roman" w:cs="Times New Roman"/>
                              </w:rPr>
                            </w:pPr>
                            <w:r w:rsidRPr="00E65411">
                              <w:rPr>
                                <w:rFonts w:ascii="Times New Roman" w:hAnsi="Times New Roman" w:cs="Times New Roman"/>
                              </w:rPr>
                              <w:t>НОВОСИБИРСКОЙ ОБЛАСТИ</w:t>
                            </w:r>
                          </w:p>
                          <w:p w14:paraId="7C02E614" w14:textId="77777777" w:rsidR="00E77388" w:rsidRDefault="00E77388" w:rsidP="00786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D93CD" id="Прямоугольник 37" o:spid="_x0000_s1026" style="position:absolute;left:0;text-align:left;margin-left:-68.1pt;margin-top:-30.8pt;width:591.2pt;height:2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" stroked="f">
                <v:textbox>
                  <w:txbxContent>
                    <w:p w14:paraId="59E9C637" w14:textId="77777777" w:rsidR="00E77388" w:rsidRPr="00E65411" w:rsidRDefault="00E77388" w:rsidP="0078660F">
                      <w:pPr>
                        <w:rPr>
                          <w:rFonts w:ascii="Times New Roman" w:hAnsi="Times New Roman" w:cs="Times New Roman"/>
                        </w:rPr>
                      </w:pPr>
                      <w:r w:rsidRPr="00E65411">
                        <w:rPr>
                          <w:rFonts w:ascii="Times New Roman" w:hAnsi="Times New Roman" w:cs="Times New Roman"/>
                        </w:rPr>
                        <w:t>МИНИСТЕРСТВО ЭКОНОМИЧЕСКОГО РАЗВИТИЯ</w:t>
                      </w:r>
                    </w:p>
                    <w:p w14:paraId="7865FF5F" w14:textId="77777777" w:rsidR="00E77388" w:rsidRPr="00E65411" w:rsidRDefault="00E77388" w:rsidP="0078660F">
                      <w:pPr>
                        <w:rPr>
                          <w:rFonts w:ascii="Times New Roman" w:hAnsi="Times New Roman" w:cs="Times New Roman"/>
                        </w:rPr>
                      </w:pPr>
                      <w:r w:rsidRPr="00E65411">
                        <w:rPr>
                          <w:rFonts w:ascii="Times New Roman" w:hAnsi="Times New Roman" w:cs="Times New Roman"/>
                        </w:rPr>
                        <w:t>НОВОСИБИРСКОЙ ОБЛАСТИ</w:t>
                      </w:r>
                    </w:p>
                    <w:p w14:paraId="7C02E614" w14:textId="77777777" w:rsidR="00E77388" w:rsidRDefault="00E77388" w:rsidP="0078660F"/>
                  </w:txbxContent>
                </v:textbox>
              </v:rect>
            </w:pict>
          </mc:Fallback>
        </mc:AlternateContent>
      </w:r>
    </w:p>
    <w:p w14:paraId="4C2ED544" w14:textId="77777777" w:rsidR="00B25BE6" w:rsidRDefault="00B25BE6" w:rsidP="00B25BE6"/>
    <w:p w14:paraId="3BB85E48" w14:textId="77777777" w:rsidR="00B25BE6" w:rsidRDefault="00B25BE6" w:rsidP="00B25BE6"/>
    <w:p w14:paraId="2B05BC0F" w14:textId="77777777" w:rsidR="00B25BE6" w:rsidRDefault="00B25BE6" w:rsidP="00B25BE6"/>
    <w:p w14:paraId="160C655E" w14:textId="77777777" w:rsidR="00B25BE6" w:rsidRDefault="00B25BE6" w:rsidP="00B25BE6"/>
    <w:p w14:paraId="7499796C" w14:textId="77777777" w:rsidR="00B25BE6" w:rsidRDefault="0078660F" w:rsidP="00B25BE6">
      <w:r>
        <w:rPr>
          <w:noProof/>
        </w:rPr>
        <mc:AlternateContent>
          <mc:Choice Requires="wps">
            <w:drawing>
              <wp:anchor distT="0" distB="0" distL="114300" distR="114300" simplePos="0" relativeHeight="251674624" behindDoc="0" locked="0" layoutInCell="1" allowOverlap="1" wp14:anchorId="58DEB5C4" wp14:editId="72F008E0">
                <wp:simplePos x="0" y="0"/>
                <wp:positionH relativeFrom="column">
                  <wp:posOffset>431800</wp:posOffset>
                </wp:positionH>
                <wp:positionV relativeFrom="paragraph">
                  <wp:posOffset>10086975</wp:posOffset>
                </wp:positionV>
                <wp:extent cx="6734810" cy="482600"/>
                <wp:effectExtent l="3175" t="0" r="0" b="317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81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A7756" w14:textId="77777777" w:rsidR="00E77388" w:rsidRPr="00BB608B" w:rsidRDefault="00E77388" w:rsidP="0078660F">
                            <w:pPr>
                              <w:rPr>
                                <w:rFonts w:ascii="Times New Roman" w:hAnsi="Times New Roman" w:cs="Times New Roman"/>
                                <w:sz w:val="24"/>
                                <w:szCs w:val="24"/>
                              </w:rPr>
                            </w:pPr>
                            <w:r w:rsidRPr="00BB608B">
                              <w:rPr>
                                <w:rFonts w:ascii="Times New Roman" w:hAnsi="Times New Roman" w:cs="Times New Roman"/>
                                <w:sz w:val="24"/>
                                <w:szCs w:val="24"/>
                              </w:rPr>
                              <w:t>г. Новосибирск</w:t>
                            </w:r>
                          </w:p>
                          <w:p w14:paraId="11311349" w14:textId="77777777" w:rsidR="00E77388" w:rsidRPr="00BB608B" w:rsidRDefault="00E3307E" w:rsidP="0078660F">
                            <w:pPr>
                              <w:rPr>
                                <w:rFonts w:ascii="Times New Roman" w:hAnsi="Times New Roman" w:cs="Times New Roman"/>
                                <w:color w:val="083576"/>
                                <w:sz w:val="24"/>
                                <w:szCs w:val="24"/>
                              </w:rPr>
                            </w:pPr>
                            <w:hyperlink r:id="rId8" w:history="1">
                              <w:r w:rsidR="00E77388" w:rsidRPr="00BB608B">
                                <w:rPr>
                                  <w:rStyle w:val="a3"/>
                                  <w:rFonts w:ascii="Times New Roman" w:hAnsi="Times New Roman" w:cs="Times New Roman"/>
                                  <w:color w:val="083576"/>
                                  <w:sz w:val="24"/>
                                  <w:szCs w:val="24"/>
                                  <w:lang w:val="de-DE"/>
                                </w:rPr>
                                <w:t>mineconom@nso.ru</w:t>
                              </w:r>
                            </w:hyperlink>
                          </w:p>
                          <w:p w14:paraId="22BD8082" w14:textId="77777777" w:rsidR="00E77388" w:rsidRDefault="00E77388" w:rsidP="00786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EB5C4" id="Прямоугольник 40" o:spid="_x0000_s1027" style="position:absolute;left:0;text-align:left;margin-left:34pt;margin-top:794.25pt;width:530.3pt;height: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" stroked="f">
                <v:textbox>
                  <w:txbxContent>
                    <w:p w14:paraId="6D2A7756" w14:textId="77777777" w:rsidR="00E77388" w:rsidRPr="00BB608B" w:rsidRDefault="00E77388" w:rsidP="0078660F">
                      <w:pPr>
                        <w:rPr>
                          <w:rFonts w:ascii="Times New Roman" w:hAnsi="Times New Roman" w:cs="Times New Roman"/>
                          <w:sz w:val="24"/>
                          <w:szCs w:val="24"/>
                        </w:rPr>
                      </w:pPr>
                      <w:r w:rsidRPr="00BB608B">
                        <w:rPr>
                          <w:rFonts w:ascii="Times New Roman" w:hAnsi="Times New Roman" w:cs="Times New Roman"/>
                          <w:sz w:val="24"/>
                          <w:szCs w:val="24"/>
                        </w:rPr>
                        <w:t>г. Новосибирск</w:t>
                      </w:r>
                    </w:p>
                    <w:p w14:paraId="11311349" w14:textId="77777777" w:rsidR="00E77388" w:rsidRPr="00BB608B" w:rsidRDefault="00E77388" w:rsidP="0078660F">
                      <w:pPr>
                        <w:rPr>
                          <w:rFonts w:ascii="Times New Roman" w:hAnsi="Times New Roman" w:cs="Times New Roman"/>
                          <w:color w:val="083576"/>
                          <w:sz w:val="24"/>
                          <w:szCs w:val="24"/>
                        </w:rPr>
                      </w:pPr>
                      <w:hyperlink r:id="rId9" w:history="1">
                        <w:r w:rsidRPr="00BB608B">
                          <w:rPr>
                            <w:rStyle w:val="a3"/>
                            <w:rFonts w:ascii="Times New Roman" w:hAnsi="Times New Roman" w:cs="Times New Roman"/>
                            <w:color w:val="083576"/>
                            <w:sz w:val="24"/>
                            <w:szCs w:val="24"/>
                            <w:lang w:val="de-DE"/>
                          </w:rPr>
                          <w:t>mineconom@nso.ru</w:t>
                        </w:r>
                      </w:hyperlink>
                    </w:p>
                    <w:p w14:paraId="22BD8082" w14:textId="77777777" w:rsidR="00E77388" w:rsidRDefault="00E77388" w:rsidP="0078660F"/>
                  </w:txbxContent>
                </v:textbox>
              </v:rect>
            </w:pict>
          </mc:Fallback>
        </mc:AlternateContent>
      </w:r>
    </w:p>
    <w:p w14:paraId="3ED41FDE" w14:textId="77777777" w:rsidR="0078660F" w:rsidRDefault="0078660F" w:rsidP="00B25BE6"/>
    <w:p w14:paraId="6AD75665" w14:textId="77777777" w:rsidR="0078660F" w:rsidRDefault="0078660F" w:rsidP="00B25BE6"/>
    <w:p w14:paraId="621A5D38" w14:textId="77777777" w:rsidR="0078660F" w:rsidRDefault="0078660F" w:rsidP="00B25BE6"/>
    <w:p w14:paraId="2877295A" w14:textId="77777777" w:rsidR="00B25BE6" w:rsidRDefault="00E37891" w:rsidP="00B25BE6">
      <w:r>
        <w:rPr>
          <w:noProof/>
        </w:rPr>
        <mc:AlternateContent>
          <mc:Choice Requires="wps">
            <w:drawing>
              <wp:anchor distT="0" distB="0" distL="114300" distR="114300" simplePos="0" relativeHeight="251672576" behindDoc="0" locked="0" layoutInCell="1" allowOverlap="1" wp14:anchorId="7D91700F" wp14:editId="4F84E4DC">
                <wp:simplePos x="0" y="0"/>
                <wp:positionH relativeFrom="column">
                  <wp:posOffset>-694690</wp:posOffset>
                </wp:positionH>
                <wp:positionV relativeFrom="paragraph">
                  <wp:posOffset>161925</wp:posOffset>
                </wp:positionV>
                <wp:extent cx="7056120" cy="2099945"/>
                <wp:effectExtent l="0" t="0" r="0"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6120" cy="2099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40965" w14:textId="77777777" w:rsidR="00E77388" w:rsidRPr="00BB608B" w:rsidRDefault="00E77388" w:rsidP="0078660F">
                            <w:pPr>
                              <w:rPr>
                                <w:rFonts w:ascii="Times New Roman" w:eastAsiaTheme="majorEastAsia" w:hAnsi="Times New Roman" w:cstheme="majorBidi"/>
                                <w:b/>
                                <w:caps/>
                                <w:color w:val="002060" w:themeColor="text2"/>
                                <w:spacing w:val="30"/>
                                <w:sz w:val="48"/>
                                <w:szCs w:val="48"/>
                              </w:rPr>
                            </w:pPr>
                            <w:r w:rsidRPr="00BB608B">
                              <w:rPr>
                                <w:rFonts w:ascii="Times New Roman" w:eastAsiaTheme="majorEastAsia" w:hAnsi="Times New Roman" w:cstheme="majorBidi"/>
                                <w:b/>
                                <w:caps/>
                                <w:color w:val="002060" w:themeColor="text2"/>
                                <w:spacing w:val="30"/>
                                <w:sz w:val="48"/>
                                <w:szCs w:val="48"/>
                              </w:rPr>
                              <w:t>ДОКЛАД</w:t>
                            </w:r>
                          </w:p>
                          <w:p w14:paraId="4EE94E31" w14:textId="77777777" w:rsidR="00E77388" w:rsidRPr="00BB608B" w:rsidRDefault="00E77388" w:rsidP="00E37891">
                            <w:pPr>
                              <w:ind w:right="-803"/>
                              <w:rPr>
                                <w:rFonts w:ascii="Times New Roman" w:eastAsiaTheme="majorEastAsia" w:hAnsi="Times New Roman" w:cstheme="majorBidi"/>
                                <w:b/>
                                <w:caps/>
                                <w:color w:val="002060" w:themeColor="text2"/>
                                <w:spacing w:val="30"/>
                                <w:sz w:val="48"/>
                                <w:szCs w:val="48"/>
                              </w:rPr>
                            </w:pPr>
                            <w:r w:rsidRPr="00BB608B">
                              <w:rPr>
                                <w:rFonts w:ascii="Times New Roman" w:eastAsiaTheme="majorEastAsia" w:hAnsi="Times New Roman" w:cstheme="majorBidi"/>
                                <w:b/>
                                <w:caps/>
                                <w:color w:val="002060" w:themeColor="text2"/>
                                <w:spacing w:val="30"/>
                                <w:sz w:val="48"/>
                                <w:szCs w:val="48"/>
                              </w:rPr>
                              <w:t>О СОСТОЯНИИ И РАЗВИТИИ КОНКУРЕНЦИИ</w:t>
                            </w:r>
                          </w:p>
                          <w:p w14:paraId="67699A38" w14:textId="77777777" w:rsidR="00E77388" w:rsidRPr="00BB608B" w:rsidRDefault="00E77388" w:rsidP="0078660F">
                            <w:pPr>
                              <w:rPr>
                                <w:rFonts w:ascii="Times New Roman" w:eastAsiaTheme="majorEastAsia" w:hAnsi="Times New Roman" w:cstheme="majorBidi"/>
                                <w:b/>
                                <w:caps/>
                                <w:color w:val="002060" w:themeColor="text2"/>
                                <w:spacing w:val="30"/>
                                <w:sz w:val="48"/>
                                <w:szCs w:val="48"/>
                              </w:rPr>
                            </w:pPr>
                            <w:r w:rsidRPr="00BB608B">
                              <w:rPr>
                                <w:rFonts w:ascii="Times New Roman" w:eastAsiaTheme="majorEastAsia" w:hAnsi="Times New Roman" w:cstheme="majorBidi"/>
                                <w:b/>
                                <w:caps/>
                                <w:color w:val="002060" w:themeColor="text2"/>
                                <w:spacing w:val="30"/>
                                <w:sz w:val="48"/>
                                <w:szCs w:val="48"/>
                              </w:rPr>
                              <w:t>НА ТОВАРНЫХ РЫНКАХ</w:t>
                            </w:r>
                          </w:p>
                          <w:p w14:paraId="594E502D" w14:textId="77777777" w:rsidR="00E77388" w:rsidRDefault="00E77388" w:rsidP="0078660F">
                            <w:pPr>
                              <w:rPr>
                                <w:rFonts w:ascii="Times New Roman" w:eastAsiaTheme="majorEastAsia" w:hAnsi="Times New Roman" w:cstheme="majorBidi"/>
                                <w:b/>
                                <w:caps/>
                                <w:color w:val="002060" w:themeColor="text2"/>
                                <w:spacing w:val="30"/>
                                <w:sz w:val="48"/>
                                <w:szCs w:val="48"/>
                              </w:rPr>
                            </w:pPr>
                            <w:r w:rsidRPr="00BB608B">
                              <w:rPr>
                                <w:rFonts w:ascii="Times New Roman" w:eastAsiaTheme="majorEastAsia" w:hAnsi="Times New Roman" w:cstheme="majorBidi"/>
                                <w:b/>
                                <w:caps/>
                                <w:color w:val="002060" w:themeColor="text2"/>
                                <w:spacing w:val="30"/>
                                <w:sz w:val="48"/>
                                <w:szCs w:val="48"/>
                              </w:rPr>
                              <w:t>НОВОСИБИРСКОЙ ОБЛАСТИ</w:t>
                            </w:r>
                          </w:p>
                          <w:p w14:paraId="2C66B587" w14:textId="77777777" w:rsidR="00E77388" w:rsidRPr="009D413F" w:rsidRDefault="00E77388" w:rsidP="0078660F">
                            <w:pPr>
                              <w:rPr>
                                <w:rFonts w:ascii="Times New Roman" w:eastAsiaTheme="majorEastAsia" w:hAnsi="Times New Roman" w:cstheme="majorBidi"/>
                                <w:b/>
                                <w:caps/>
                                <w:color w:val="002060" w:themeColor="text2"/>
                                <w:spacing w:val="30"/>
                                <w:sz w:val="40"/>
                                <w:szCs w:val="40"/>
                              </w:rPr>
                            </w:pPr>
                            <w:r w:rsidRPr="009D413F">
                              <w:rPr>
                                <w:rFonts w:ascii="Times New Roman" w:eastAsiaTheme="majorEastAsia" w:hAnsi="Times New Roman" w:cstheme="majorBidi"/>
                                <w:b/>
                                <w:caps/>
                                <w:color w:val="002060" w:themeColor="text2"/>
                                <w:spacing w:val="30"/>
                                <w:sz w:val="40"/>
                                <w:szCs w:val="40"/>
                              </w:rPr>
                              <w:t>за 2019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1700F" id="Прямоугольник 35" o:spid="_x0000_s1028" style="position:absolute;left:0;text-align:left;margin-left:-54.7pt;margin-top:12.75pt;width:555.6pt;height:16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" stroked="f">
                <v:textbox>
                  <w:txbxContent>
                    <w:p w14:paraId="6D040965" w14:textId="77777777" w:rsidR="00E77388" w:rsidRPr="00BB608B" w:rsidRDefault="00E77388" w:rsidP="0078660F">
                      <w:pPr>
                        <w:rPr>
                          <w:rFonts w:ascii="Times New Roman" w:eastAsiaTheme="majorEastAsia" w:hAnsi="Times New Roman" w:cstheme="majorBidi"/>
                          <w:b/>
                          <w:caps/>
                          <w:color w:val="002060" w:themeColor="text2"/>
                          <w:spacing w:val="30"/>
                          <w:sz w:val="48"/>
                          <w:szCs w:val="48"/>
                        </w:rPr>
                      </w:pPr>
                      <w:r w:rsidRPr="00BB608B">
                        <w:rPr>
                          <w:rFonts w:ascii="Times New Roman" w:eastAsiaTheme="majorEastAsia" w:hAnsi="Times New Roman" w:cstheme="majorBidi"/>
                          <w:b/>
                          <w:caps/>
                          <w:color w:val="002060" w:themeColor="text2"/>
                          <w:spacing w:val="30"/>
                          <w:sz w:val="48"/>
                          <w:szCs w:val="48"/>
                        </w:rPr>
                        <w:t>ДОКЛАД</w:t>
                      </w:r>
                    </w:p>
                    <w:p w14:paraId="4EE94E31" w14:textId="77777777" w:rsidR="00E77388" w:rsidRPr="00BB608B" w:rsidRDefault="00E77388" w:rsidP="00E37891">
                      <w:pPr>
                        <w:ind w:right="-803"/>
                        <w:rPr>
                          <w:rFonts w:ascii="Times New Roman" w:eastAsiaTheme="majorEastAsia" w:hAnsi="Times New Roman" w:cstheme="majorBidi"/>
                          <w:b/>
                          <w:caps/>
                          <w:color w:val="002060" w:themeColor="text2"/>
                          <w:spacing w:val="30"/>
                          <w:sz w:val="48"/>
                          <w:szCs w:val="48"/>
                        </w:rPr>
                      </w:pPr>
                      <w:r w:rsidRPr="00BB608B">
                        <w:rPr>
                          <w:rFonts w:ascii="Times New Roman" w:eastAsiaTheme="majorEastAsia" w:hAnsi="Times New Roman" w:cstheme="majorBidi"/>
                          <w:b/>
                          <w:caps/>
                          <w:color w:val="002060" w:themeColor="text2"/>
                          <w:spacing w:val="30"/>
                          <w:sz w:val="48"/>
                          <w:szCs w:val="48"/>
                        </w:rPr>
                        <w:t>О СОСТОЯНИИ И РАЗВИТИИ КОНКУРЕНЦИИ</w:t>
                      </w:r>
                    </w:p>
                    <w:p w14:paraId="67699A38" w14:textId="77777777" w:rsidR="00E77388" w:rsidRPr="00BB608B" w:rsidRDefault="00E77388" w:rsidP="0078660F">
                      <w:pPr>
                        <w:rPr>
                          <w:rFonts w:ascii="Times New Roman" w:eastAsiaTheme="majorEastAsia" w:hAnsi="Times New Roman" w:cstheme="majorBidi"/>
                          <w:b/>
                          <w:caps/>
                          <w:color w:val="002060" w:themeColor="text2"/>
                          <w:spacing w:val="30"/>
                          <w:sz w:val="48"/>
                          <w:szCs w:val="48"/>
                        </w:rPr>
                      </w:pPr>
                      <w:r w:rsidRPr="00BB608B">
                        <w:rPr>
                          <w:rFonts w:ascii="Times New Roman" w:eastAsiaTheme="majorEastAsia" w:hAnsi="Times New Roman" w:cstheme="majorBidi"/>
                          <w:b/>
                          <w:caps/>
                          <w:color w:val="002060" w:themeColor="text2"/>
                          <w:spacing w:val="30"/>
                          <w:sz w:val="48"/>
                          <w:szCs w:val="48"/>
                        </w:rPr>
                        <w:t>НА ТОВАРНЫХ РЫНКАХ</w:t>
                      </w:r>
                    </w:p>
                    <w:p w14:paraId="594E502D" w14:textId="77777777" w:rsidR="00E77388" w:rsidRDefault="00E77388" w:rsidP="0078660F">
                      <w:pPr>
                        <w:rPr>
                          <w:rFonts w:ascii="Times New Roman" w:eastAsiaTheme="majorEastAsia" w:hAnsi="Times New Roman" w:cstheme="majorBidi"/>
                          <w:b/>
                          <w:caps/>
                          <w:color w:val="002060" w:themeColor="text2"/>
                          <w:spacing w:val="30"/>
                          <w:sz w:val="48"/>
                          <w:szCs w:val="48"/>
                        </w:rPr>
                      </w:pPr>
                      <w:r w:rsidRPr="00BB608B">
                        <w:rPr>
                          <w:rFonts w:ascii="Times New Roman" w:eastAsiaTheme="majorEastAsia" w:hAnsi="Times New Roman" w:cstheme="majorBidi"/>
                          <w:b/>
                          <w:caps/>
                          <w:color w:val="002060" w:themeColor="text2"/>
                          <w:spacing w:val="30"/>
                          <w:sz w:val="48"/>
                          <w:szCs w:val="48"/>
                        </w:rPr>
                        <w:t>НОВОСИБИРСКОЙ ОБЛАСТИ</w:t>
                      </w:r>
                    </w:p>
                    <w:p w14:paraId="2C66B587" w14:textId="77777777" w:rsidR="00E77388" w:rsidRPr="009D413F" w:rsidRDefault="00E77388" w:rsidP="0078660F">
                      <w:pPr>
                        <w:rPr>
                          <w:rFonts w:ascii="Times New Roman" w:eastAsiaTheme="majorEastAsia" w:hAnsi="Times New Roman" w:cstheme="majorBidi"/>
                          <w:b/>
                          <w:caps/>
                          <w:color w:val="002060" w:themeColor="text2"/>
                          <w:spacing w:val="30"/>
                          <w:sz w:val="40"/>
                          <w:szCs w:val="40"/>
                        </w:rPr>
                      </w:pPr>
                      <w:r w:rsidRPr="009D413F">
                        <w:rPr>
                          <w:rFonts w:ascii="Times New Roman" w:eastAsiaTheme="majorEastAsia" w:hAnsi="Times New Roman" w:cstheme="majorBidi"/>
                          <w:b/>
                          <w:caps/>
                          <w:color w:val="002060" w:themeColor="text2"/>
                          <w:spacing w:val="30"/>
                          <w:sz w:val="40"/>
                          <w:szCs w:val="40"/>
                        </w:rPr>
                        <w:t>за 2019 год</w:t>
                      </w:r>
                    </w:p>
                  </w:txbxContent>
                </v:textbox>
              </v:rect>
            </w:pict>
          </mc:Fallback>
        </mc:AlternateContent>
      </w:r>
    </w:p>
    <w:p w14:paraId="7E7A2CC5" w14:textId="77777777" w:rsidR="00B25BE6" w:rsidRDefault="00B25BE6" w:rsidP="00B25BE6"/>
    <w:p w14:paraId="301481EB" w14:textId="77777777" w:rsidR="00B25BE6" w:rsidRDefault="00B64457" w:rsidP="00B25BE6">
      <w:r>
        <w:rPr>
          <w:noProof/>
        </w:rPr>
        <mc:AlternateContent>
          <mc:Choice Requires="wps">
            <w:drawing>
              <wp:anchor distT="0" distB="0" distL="114300" distR="114300" simplePos="0" relativeHeight="251675648" behindDoc="0" locked="0" layoutInCell="1" allowOverlap="1" wp14:anchorId="384CBE0A" wp14:editId="7323519B">
                <wp:simplePos x="0" y="0"/>
                <wp:positionH relativeFrom="column">
                  <wp:posOffset>-907357</wp:posOffset>
                </wp:positionH>
                <wp:positionV relativeFrom="paragraph">
                  <wp:posOffset>7312083</wp:posOffset>
                </wp:positionV>
                <wp:extent cx="7543800" cy="690418"/>
                <wp:effectExtent l="0" t="0" r="0"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690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FAB1A" w14:textId="77777777" w:rsidR="00E77388" w:rsidRPr="00BB608B" w:rsidRDefault="00E77388" w:rsidP="0078660F">
                            <w:pPr>
                              <w:rPr>
                                <w:rFonts w:ascii="Times New Roman" w:hAnsi="Times New Roman" w:cs="Times New Roman"/>
                                <w:sz w:val="24"/>
                                <w:szCs w:val="24"/>
                              </w:rPr>
                            </w:pPr>
                            <w:r w:rsidRPr="00BB608B">
                              <w:rPr>
                                <w:rFonts w:ascii="Times New Roman" w:hAnsi="Times New Roman" w:cs="Times New Roman"/>
                                <w:sz w:val="24"/>
                                <w:szCs w:val="24"/>
                              </w:rPr>
                              <w:t>г. Новосибирск</w:t>
                            </w:r>
                          </w:p>
                          <w:p w14:paraId="1233C8B5" w14:textId="77777777" w:rsidR="00E77388" w:rsidRPr="00BB608B" w:rsidRDefault="00E3307E" w:rsidP="0078660F">
                            <w:pPr>
                              <w:rPr>
                                <w:rFonts w:ascii="Times New Roman" w:hAnsi="Times New Roman" w:cs="Times New Roman"/>
                                <w:color w:val="083576"/>
                                <w:sz w:val="24"/>
                                <w:szCs w:val="24"/>
                              </w:rPr>
                            </w:pPr>
                            <w:hyperlink r:id="rId10" w:history="1">
                              <w:r w:rsidR="00E77388" w:rsidRPr="00BB608B">
                                <w:rPr>
                                  <w:rStyle w:val="a3"/>
                                  <w:rFonts w:ascii="Times New Roman" w:hAnsi="Times New Roman" w:cs="Times New Roman"/>
                                  <w:color w:val="083576"/>
                                  <w:sz w:val="24"/>
                                  <w:szCs w:val="24"/>
                                  <w:lang w:val="de-DE"/>
                                </w:rPr>
                                <w:t>mineconom@nso.ru</w:t>
                              </w:r>
                            </w:hyperlink>
                          </w:p>
                          <w:p w14:paraId="67A78D6F" w14:textId="77777777" w:rsidR="00E77388" w:rsidRDefault="00E77388" w:rsidP="00786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CBE0A" id="Прямоугольник 42" o:spid="_x0000_s1029" style="position:absolute;left:0;text-align:left;margin-left:-71.45pt;margin-top:575.75pt;width:594pt;height:5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" stroked="f">
                <v:textbox>
                  <w:txbxContent>
                    <w:p w14:paraId="155FAB1A" w14:textId="77777777" w:rsidR="00E77388" w:rsidRPr="00BB608B" w:rsidRDefault="00E77388" w:rsidP="0078660F">
                      <w:pPr>
                        <w:rPr>
                          <w:rFonts w:ascii="Times New Roman" w:hAnsi="Times New Roman" w:cs="Times New Roman"/>
                          <w:sz w:val="24"/>
                          <w:szCs w:val="24"/>
                        </w:rPr>
                      </w:pPr>
                      <w:r w:rsidRPr="00BB608B">
                        <w:rPr>
                          <w:rFonts w:ascii="Times New Roman" w:hAnsi="Times New Roman" w:cs="Times New Roman"/>
                          <w:sz w:val="24"/>
                          <w:szCs w:val="24"/>
                        </w:rPr>
                        <w:t>г. Новосибирск</w:t>
                      </w:r>
                    </w:p>
                    <w:p w14:paraId="1233C8B5" w14:textId="77777777" w:rsidR="00E77388" w:rsidRPr="00BB608B" w:rsidRDefault="00E77388" w:rsidP="0078660F">
                      <w:pPr>
                        <w:rPr>
                          <w:rFonts w:ascii="Times New Roman" w:hAnsi="Times New Roman" w:cs="Times New Roman"/>
                          <w:color w:val="083576"/>
                          <w:sz w:val="24"/>
                          <w:szCs w:val="24"/>
                        </w:rPr>
                      </w:pPr>
                      <w:hyperlink r:id="rId11" w:history="1">
                        <w:r w:rsidRPr="00BB608B">
                          <w:rPr>
                            <w:rStyle w:val="a3"/>
                            <w:rFonts w:ascii="Times New Roman" w:hAnsi="Times New Roman" w:cs="Times New Roman"/>
                            <w:color w:val="083576"/>
                            <w:sz w:val="24"/>
                            <w:szCs w:val="24"/>
                            <w:lang w:val="de-DE"/>
                          </w:rPr>
                          <w:t>mineconom@nso.ru</w:t>
                        </w:r>
                      </w:hyperlink>
                    </w:p>
                    <w:p w14:paraId="67A78D6F" w14:textId="77777777" w:rsidR="00E77388" w:rsidRDefault="00E77388" w:rsidP="0078660F"/>
                  </w:txbxContent>
                </v:textbox>
              </v:rect>
            </w:pict>
          </mc:Fallback>
        </mc:AlternateContent>
      </w:r>
      <w:r w:rsidR="00E37891" w:rsidRPr="00A73568">
        <w:rPr>
          <w:rFonts w:ascii="Times New Roman" w:hAnsi="Times New Roman" w:cs="Times New Roman"/>
          <w:noProof/>
          <w:sz w:val="28"/>
          <w:szCs w:val="28"/>
        </w:rPr>
        <w:drawing>
          <wp:anchor distT="0" distB="0" distL="114300" distR="114300" simplePos="0" relativeHeight="251671552" behindDoc="0" locked="0" layoutInCell="1" allowOverlap="1" wp14:anchorId="2CFEAE8E" wp14:editId="417B522E">
            <wp:simplePos x="0" y="0"/>
            <wp:positionH relativeFrom="column">
              <wp:posOffset>-580390</wp:posOffset>
            </wp:positionH>
            <wp:positionV relativeFrom="paragraph">
              <wp:posOffset>2282190</wp:posOffset>
            </wp:positionV>
            <wp:extent cx="6941820" cy="4051300"/>
            <wp:effectExtent l="0" t="0" r="0" b="6350"/>
            <wp:wrapSquare wrapText="bothSides"/>
            <wp:docPr id="34" name="Рисунок 34" descr="D:\UserData\kea\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descr="D:\UserData\kea\Рабочий стол\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1820" cy="405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8F40F" w14:textId="77777777" w:rsidR="0078660F" w:rsidRDefault="0078660F" w:rsidP="0078660F">
      <w:pPr>
        <w:jc w:val="both"/>
        <w:sectPr w:rsidR="0078660F" w:rsidSect="00124BC6">
          <w:headerReference w:type="default" r:id="rId13"/>
          <w:footerReference w:type="default" r:id="rId14"/>
          <w:headerReference w:type="first" r:id="rId15"/>
          <w:pgSz w:w="11906" w:h="16838" w:code="9"/>
          <w:pgMar w:top="1134" w:right="567" w:bottom="1134" w:left="1418" w:header="709" w:footer="709" w:gutter="0"/>
          <w:pgNumType w:start="0"/>
          <w:cols w:space="720"/>
          <w:docGrid w:linePitch="272"/>
        </w:sectPr>
      </w:pPr>
    </w:p>
    <w:bookmarkStart w:id="0" w:name="_Toc32421885" w:displacedByCustomXml="next"/>
    <w:sdt>
      <w:sdtPr>
        <w:rPr>
          <w:rFonts w:asciiTheme="minorHAnsi" w:eastAsiaTheme="minorEastAsia" w:hAnsiTheme="minorHAnsi" w:cstheme="minorBidi"/>
          <w:color w:val="auto"/>
          <w:sz w:val="21"/>
          <w:szCs w:val="21"/>
        </w:rPr>
        <w:id w:val="-303007530"/>
        <w:docPartObj>
          <w:docPartGallery w:val="Table of Contents"/>
          <w:docPartUnique/>
        </w:docPartObj>
      </w:sdtPr>
      <w:sdtEndPr>
        <w:rPr>
          <w:b/>
          <w:bCs/>
        </w:rPr>
      </w:sdtEndPr>
      <w:sdtContent>
        <w:p w14:paraId="41479534" w14:textId="77777777" w:rsidR="006F4279" w:rsidRPr="006F4279" w:rsidRDefault="006F4279" w:rsidP="006F4279">
          <w:pPr>
            <w:pStyle w:val="aff9"/>
            <w:jc w:val="left"/>
            <w:rPr>
              <w:rFonts w:ascii="Times New Roman" w:hAnsi="Times New Roman"/>
              <w:b/>
              <w:caps/>
              <w:color w:val="002060" w:themeColor="text2"/>
              <w:spacing w:val="30"/>
              <w:sz w:val="28"/>
              <w:szCs w:val="28"/>
            </w:rPr>
          </w:pPr>
          <w:r w:rsidRPr="006F4279">
            <w:rPr>
              <w:rFonts w:ascii="Times New Roman" w:hAnsi="Times New Roman"/>
              <w:b/>
              <w:caps/>
              <w:color w:val="002060" w:themeColor="text2"/>
              <w:spacing w:val="30"/>
              <w:sz w:val="28"/>
              <w:szCs w:val="28"/>
            </w:rPr>
            <w:t>Содержание</w:t>
          </w:r>
        </w:p>
        <w:p w14:paraId="7233B6BE" w14:textId="1C6A432B" w:rsidR="006E548C" w:rsidRPr="006E548C" w:rsidRDefault="006F4279" w:rsidP="006E548C">
          <w:pPr>
            <w:pStyle w:val="14"/>
            <w:spacing w:after="0"/>
            <w:jc w:val="both"/>
            <w:rPr>
              <w:rFonts w:ascii="Times New Roman" w:hAnsi="Times New Roman" w:cs="Times New Roman"/>
              <w:noProof/>
              <w:sz w:val="24"/>
              <w:szCs w:val="24"/>
            </w:rPr>
          </w:pPr>
          <w:r w:rsidRPr="00B64457">
            <w:rPr>
              <w:rFonts w:ascii="Times New Roman" w:hAnsi="Times New Roman" w:cs="Times New Roman"/>
              <w:sz w:val="24"/>
              <w:szCs w:val="24"/>
            </w:rPr>
            <w:fldChar w:fldCharType="begin"/>
          </w:r>
          <w:r w:rsidRPr="00B64457">
            <w:rPr>
              <w:rFonts w:ascii="Times New Roman" w:hAnsi="Times New Roman" w:cs="Times New Roman"/>
              <w:sz w:val="24"/>
              <w:szCs w:val="24"/>
            </w:rPr>
            <w:instrText xml:space="preserve"> TOC \o "1-3" \h \z \u </w:instrText>
          </w:r>
          <w:r w:rsidRPr="00B64457">
            <w:rPr>
              <w:rFonts w:ascii="Times New Roman" w:hAnsi="Times New Roman" w:cs="Times New Roman"/>
              <w:sz w:val="24"/>
              <w:szCs w:val="24"/>
            </w:rPr>
            <w:fldChar w:fldCharType="separate"/>
          </w:r>
          <w:hyperlink w:anchor="_Toc34129164" w:history="1">
            <w:r w:rsidR="006E548C" w:rsidRPr="006E548C">
              <w:rPr>
                <w:rStyle w:val="a3"/>
                <w:rFonts w:ascii="Times New Roman" w:hAnsi="Times New Roman" w:cs="Times New Roman"/>
                <w:noProof/>
                <w:sz w:val="24"/>
                <w:szCs w:val="24"/>
              </w:rPr>
              <w:t>Введение</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_Toc34129164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4</w:t>
            </w:r>
            <w:r w:rsidR="006E548C" w:rsidRPr="006E548C">
              <w:rPr>
                <w:rFonts w:ascii="Times New Roman" w:hAnsi="Times New Roman" w:cs="Times New Roman"/>
                <w:noProof/>
                <w:webHidden/>
                <w:sz w:val="24"/>
                <w:szCs w:val="24"/>
              </w:rPr>
              <w:fldChar w:fldCharType="end"/>
            </w:r>
          </w:hyperlink>
        </w:p>
        <w:p w14:paraId="44F68278" w14:textId="044ACC2D" w:rsidR="006E548C" w:rsidRPr="006E548C" w:rsidRDefault="00E3307E" w:rsidP="006E548C">
          <w:pPr>
            <w:pStyle w:val="14"/>
            <w:spacing w:after="0"/>
            <w:jc w:val="both"/>
            <w:rPr>
              <w:rFonts w:ascii="Times New Roman" w:hAnsi="Times New Roman" w:cs="Times New Roman"/>
              <w:noProof/>
              <w:sz w:val="24"/>
              <w:szCs w:val="24"/>
            </w:rPr>
          </w:pPr>
          <w:hyperlink w:anchor="_Toc34129165" w:history="1">
            <w:r w:rsidR="006E548C" w:rsidRPr="006E548C">
              <w:rPr>
                <w:rStyle w:val="a3"/>
                <w:rFonts w:ascii="Times New Roman" w:hAnsi="Times New Roman" w:cs="Times New Roman"/>
                <w:noProof/>
                <w:sz w:val="24"/>
                <w:szCs w:val="24"/>
              </w:rPr>
              <w:t>Раздел 1. Сведения о внедрении стандарта развития конкуренции в субъектах Российской Федерации</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_Toc34129165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6</w:t>
            </w:r>
            <w:r w:rsidR="006E548C" w:rsidRPr="006E548C">
              <w:rPr>
                <w:rFonts w:ascii="Times New Roman" w:hAnsi="Times New Roman" w:cs="Times New Roman"/>
                <w:noProof/>
                <w:webHidden/>
                <w:sz w:val="24"/>
                <w:szCs w:val="24"/>
              </w:rPr>
              <w:fldChar w:fldCharType="end"/>
            </w:r>
          </w:hyperlink>
        </w:p>
        <w:p w14:paraId="3FF821B7" w14:textId="164186B8" w:rsidR="006E548C" w:rsidRPr="006E548C" w:rsidRDefault="00E3307E" w:rsidP="00F56B3F">
          <w:pPr>
            <w:pStyle w:val="27"/>
            <w:widowControl w:val="0"/>
            <w:spacing w:after="0"/>
            <w:ind w:right="0"/>
            <w:rPr>
              <w:noProof/>
              <w:sz w:val="24"/>
              <w:szCs w:val="24"/>
            </w:rPr>
          </w:pPr>
          <w:hyperlink w:anchor="_Toc34129166" w:history="1">
            <w:r w:rsidR="006E548C" w:rsidRPr="006E548C">
              <w:rPr>
                <w:rStyle w:val="a3"/>
                <w:noProof/>
                <w:sz w:val="24"/>
                <w:szCs w:val="24"/>
              </w:rPr>
              <w:t xml:space="preserve">1.1. Решение высшего должностного лица субъекта Российской Федерации о внедрении стандарта развития конкуренции </w:t>
            </w:r>
            <w:r w:rsidR="00F56B3F">
              <w:rPr>
                <w:rStyle w:val="a3"/>
                <w:noProof/>
                <w:sz w:val="24"/>
                <w:szCs w:val="24"/>
              </w:rPr>
              <w:t>в субъектах Российской Федерации ……………………………</w:t>
            </w:r>
            <w:r w:rsidR="006E548C" w:rsidRPr="006E548C">
              <w:rPr>
                <w:noProof/>
                <w:webHidden/>
                <w:sz w:val="24"/>
                <w:szCs w:val="24"/>
              </w:rPr>
              <w:fldChar w:fldCharType="begin"/>
            </w:r>
            <w:r w:rsidR="006E548C" w:rsidRPr="006E548C">
              <w:rPr>
                <w:noProof/>
                <w:webHidden/>
                <w:sz w:val="24"/>
                <w:szCs w:val="24"/>
              </w:rPr>
              <w:instrText xml:space="preserve"> PAGEREF _Toc34129166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6</w:t>
            </w:r>
            <w:r w:rsidR="006E548C" w:rsidRPr="006E548C">
              <w:rPr>
                <w:noProof/>
                <w:webHidden/>
                <w:sz w:val="24"/>
                <w:szCs w:val="24"/>
              </w:rPr>
              <w:fldChar w:fldCharType="end"/>
            </w:r>
          </w:hyperlink>
        </w:p>
        <w:p w14:paraId="2D324771" w14:textId="132CFF0C" w:rsidR="006E548C" w:rsidRPr="006E548C" w:rsidRDefault="00E3307E" w:rsidP="006E548C">
          <w:pPr>
            <w:pStyle w:val="27"/>
            <w:spacing w:after="0"/>
            <w:rPr>
              <w:noProof/>
              <w:sz w:val="24"/>
              <w:szCs w:val="24"/>
            </w:rPr>
          </w:pPr>
          <w:hyperlink w:anchor="_Toc34129167" w:history="1">
            <w:r w:rsidR="006E548C" w:rsidRPr="006E548C">
              <w:rPr>
                <w:rStyle w:val="a3"/>
                <w:noProof/>
                <w:sz w:val="24"/>
                <w:szCs w:val="24"/>
              </w:rPr>
              <w:t>1.2. Информация о реализации проектного подхода при внедрении Стандарта</w:t>
            </w:r>
            <w:r w:rsidR="00F56B3F">
              <w:rPr>
                <w:rStyle w:val="a3"/>
                <w:noProof/>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_Toc34129167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6</w:t>
            </w:r>
            <w:r w:rsidR="006E548C" w:rsidRPr="006E548C">
              <w:rPr>
                <w:noProof/>
                <w:webHidden/>
                <w:sz w:val="24"/>
                <w:szCs w:val="24"/>
              </w:rPr>
              <w:fldChar w:fldCharType="end"/>
            </w:r>
          </w:hyperlink>
        </w:p>
        <w:p w14:paraId="7CEB8B58" w14:textId="5B1CB9FF" w:rsidR="006E548C" w:rsidRPr="006E548C" w:rsidRDefault="00E3307E" w:rsidP="006E548C">
          <w:pPr>
            <w:pStyle w:val="27"/>
            <w:spacing w:after="0"/>
            <w:rPr>
              <w:noProof/>
              <w:sz w:val="24"/>
              <w:szCs w:val="24"/>
            </w:rPr>
          </w:pPr>
          <w:hyperlink w:anchor="_Toc34129168" w:history="1">
            <w:r w:rsidR="006E548C" w:rsidRPr="006E548C">
              <w:rPr>
                <w:rStyle w:val="a3"/>
                <w:noProof/>
                <w:sz w:val="24"/>
                <w:szCs w:val="24"/>
              </w:rPr>
              <w:t>1.3. Сведения об источниках финансовых средств, используемых для достижения целей Стандарта</w:t>
            </w:r>
            <w:r w:rsidR="00CD2903">
              <w:rPr>
                <w:rStyle w:val="a3"/>
                <w:noProof/>
                <w:sz w:val="24"/>
                <w:szCs w:val="24"/>
              </w:rPr>
              <w:t>…………………………………………………………………………………………….</w:t>
            </w:r>
            <w:r w:rsidR="00CD2903">
              <w:rPr>
                <w:noProof/>
                <w:webHidden/>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_Toc34129168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6</w:t>
            </w:r>
            <w:r w:rsidR="006E548C" w:rsidRPr="006E548C">
              <w:rPr>
                <w:noProof/>
                <w:webHidden/>
                <w:sz w:val="24"/>
                <w:szCs w:val="24"/>
              </w:rPr>
              <w:fldChar w:fldCharType="end"/>
            </w:r>
          </w:hyperlink>
        </w:p>
        <w:p w14:paraId="734DB23E" w14:textId="3D917749" w:rsidR="006E548C" w:rsidRPr="006E548C" w:rsidRDefault="00E3307E" w:rsidP="006E548C">
          <w:pPr>
            <w:pStyle w:val="27"/>
            <w:spacing w:after="0"/>
            <w:rPr>
              <w:noProof/>
              <w:sz w:val="24"/>
              <w:szCs w:val="24"/>
            </w:rPr>
          </w:pPr>
          <w:hyperlink w:anchor="_Toc34129169" w:history="1">
            <w:r w:rsidR="006E548C" w:rsidRPr="006E548C">
              <w:rPr>
                <w:rStyle w:val="a3"/>
                <w:noProof/>
                <w:sz w:val="24"/>
                <w:szCs w:val="24"/>
              </w:rPr>
              <w:t>1.4. 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r w:rsidR="00CD2903">
              <w:rPr>
                <w:rStyle w:val="a3"/>
                <w:noProof/>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_Toc34129169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15</w:t>
            </w:r>
            <w:r w:rsidR="006E548C" w:rsidRPr="006E548C">
              <w:rPr>
                <w:noProof/>
                <w:webHidden/>
                <w:sz w:val="24"/>
                <w:szCs w:val="24"/>
              </w:rPr>
              <w:fldChar w:fldCharType="end"/>
            </w:r>
          </w:hyperlink>
        </w:p>
        <w:p w14:paraId="06BBD75C" w14:textId="6C541F05" w:rsidR="006E548C" w:rsidRPr="006E548C" w:rsidRDefault="00E3307E" w:rsidP="006E548C">
          <w:pPr>
            <w:pStyle w:val="27"/>
            <w:spacing w:after="0"/>
            <w:rPr>
              <w:noProof/>
              <w:sz w:val="24"/>
              <w:szCs w:val="24"/>
            </w:rPr>
          </w:pPr>
          <w:hyperlink w:anchor="_Toc34129170" w:history="1">
            <w:r w:rsidR="006E548C" w:rsidRPr="006E548C">
              <w:rPr>
                <w:rStyle w:val="a3"/>
                <w:noProof/>
                <w:sz w:val="24"/>
                <w:szCs w:val="24"/>
              </w:rPr>
              <w:t>1.5. Информация об определенных в органах исполнительной власти Новосибирской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r w:rsidR="00CD2903">
              <w:rPr>
                <w:rStyle w:val="a3"/>
                <w:noProof/>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_Toc34129170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16</w:t>
            </w:r>
            <w:r w:rsidR="006E548C" w:rsidRPr="006E548C">
              <w:rPr>
                <w:noProof/>
                <w:webHidden/>
                <w:sz w:val="24"/>
                <w:szCs w:val="24"/>
              </w:rPr>
              <w:fldChar w:fldCharType="end"/>
            </w:r>
          </w:hyperlink>
        </w:p>
        <w:p w14:paraId="6F418803" w14:textId="6EE4F96D" w:rsidR="006E548C" w:rsidRPr="006E548C" w:rsidRDefault="00E3307E" w:rsidP="006E548C">
          <w:pPr>
            <w:pStyle w:val="14"/>
            <w:spacing w:after="0"/>
            <w:jc w:val="both"/>
            <w:rPr>
              <w:rFonts w:ascii="Times New Roman" w:hAnsi="Times New Roman" w:cs="Times New Roman"/>
              <w:noProof/>
              <w:sz w:val="24"/>
              <w:szCs w:val="24"/>
            </w:rPr>
          </w:pPr>
          <w:hyperlink w:anchor="_Toc34129171" w:history="1">
            <w:r w:rsidR="006E548C" w:rsidRPr="006E548C">
              <w:rPr>
                <w:rStyle w:val="a3"/>
                <w:rFonts w:ascii="Times New Roman" w:hAnsi="Times New Roman" w:cs="Times New Roman"/>
                <w:noProof/>
                <w:sz w:val="24"/>
                <w:szCs w:val="24"/>
              </w:rPr>
              <w:t>Раздел 2. Сведения о реализации составляющих Стандарта</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_Toc34129171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25</w:t>
            </w:r>
            <w:r w:rsidR="006E548C" w:rsidRPr="006E548C">
              <w:rPr>
                <w:rFonts w:ascii="Times New Roman" w:hAnsi="Times New Roman" w:cs="Times New Roman"/>
                <w:noProof/>
                <w:webHidden/>
                <w:sz w:val="24"/>
                <w:szCs w:val="24"/>
              </w:rPr>
              <w:fldChar w:fldCharType="end"/>
            </w:r>
          </w:hyperlink>
        </w:p>
        <w:p w14:paraId="400BBFA5" w14:textId="088A7230" w:rsidR="006E548C" w:rsidRPr="006E548C" w:rsidRDefault="00E3307E" w:rsidP="006E548C">
          <w:pPr>
            <w:pStyle w:val="27"/>
            <w:spacing w:after="0"/>
            <w:rPr>
              <w:noProof/>
              <w:sz w:val="24"/>
              <w:szCs w:val="24"/>
            </w:rPr>
          </w:pPr>
          <w:hyperlink w:anchor="_Toc34129172" w:history="1">
            <w:r w:rsidR="006E548C" w:rsidRPr="006E548C">
              <w:rPr>
                <w:rStyle w:val="a3"/>
                <w:noProof/>
                <w:sz w:val="24"/>
                <w:szCs w:val="24"/>
              </w:rPr>
              <w:t>2.1. 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w:t>
            </w:r>
            <w:r w:rsidR="00CD2903">
              <w:rPr>
                <w:rStyle w:val="a3"/>
                <w:noProof/>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_Toc34129172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25</w:t>
            </w:r>
            <w:r w:rsidR="006E548C" w:rsidRPr="006E548C">
              <w:rPr>
                <w:noProof/>
                <w:webHidden/>
                <w:sz w:val="24"/>
                <w:szCs w:val="24"/>
              </w:rPr>
              <w:fldChar w:fldCharType="end"/>
            </w:r>
          </w:hyperlink>
        </w:p>
        <w:p w14:paraId="1DC3EDCB" w14:textId="708FD100" w:rsidR="006E548C" w:rsidRPr="006E548C" w:rsidRDefault="00E3307E" w:rsidP="006E548C">
          <w:pPr>
            <w:pStyle w:val="27"/>
            <w:spacing w:after="0"/>
            <w:rPr>
              <w:noProof/>
              <w:sz w:val="24"/>
              <w:szCs w:val="24"/>
            </w:rPr>
          </w:pPr>
          <w:hyperlink w:anchor="_Toc34129173" w:history="1">
            <w:r w:rsidR="006E548C" w:rsidRPr="006E548C">
              <w:rPr>
                <w:rStyle w:val="a3"/>
                <w:noProof/>
                <w:sz w:val="24"/>
                <w:szCs w:val="24"/>
              </w:rPr>
              <w:t>2.2. 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w:t>
            </w:r>
            <w:r w:rsidR="00CD2903">
              <w:rPr>
                <w:rStyle w:val="a3"/>
                <w:noProof/>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_Toc34129173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26</w:t>
            </w:r>
            <w:r w:rsidR="006E548C" w:rsidRPr="006E548C">
              <w:rPr>
                <w:noProof/>
                <w:webHidden/>
                <w:sz w:val="24"/>
                <w:szCs w:val="24"/>
              </w:rPr>
              <w:fldChar w:fldCharType="end"/>
            </w:r>
          </w:hyperlink>
        </w:p>
        <w:p w14:paraId="008637DA" w14:textId="25ACAADB"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74" w:history="1">
            <w:r w:rsidR="006E548C" w:rsidRPr="006E548C">
              <w:rPr>
                <w:rStyle w:val="a3"/>
                <w:rFonts w:ascii="Times New Roman" w:hAnsi="Times New Roman" w:cs="Times New Roman"/>
                <w:noProof/>
                <w:sz w:val="24"/>
                <w:szCs w:val="24"/>
              </w:rPr>
              <w:t>2.2.1. Сведения о проведенных в отчетном периоде в субъекте Российской Федерации обучающих мероприятиях и тренингах для органов местного самоуправления по вопросам содействия развитию конкуренции</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_Toc34129174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27</w:t>
            </w:r>
            <w:r w:rsidR="006E548C" w:rsidRPr="006E548C">
              <w:rPr>
                <w:rFonts w:ascii="Times New Roman" w:hAnsi="Times New Roman" w:cs="Times New Roman"/>
                <w:noProof/>
                <w:webHidden/>
                <w:sz w:val="24"/>
                <w:szCs w:val="24"/>
              </w:rPr>
              <w:fldChar w:fldCharType="end"/>
            </w:r>
          </w:hyperlink>
        </w:p>
        <w:p w14:paraId="38195507" w14:textId="3DE1A2FB"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75" w:history="1">
            <w:r w:rsidR="006E548C" w:rsidRPr="006E548C">
              <w:rPr>
                <w:rStyle w:val="a3"/>
                <w:rFonts w:ascii="Times New Roman" w:hAnsi="Times New Roman" w:cs="Times New Roman"/>
                <w:noProof/>
                <w:sz w:val="24"/>
                <w:szCs w:val="24"/>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_Toc34129175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29</w:t>
            </w:r>
            <w:r w:rsidR="006E548C" w:rsidRPr="006E548C">
              <w:rPr>
                <w:rFonts w:ascii="Times New Roman" w:hAnsi="Times New Roman" w:cs="Times New Roman"/>
                <w:noProof/>
                <w:webHidden/>
                <w:sz w:val="24"/>
                <w:szCs w:val="24"/>
              </w:rPr>
              <w:fldChar w:fldCharType="end"/>
            </w:r>
          </w:hyperlink>
        </w:p>
        <w:p w14:paraId="3EDFB52D" w14:textId="6D34F223"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76" w:history="1">
            <w:r w:rsidR="006E548C" w:rsidRPr="006E548C">
              <w:rPr>
                <w:rStyle w:val="a3"/>
                <w:rFonts w:ascii="Times New Roman" w:hAnsi="Times New Roman" w:cs="Times New Roman"/>
                <w:noProof/>
                <w:sz w:val="24"/>
                <w:szCs w:val="24"/>
              </w:rPr>
              <w:t>2.2.3. Формирование коллегиального органа при высшем должностном лице субъекта Российской Федерации по вопросам содействия развитию конкуренции</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_Toc34129176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30</w:t>
            </w:r>
            <w:r w:rsidR="006E548C" w:rsidRPr="006E548C">
              <w:rPr>
                <w:rFonts w:ascii="Times New Roman" w:hAnsi="Times New Roman" w:cs="Times New Roman"/>
                <w:noProof/>
                <w:webHidden/>
                <w:sz w:val="24"/>
                <w:szCs w:val="24"/>
              </w:rPr>
              <w:fldChar w:fldCharType="end"/>
            </w:r>
          </w:hyperlink>
        </w:p>
        <w:p w14:paraId="2736572A" w14:textId="32E953EF" w:rsidR="006E548C" w:rsidRPr="006E548C" w:rsidRDefault="00E3307E" w:rsidP="006E548C">
          <w:pPr>
            <w:pStyle w:val="27"/>
            <w:spacing w:after="0"/>
            <w:rPr>
              <w:noProof/>
              <w:sz w:val="24"/>
              <w:szCs w:val="24"/>
            </w:rPr>
          </w:pPr>
          <w:hyperlink w:anchor="_Toc34129177" w:history="1">
            <w:r w:rsidR="006E548C" w:rsidRPr="006E548C">
              <w:rPr>
                <w:rStyle w:val="a3"/>
                <w:noProof/>
                <w:sz w:val="24"/>
                <w:szCs w:val="24"/>
              </w:rPr>
              <w:t>2.3. Результаты ежегодного мониторинга состояния и развития конкуренции на товарных рынках субъекта Российской Федерации</w:t>
            </w:r>
            <w:r w:rsidR="00CD2903">
              <w:rPr>
                <w:rStyle w:val="a3"/>
                <w:noProof/>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_Toc34129177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32</w:t>
            </w:r>
            <w:r w:rsidR="006E548C" w:rsidRPr="006E548C">
              <w:rPr>
                <w:noProof/>
                <w:webHidden/>
                <w:sz w:val="24"/>
                <w:szCs w:val="24"/>
              </w:rPr>
              <w:fldChar w:fldCharType="end"/>
            </w:r>
          </w:hyperlink>
        </w:p>
        <w:p w14:paraId="6ABABB99" w14:textId="30265CB5"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78" w:history="1">
            <w:r w:rsidR="006E548C" w:rsidRPr="006E548C">
              <w:rPr>
                <w:rStyle w:val="a3"/>
                <w:rFonts w:ascii="Times New Roman" w:hAnsi="Times New Roman" w:cs="Times New Roman"/>
                <w:noProof/>
                <w:sz w:val="24"/>
                <w:szCs w:val="24"/>
              </w:rPr>
              <w:t>2.3.1. Результаты анализа ситуации на товарных рынках для содействия развитию конкуренции в субъекте Российской Федерации, утвержденных приложением к Стандарту</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_Toc34129178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35</w:t>
            </w:r>
            <w:r w:rsidR="006E548C" w:rsidRPr="006E548C">
              <w:rPr>
                <w:rFonts w:ascii="Times New Roman" w:hAnsi="Times New Roman" w:cs="Times New Roman"/>
                <w:noProof/>
                <w:webHidden/>
                <w:sz w:val="24"/>
                <w:szCs w:val="24"/>
              </w:rPr>
              <w:fldChar w:fldCharType="end"/>
            </w:r>
          </w:hyperlink>
        </w:p>
        <w:p w14:paraId="18BBD884" w14:textId="7349960A"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79" w:history="1">
            <w:r w:rsidR="006E548C" w:rsidRPr="006E548C">
              <w:rPr>
                <w:rStyle w:val="a3"/>
                <w:rFonts w:ascii="Times New Roman" w:hAnsi="Times New Roman" w:cs="Times New Roman"/>
                <w:noProof/>
                <w:sz w:val="24"/>
                <w:szCs w:val="24"/>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_Toc34129179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102</w:t>
            </w:r>
            <w:r w:rsidR="006E548C" w:rsidRPr="006E548C">
              <w:rPr>
                <w:rFonts w:ascii="Times New Roman" w:hAnsi="Times New Roman" w:cs="Times New Roman"/>
                <w:noProof/>
                <w:webHidden/>
                <w:sz w:val="24"/>
                <w:szCs w:val="24"/>
              </w:rPr>
              <w:fldChar w:fldCharType="end"/>
            </w:r>
          </w:hyperlink>
        </w:p>
        <w:p w14:paraId="796E040F" w14:textId="44EFA2DB"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80" w:history="1">
            <w:r w:rsidR="006E548C" w:rsidRPr="006E548C">
              <w:rPr>
                <w:rStyle w:val="a3"/>
                <w:rFonts w:ascii="Times New Roman" w:hAnsi="Times New Roman" w:cs="Times New Roman"/>
                <w:noProof/>
                <w:sz w:val="24"/>
                <w:szCs w:val="24"/>
              </w:rPr>
              <w:t>2.3.3. Результаты мониторинга удовлетворенности потребителей качеством товаров, работ и услуг на рынках субъекта Российской Федерации и состоянием ценовой конкуренции (с указанием числа респондентов, участвующих в опросах по каждому рынку)</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_Toc34129180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114</w:t>
            </w:r>
            <w:r w:rsidR="006E548C" w:rsidRPr="006E548C">
              <w:rPr>
                <w:rFonts w:ascii="Times New Roman" w:hAnsi="Times New Roman" w:cs="Times New Roman"/>
                <w:noProof/>
                <w:webHidden/>
                <w:sz w:val="24"/>
                <w:szCs w:val="24"/>
              </w:rPr>
              <w:fldChar w:fldCharType="end"/>
            </w:r>
          </w:hyperlink>
        </w:p>
        <w:p w14:paraId="0C9EB7ED" w14:textId="42ADE267"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81" w:history="1">
            <w:r w:rsidR="006E548C" w:rsidRPr="006E548C">
              <w:rPr>
                <w:rStyle w:val="a3"/>
                <w:rFonts w:ascii="Times New Roman" w:hAnsi="Times New Roman" w:cs="Times New Roman"/>
                <w:noProof/>
                <w:sz w:val="24"/>
                <w:szCs w:val="24"/>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_Toc34129181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141</w:t>
            </w:r>
            <w:r w:rsidR="006E548C" w:rsidRPr="006E548C">
              <w:rPr>
                <w:rFonts w:ascii="Times New Roman" w:hAnsi="Times New Roman" w:cs="Times New Roman"/>
                <w:noProof/>
                <w:webHidden/>
                <w:sz w:val="24"/>
                <w:szCs w:val="24"/>
              </w:rPr>
              <w:fldChar w:fldCharType="end"/>
            </w:r>
          </w:hyperlink>
        </w:p>
        <w:p w14:paraId="4002B7F8" w14:textId="2065C4D6"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82" w:history="1">
            <w:r w:rsidR="006E548C" w:rsidRPr="006E548C">
              <w:rPr>
                <w:rStyle w:val="a3"/>
                <w:rFonts w:ascii="Times New Roman" w:hAnsi="Times New Roman" w:cs="Times New Roman"/>
                <w:noProof/>
                <w:sz w:val="24"/>
                <w:szCs w:val="24"/>
              </w:rPr>
              <w:t>2.3.5. Результаты мониторинга деятельности субъектов естественных монополий на территории субъекта Российской Федерации</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_Toc34129182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145</w:t>
            </w:r>
            <w:r w:rsidR="006E548C" w:rsidRPr="006E548C">
              <w:rPr>
                <w:rFonts w:ascii="Times New Roman" w:hAnsi="Times New Roman" w:cs="Times New Roman"/>
                <w:noProof/>
                <w:webHidden/>
                <w:sz w:val="24"/>
                <w:szCs w:val="24"/>
              </w:rPr>
              <w:fldChar w:fldCharType="end"/>
            </w:r>
          </w:hyperlink>
        </w:p>
        <w:p w14:paraId="435879C3" w14:textId="0F95DC70"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83" w:history="1">
            <w:r w:rsidR="006E548C" w:rsidRPr="006E548C">
              <w:rPr>
                <w:rStyle w:val="a3"/>
                <w:rFonts w:ascii="Times New Roman" w:hAnsi="Times New Roman" w:cs="Times New Roman"/>
                <w:noProof/>
                <w:sz w:val="24"/>
                <w:szCs w:val="24"/>
              </w:rPr>
              <w:t>2.3.6. Результаты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_Toc34129183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153</w:t>
            </w:r>
            <w:r w:rsidR="006E548C" w:rsidRPr="006E548C">
              <w:rPr>
                <w:rFonts w:ascii="Times New Roman" w:hAnsi="Times New Roman" w:cs="Times New Roman"/>
                <w:noProof/>
                <w:webHidden/>
                <w:sz w:val="24"/>
                <w:szCs w:val="24"/>
              </w:rPr>
              <w:fldChar w:fldCharType="end"/>
            </w:r>
          </w:hyperlink>
        </w:p>
        <w:p w14:paraId="3444116C" w14:textId="5E4B408B"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84" w:history="1">
            <w:r w:rsidR="006E548C" w:rsidRPr="006E548C">
              <w:rPr>
                <w:rStyle w:val="a3"/>
                <w:rFonts w:ascii="Times New Roman" w:hAnsi="Times New Roman" w:cs="Times New Roman"/>
                <w:noProof/>
                <w:sz w:val="24"/>
                <w:szCs w:val="24"/>
              </w:rPr>
              <w:t>2.3.7.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субъекта Российской Федерации</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_Toc34129184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170</w:t>
            </w:r>
            <w:r w:rsidR="006E548C" w:rsidRPr="006E548C">
              <w:rPr>
                <w:rFonts w:ascii="Times New Roman" w:hAnsi="Times New Roman" w:cs="Times New Roman"/>
                <w:noProof/>
                <w:webHidden/>
                <w:sz w:val="24"/>
                <w:szCs w:val="24"/>
              </w:rPr>
              <w:fldChar w:fldCharType="end"/>
            </w:r>
          </w:hyperlink>
        </w:p>
        <w:p w14:paraId="325D1F12" w14:textId="1822CF3A"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85" w:history="1">
            <w:r w:rsidR="006E548C" w:rsidRPr="006E548C">
              <w:rPr>
                <w:rStyle w:val="a3"/>
                <w:rFonts w:ascii="Times New Roman" w:hAnsi="Times New Roman" w:cs="Times New Roman"/>
                <w:noProof/>
                <w:sz w:val="24"/>
                <w:szCs w:val="24"/>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субъекта Российской Федерации</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_Toc34129185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172</w:t>
            </w:r>
            <w:r w:rsidR="006E548C" w:rsidRPr="006E548C">
              <w:rPr>
                <w:rFonts w:ascii="Times New Roman" w:hAnsi="Times New Roman" w:cs="Times New Roman"/>
                <w:noProof/>
                <w:webHidden/>
                <w:sz w:val="24"/>
                <w:szCs w:val="24"/>
              </w:rPr>
              <w:fldChar w:fldCharType="end"/>
            </w:r>
          </w:hyperlink>
        </w:p>
        <w:p w14:paraId="397DD047" w14:textId="4D2F9ED0"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86" w:history="1">
            <w:r w:rsidR="006E548C" w:rsidRPr="006E548C">
              <w:rPr>
                <w:rStyle w:val="a3"/>
                <w:rFonts w:ascii="Times New Roman" w:hAnsi="Times New Roman" w:cs="Times New Roman"/>
                <w:noProof/>
                <w:sz w:val="24"/>
                <w:szCs w:val="24"/>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_Toc34129186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174</w:t>
            </w:r>
            <w:r w:rsidR="006E548C" w:rsidRPr="006E548C">
              <w:rPr>
                <w:rFonts w:ascii="Times New Roman" w:hAnsi="Times New Roman" w:cs="Times New Roman"/>
                <w:noProof/>
                <w:webHidden/>
                <w:sz w:val="24"/>
                <w:szCs w:val="24"/>
              </w:rPr>
              <w:fldChar w:fldCharType="end"/>
            </w:r>
          </w:hyperlink>
        </w:p>
        <w:p w14:paraId="2AAC0C5C" w14:textId="43576BC6"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87" w:history="1">
            <w:r w:rsidR="006E548C" w:rsidRPr="006E548C">
              <w:rPr>
                <w:rStyle w:val="a3"/>
                <w:rFonts w:ascii="Times New Roman" w:hAnsi="Times New Roman" w:cs="Times New Roman"/>
                <w:noProof/>
                <w:sz w:val="24"/>
                <w:szCs w:val="24"/>
              </w:rPr>
              <w:t>2.3.10. Результаты мониторинга логистических возможностей субъекта Российской Федерации</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_Toc34129187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180</w:t>
            </w:r>
            <w:r w:rsidR="006E548C" w:rsidRPr="006E548C">
              <w:rPr>
                <w:rFonts w:ascii="Times New Roman" w:hAnsi="Times New Roman" w:cs="Times New Roman"/>
                <w:noProof/>
                <w:webHidden/>
                <w:sz w:val="24"/>
                <w:szCs w:val="24"/>
              </w:rPr>
              <w:fldChar w:fldCharType="end"/>
            </w:r>
          </w:hyperlink>
        </w:p>
        <w:p w14:paraId="2562F3B9" w14:textId="602C47A6"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88" w:history="1">
            <w:r w:rsidR="006E548C" w:rsidRPr="006E548C">
              <w:rPr>
                <w:rStyle w:val="a3"/>
                <w:rFonts w:ascii="Times New Roman" w:hAnsi="Times New Roman" w:cs="Times New Roman"/>
                <w:noProof/>
                <w:sz w:val="24"/>
                <w:szCs w:val="24"/>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_Toc34129188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183</w:t>
            </w:r>
            <w:r w:rsidR="006E548C" w:rsidRPr="006E548C">
              <w:rPr>
                <w:rFonts w:ascii="Times New Roman" w:hAnsi="Times New Roman" w:cs="Times New Roman"/>
                <w:noProof/>
                <w:webHidden/>
                <w:sz w:val="24"/>
                <w:szCs w:val="24"/>
              </w:rPr>
              <w:fldChar w:fldCharType="end"/>
            </w:r>
          </w:hyperlink>
        </w:p>
        <w:p w14:paraId="602CD2ED" w14:textId="4B3D7A71"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89" w:history="1">
            <w:r w:rsidR="006E548C" w:rsidRPr="006E548C">
              <w:rPr>
                <w:rStyle w:val="a3"/>
                <w:rFonts w:ascii="Times New Roman" w:hAnsi="Times New Roman" w:cs="Times New Roman"/>
                <w:noProof/>
                <w:sz w:val="24"/>
                <w:szCs w:val="24"/>
              </w:rPr>
              <w:t>2.3.12. Анализ результативности и эффективности деятельности органов исполнительной власти Новосибирской области и органов местного самоуправления по содействию развитию конкуренции в регионе</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_Toc34129189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184</w:t>
            </w:r>
            <w:r w:rsidR="006E548C" w:rsidRPr="006E548C">
              <w:rPr>
                <w:rFonts w:ascii="Times New Roman" w:hAnsi="Times New Roman" w:cs="Times New Roman"/>
                <w:noProof/>
                <w:webHidden/>
                <w:sz w:val="24"/>
                <w:szCs w:val="24"/>
              </w:rPr>
              <w:fldChar w:fldCharType="end"/>
            </w:r>
          </w:hyperlink>
        </w:p>
        <w:p w14:paraId="32A4BC51" w14:textId="05521D57"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90" w:history="1">
            <w:r w:rsidR="006E548C" w:rsidRPr="006E548C">
              <w:rPr>
                <w:rStyle w:val="a3"/>
                <w:rFonts w:ascii="Times New Roman" w:hAnsi="Times New Roman" w:cs="Times New Roman"/>
                <w:noProof/>
                <w:sz w:val="24"/>
                <w:szCs w:val="24"/>
              </w:rPr>
              <w:t>2.3.13. Предложения о повышении эффективности деятельности органов исполнительной власти Новосибирской области и органов местного самоуправления в области содействия развитию конкуренции</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_Toc34129190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186</w:t>
            </w:r>
            <w:r w:rsidR="006E548C" w:rsidRPr="006E548C">
              <w:rPr>
                <w:rFonts w:ascii="Times New Roman" w:hAnsi="Times New Roman" w:cs="Times New Roman"/>
                <w:noProof/>
                <w:webHidden/>
                <w:sz w:val="24"/>
                <w:szCs w:val="24"/>
              </w:rPr>
              <w:fldChar w:fldCharType="end"/>
            </w:r>
          </w:hyperlink>
        </w:p>
        <w:p w14:paraId="74D950AE" w14:textId="2B6D2498"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91" w:history="1">
            <w:r w:rsidR="006E548C" w:rsidRPr="006E548C">
              <w:rPr>
                <w:rStyle w:val="a3"/>
                <w:rFonts w:ascii="Times New Roman" w:hAnsi="Times New Roman" w:cs="Times New Roman"/>
                <w:noProof/>
                <w:sz w:val="24"/>
                <w:szCs w:val="24"/>
              </w:rPr>
              <w:t>2.3.14. Оценка эффективности реализованных системных мероприятий по развитию конкуренции (по каждому абзацу пункта 30 Стандарта).</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_Toc34129191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187</w:t>
            </w:r>
            <w:r w:rsidR="006E548C" w:rsidRPr="006E548C">
              <w:rPr>
                <w:rFonts w:ascii="Times New Roman" w:hAnsi="Times New Roman" w:cs="Times New Roman"/>
                <w:noProof/>
                <w:webHidden/>
                <w:sz w:val="24"/>
                <w:szCs w:val="24"/>
              </w:rPr>
              <w:fldChar w:fldCharType="end"/>
            </w:r>
          </w:hyperlink>
        </w:p>
        <w:p w14:paraId="4FF91A92" w14:textId="2C31851A" w:rsidR="006E548C" w:rsidRPr="006E548C" w:rsidRDefault="00E3307E" w:rsidP="006E548C">
          <w:pPr>
            <w:pStyle w:val="27"/>
            <w:spacing w:after="0"/>
            <w:rPr>
              <w:noProof/>
              <w:sz w:val="24"/>
              <w:szCs w:val="24"/>
            </w:rPr>
          </w:pPr>
          <w:hyperlink w:anchor="_Toc34129192" w:history="1">
            <w:r w:rsidR="006E548C" w:rsidRPr="006E548C">
              <w:rPr>
                <w:rStyle w:val="a3"/>
                <w:noProof/>
                <w:sz w:val="24"/>
                <w:szCs w:val="24"/>
              </w:rPr>
              <w:t>2.4. Утверждение перечня товарных рынков</w:t>
            </w:r>
            <w:r w:rsidR="00CD2903">
              <w:rPr>
                <w:rStyle w:val="a3"/>
                <w:noProof/>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_Toc34129192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274</w:t>
            </w:r>
            <w:r w:rsidR="006E548C" w:rsidRPr="006E548C">
              <w:rPr>
                <w:noProof/>
                <w:webHidden/>
                <w:sz w:val="24"/>
                <w:szCs w:val="24"/>
              </w:rPr>
              <w:fldChar w:fldCharType="end"/>
            </w:r>
          </w:hyperlink>
        </w:p>
        <w:p w14:paraId="227D3A84" w14:textId="427124F0" w:rsidR="006E548C" w:rsidRPr="006E548C" w:rsidRDefault="00E3307E" w:rsidP="006E548C">
          <w:pPr>
            <w:pStyle w:val="27"/>
            <w:spacing w:after="0"/>
            <w:rPr>
              <w:noProof/>
              <w:sz w:val="24"/>
              <w:szCs w:val="24"/>
            </w:rPr>
          </w:pPr>
          <w:hyperlink w:anchor="_Toc34129193" w:history="1">
            <w:r w:rsidR="006E548C" w:rsidRPr="006E548C">
              <w:rPr>
                <w:rStyle w:val="a3"/>
                <w:noProof/>
                <w:sz w:val="24"/>
                <w:szCs w:val="24"/>
              </w:rPr>
              <w:t>2.5. Утверждение плана мероприятий («дорожной карты»)</w:t>
            </w:r>
            <w:r w:rsidR="00CD2903">
              <w:rPr>
                <w:rStyle w:val="a3"/>
                <w:noProof/>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_Toc34129193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293</w:t>
            </w:r>
            <w:r w:rsidR="006E548C" w:rsidRPr="006E548C">
              <w:rPr>
                <w:noProof/>
                <w:webHidden/>
                <w:sz w:val="24"/>
                <w:szCs w:val="24"/>
              </w:rPr>
              <w:fldChar w:fldCharType="end"/>
            </w:r>
          </w:hyperlink>
        </w:p>
        <w:p w14:paraId="393AADE0" w14:textId="15010188" w:rsidR="006E548C" w:rsidRPr="006E548C" w:rsidRDefault="00E3307E" w:rsidP="006E548C">
          <w:pPr>
            <w:pStyle w:val="27"/>
            <w:spacing w:after="0"/>
            <w:rPr>
              <w:noProof/>
              <w:sz w:val="24"/>
              <w:szCs w:val="24"/>
            </w:rPr>
          </w:pPr>
          <w:hyperlink w:anchor="_Toc34129194" w:history="1">
            <w:r w:rsidR="006E548C" w:rsidRPr="006E548C">
              <w:rPr>
                <w:rStyle w:val="a3"/>
                <w:noProof/>
                <w:sz w:val="24"/>
                <w:szCs w:val="24"/>
              </w:rPr>
              <w:t>2.6. Подготовка ежегодного Доклада, подготовленного в соответствии с положениями Стандарта</w:t>
            </w:r>
            <w:r w:rsidR="00BB5AD1">
              <w:rPr>
                <w:rStyle w:val="a3"/>
                <w:noProof/>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_Toc34129194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294</w:t>
            </w:r>
            <w:r w:rsidR="006E548C" w:rsidRPr="006E548C">
              <w:rPr>
                <w:noProof/>
                <w:webHidden/>
                <w:sz w:val="24"/>
                <w:szCs w:val="24"/>
              </w:rPr>
              <w:fldChar w:fldCharType="end"/>
            </w:r>
          </w:hyperlink>
        </w:p>
        <w:p w14:paraId="1B2D2EA3" w14:textId="690BFAA1" w:rsidR="006E548C" w:rsidRPr="006E548C" w:rsidRDefault="00E3307E" w:rsidP="006E548C">
          <w:pPr>
            <w:pStyle w:val="27"/>
            <w:spacing w:after="0"/>
            <w:rPr>
              <w:noProof/>
              <w:sz w:val="24"/>
              <w:szCs w:val="24"/>
            </w:rPr>
          </w:pPr>
          <w:hyperlink w:anchor="_Toc34129195" w:history="1">
            <w:r w:rsidR="006E548C" w:rsidRPr="006E548C">
              <w:rPr>
                <w:rStyle w:val="a3"/>
                <w:noProof/>
                <w:sz w:val="24"/>
                <w:szCs w:val="24"/>
              </w:rPr>
              <w:t>2.7. Создание и реализация механизмов общественного контроля за деятельностью субъектов естественных монополий</w:t>
            </w:r>
            <w:r w:rsidR="00BB5AD1">
              <w:rPr>
                <w:rStyle w:val="a3"/>
                <w:noProof/>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_Toc34129195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294</w:t>
            </w:r>
            <w:r w:rsidR="006E548C" w:rsidRPr="006E548C">
              <w:rPr>
                <w:noProof/>
                <w:webHidden/>
                <w:sz w:val="24"/>
                <w:szCs w:val="24"/>
              </w:rPr>
              <w:fldChar w:fldCharType="end"/>
            </w:r>
          </w:hyperlink>
        </w:p>
        <w:p w14:paraId="2F62E8E6" w14:textId="44A9D25F"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96" w:history="1">
            <w:r w:rsidR="006E548C" w:rsidRPr="006E548C">
              <w:rPr>
                <w:rStyle w:val="a3"/>
                <w:rFonts w:ascii="Times New Roman" w:hAnsi="Times New Roman" w:cs="Times New Roman"/>
                <w:noProof/>
                <w:sz w:val="24"/>
                <w:szCs w:val="24"/>
              </w:rPr>
              <w:t>2.7.1. Сведения о наличии межотраслевого совета потребителей при высшем должностном лице субъекта Российской Федерации (далее – межотраслевой совет потребителей)</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_Toc34129196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295</w:t>
            </w:r>
            <w:r w:rsidR="006E548C" w:rsidRPr="006E548C">
              <w:rPr>
                <w:rFonts w:ascii="Times New Roman" w:hAnsi="Times New Roman" w:cs="Times New Roman"/>
                <w:noProof/>
                <w:webHidden/>
                <w:sz w:val="24"/>
                <w:szCs w:val="24"/>
              </w:rPr>
              <w:fldChar w:fldCharType="end"/>
            </w:r>
          </w:hyperlink>
        </w:p>
        <w:p w14:paraId="008D968D" w14:textId="5D91A340"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97" w:history="1">
            <w:r w:rsidR="006E548C" w:rsidRPr="006E548C">
              <w:rPr>
                <w:rStyle w:val="a3"/>
                <w:rFonts w:ascii="Times New Roman" w:hAnsi="Times New Roman" w:cs="Times New Roman"/>
                <w:noProof/>
                <w:sz w:val="24"/>
                <w:szCs w:val="24"/>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_Toc34129197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299</w:t>
            </w:r>
            <w:r w:rsidR="006E548C" w:rsidRPr="006E548C">
              <w:rPr>
                <w:rFonts w:ascii="Times New Roman" w:hAnsi="Times New Roman" w:cs="Times New Roman"/>
                <w:noProof/>
                <w:webHidden/>
                <w:sz w:val="24"/>
                <w:szCs w:val="24"/>
              </w:rPr>
              <w:fldChar w:fldCharType="end"/>
            </w:r>
          </w:hyperlink>
        </w:p>
        <w:p w14:paraId="52D54E47" w14:textId="4BCB535F" w:rsidR="006E548C" w:rsidRPr="006E548C" w:rsidRDefault="00E3307E" w:rsidP="006E548C">
          <w:pPr>
            <w:pStyle w:val="33"/>
            <w:tabs>
              <w:tab w:val="right" w:leader="dot" w:pos="9911"/>
            </w:tabs>
            <w:spacing w:after="0"/>
            <w:ind w:left="0" w:firstLine="567"/>
            <w:jc w:val="both"/>
            <w:rPr>
              <w:rFonts w:ascii="Times New Roman" w:hAnsi="Times New Roman" w:cs="Times New Roman"/>
              <w:noProof/>
              <w:sz w:val="24"/>
              <w:szCs w:val="24"/>
            </w:rPr>
          </w:pPr>
          <w:hyperlink w:anchor="_Toc34129198" w:history="1">
            <w:r w:rsidR="006E548C" w:rsidRPr="006E548C">
              <w:rPr>
                <w:rStyle w:val="a3"/>
                <w:rFonts w:ascii="Times New Roman" w:hAnsi="Times New Roman" w:cs="Times New Roman"/>
                <w:noProof/>
                <w:sz w:val="24"/>
                <w:szCs w:val="24"/>
              </w:rPr>
              <w:t>2.7.3. Повышение прозрачности деятельности субъектов естественных монополий (далее – СЕМ) в субъекте Российской Федерации</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_Toc34129198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303</w:t>
            </w:r>
            <w:r w:rsidR="006E548C" w:rsidRPr="006E548C">
              <w:rPr>
                <w:rFonts w:ascii="Times New Roman" w:hAnsi="Times New Roman" w:cs="Times New Roman"/>
                <w:noProof/>
                <w:webHidden/>
                <w:sz w:val="24"/>
                <w:szCs w:val="24"/>
              </w:rPr>
              <w:fldChar w:fldCharType="end"/>
            </w:r>
          </w:hyperlink>
        </w:p>
        <w:p w14:paraId="5C28D654" w14:textId="3F7224AF" w:rsidR="006E548C" w:rsidRPr="006E548C" w:rsidRDefault="00E3307E" w:rsidP="006E548C">
          <w:pPr>
            <w:pStyle w:val="14"/>
            <w:spacing w:after="0"/>
            <w:jc w:val="both"/>
            <w:rPr>
              <w:rFonts w:ascii="Times New Roman" w:hAnsi="Times New Roman" w:cs="Times New Roman"/>
              <w:noProof/>
              <w:sz w:val="24"/>
              <w:szCs w:val="24"/>
            </w:rPr>
          </w:pPr>
          <w:hyperlink w:anchor="_Toc34129199" w:history="1">
            <w:r w:rsidR="006E548C" w:rsidRPr="006E548C">
              <w:rPr>
                <w:rStyle w:val="a3"/>
                <w:rFonts w:ascii="Times New Roman" w:hAnsi="Times New Roman" w:cs="Times New Roman"/>
                <w:noProof/>
                <w:sz w:val="24"/>
                <w:szCs w:val="24"/>
              </w:rPr>
              <w:t>Раздел 3. Сведения о достижении целевых значений КЛЮЧЕВЫХ показателей эффективности, установленных в плане мероприятий «дорожной карте»</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_Toc34129199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311</w:t>
            </w:r>
            <w:r w:rsidR="006E548C" w:rsidRPr="006E548C">
              <w:rPr>
                <w:rFonts w:ascii="Times New Roman" w:hAnsi="Times New Roman" w:cs="Times New Roman"/>
                <w:noProof/>
                <w:webHidden/>
                <w:sz w:val="24"/>
                <w:szCs w:val="24"/>
              </w:rPr>
              <w:fldChar w:fldCharType="end"/>
            </w:r>
          </w:hyperlink>
        </w:p>
        <w:p w14:paraId="25B34655" w14:textId="203CBEC3" w:rsidR="006E548C" w:rsidRPr="006E548C" w:rsidRDefault="00E3307E" w:rsidP="006E548C">
          <w:pPr>
            <w:pStyle w:val="14"/>
            <w:spacing w:after="0"/>
            <w:jc w:val="both"/>
            <w:rPr>
              <w:rFonts w:ascii="Times New Roman" w:hAnsi="Times New Roman" w:cs="Times New Roman"/>
              <w:noProof/>
              <w:sz w:val="24"/>
              <w:szCs w:val="24"/>
            </w:rPr>
          </w:pPr>
          <w:hyperlink w:anchor="_Toc34129200" w:history="1">
            <w:r w:rsidR="006E548C" w:rsidRPr="006E548C">
              <w:rPr>
                <w:rStyle w:val="a3"/>
                <w:rFonts w:ascii="Times New Roman" w:hAnsi="Times New Roman" w:cs="Times New Roman"/>
                <w:noProof/>
                <w:sz w:val="24"/>
                <w:szCs w:val="24"/>
              </w:rPr>
              <w:t>Раздел 4. Сведения о лучших региональных практиках содействия развитию конкуренции</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_Toc34129200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347</w:t>
            </w:r>
            <w:r w:rsidR="006E548C" w:rsidRPr="006E548C">
              <w:rPr>
                <w:rFonts w:ascii="Times New Roman" w:hAnsi="Times New Roman" w:cs="Times New Roman"/>
                <w:noProof/>
                <w:webHidden/>
                <w:sz w:val="24"/>
                <w:szCs w:val="24"/>
              </w:rPr>
              <w:fldChar w:fldCharType="end"/>
            </w:r>
          </w:hyperlink>
        </w:p>
        <w:p w14:paraId="699E0158" w14:textId="58D33CF4" w:rsidR="006E548C" w:rsidRPr="006E548C" w:rsidRDefault="00E3307E" w:rsidP="006E548C">
          <w:pPr>
            <w:pStyle w:val="27"/>
            <w:spacing w:after="0"/>
            <w:rPr>
              <w:noProof/>
              <w:sz w:val="24"/>
              <w:szCs w:val="24"/>
            </w:rPr>
          </w:pPr>
          <w:hyperlink w:anchor="_Toc34129201" w:history="1">
            <w:r w:rsidR="006E548C" w:rsidRPr="006E548C">
              <w:rPr>
                <w:rStyle w:val="a3"/>
                <w:noProof/>
                <w:sz w:val="24"/>
                <w:szCs w:val="24"/>
              </w:rPr>
              <w:t>4.1. Информация о лучших региональных практиках, внедренных субъектом Российской Федерации по итогам отчетного года</w:t>
            </w:r>
            <w:r w:rsidR="00BB5AD1">
              <w:rPr>
                <w:rStyle w:val="a3"/>
                <w:noProof/>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_Toc34129201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347</w:t>
            </w:r>
            <w:r w:rsidR="006E548C" w:rsidRPr="006E548C">
              <w:rPr>
                <w:noProof/>
                <w:webHidden/>
                <w:sz w:val="24"/>
                <w:szCs w:val="24"/>
              </w:rPr>
              <w:fldChar w:fldCharType="end"/>
            </w:r>
          </w:hyperlink>
        </w:p>
        <w:p w14:paraId="6DA67E55" w14:textId="53F37290" w:rsidR="006E548C" w:rsidRPr="006E548C" w:rsidRDefault="00E3307E" w:rsidP="006E548C">
          <w:pPr>
            <w:pStyle w:val="27"/>
            <w:spacing w:after="0"/>
            <w:rPr>
              <w:noProof/>
              <w:sz w:val="24"/>
              <w:szCs w:val="24"/>
            </w:rPr>
          </w:pPr>
          <w:hyperlink w:anchor="_Toc34129202" w:history="1">
            <w:r w:rsidR="006E548C" w:rsidRPr="006E548C">
              <w:rPr>
                <w:rStyle w:val="a3"/>
                <w:noProof/>
                <w:sz w:val="24"/>
                <w:szCs w:val="24"/>
              </w:rPr>
              <w:t>4.2. Информация о потенциальных лучших региональных практиках по итогам отчетного года</w:t>
            </w:r>
            <w:r w:rsidR="00BB5AD1">
              <w:rPr>
                <w:rStyle w:val="a3"/>
                <w:noProof/>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_Toc34129202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360</w:t>
            </w:r>
            <w:r w:rsidR="006E548C" w:rsidRPr="006E548C">
              <w:rPr>
                <w:noProof/>
                <w:webHidden/>
                <w:sz w:val="24"/>
                <w:szCs w:val="24"/>
              </w:rPr>
              <w:fldChar w:fldCharType="end"/>
            </w:r>
          </w:hyperlink>
        </w:p>
        <w:p w14:paraId="27497C44" w14:textId="3204507B" w:rsidR="006E548C" w:rsidRPr="006E548C" w:rsidRDefault="00E3307E" w:rsidP="006E548C">
          <w:pPr>
            <w:pStyle w:val="14"/>
            <w:spacing w:after="0"/>
            <w:jc w:val="both"/>
            <w:rPr>
              <w:rFonts w:ascii="Times New Roman" w:hAnsi="Times New Roman" w:cs="Times New Roman"/>
              <w:noProof/>
              <w:sz w:val="24"/>
              <w:szCs w:val="24"/>
            </w:rPr>
          </w:pPr>
          <w:hyperlink w:anchor="_Toc34129203" w:history="1">
            <w:r w:rsidR="006E548C" w:rsidRPr="006E548C">
              <w:rPr>
                <w:rStyle w:val="a3"/>
                <w:rFonts w:ascii="Times New Roman" w:hAnsi="Times New Roman" w:cs="Times New Roman"/>
                <w:noProof/>
                <w:sz w:val="24"/>
                <w:szCs w:val="24"/>
              </w:rPr>
              <w:t>Раздел 5. Сведения об эффекте, достигнутом при внедрении Стандарта</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_Toc34129203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377</w:t>
            </w:r>
            <w:r w:rsidR="006E548C" w:rsidRPr="006E548C">
              <w:rPr>
                <w:rFonts w:ascii="Times New Roman" w:hAnsi="Times New Roman" w:cs="Times New Roman"/>
                <w:noProof/>
                <w:webHidden/>
                <w:sz w:val="24"/>
                <w:szCs w:val="24"/>
              </w:rPr>
              <w:fldChar w:fldCharType="end"/>
            </w:r>
          </w:hyperlink>
        </w:p>
        <w:p w14:paraId="4930FA12" w14:textId="75E66C60" w:rsidR="006E548C" w:rsidRPr="006E548C" w:rsidRDefault="00E3307E" w:rsidP="006E548C">
          <w:pPr>
            <w:pStyle w:val="14"/>
            <w:spacing w:after="0"/>
            <w:jc w:val="both"/>
            <w:rPr>
              <w:rFonts w:ascii="Times New Roman" w:hAnsi="Times New Roman" w:cs="Times New Roman"/>
              <w:noProof/>
              <w:sz w:val="24"/>
              <w:szCs w:val="24"/>
            </w:rPr>
          </w:pPr>
          <w:hyperlink w:anchor="_Toc34129204" w:history="1">
            <w:r w:rsidR="006E548C" w:rsidRPr="006E548C">
              <w:rPr>
                <w:rStyle w:val="a3"/>
                <w:rFonts w:ascii="Times New Roman" w:hAnsi="Times New Roman" w:cs="Times New Roman"/>
                <w:noProof/>
                <w:sz w:val="24"/>
                <w:szCs w:val="24"/>
              </w:rPr>
              <w:t>Раздел 6. Дополнительные комментарии со стороны субъекта Российской Федерации («обратная связь»)</w:t>
            </w:r>
            <w:r w:rsidR="006E548C" w:rsidRPr="006E548C">
              <w:rPr>
                <w:rFonts w:ascii="Times New Roman" w:hAnsi="Times New Roman" w:cs="Times New Roman"/>
                <w:noProof/>
                <w:webHidden/>
                <w:sz w:val="24"/>
                <w:szCs w:val="24"/>
              </w:rPr>
              <w:tab/>
            </w:r>
            <w:r w:rsidR="006E548C" w:rsidRPr="006E548C">
              <w:rPr>
                <w:rFonts w:ascii="Times New Roman" w:hAnsi="Times New Roman" w:cs="Times New Roman"/>
                <w:noProof/>
                <w:webHidden/>
                <w:sz w:val="24"/>
                <w:szCs w:val="24"/>
              </w:rPr>
              <w:fldChar w:fldCharType="begin"/>
            </w:r>
            <w:r w:rsidR="006E548C" w:rsidRPr="006E548C">
              <w:rPr>
                <w:rFonts w:ascii="Times New Roman" w:hAnsi="Times New Roman" w:cs="Times New Roman"/>
                <w:noProof/>
                <w:webHidden/>
                <w:sz w:val="24"/>
                <w:szCs w:val="24"/>
              </w:rPr>
              <w:instrText xml:space="preserve"> PAGEREF _Toc34129204 \h </w:instrText>
            </w:r>
            <w:r w:rsidR="006E548C" w:rsidRPr="006E548C">
              <w:rPr>
                <w:rFonts w:ascii="Times New Roman" w:hAnsi="Times New Roman" w:cs="Times New Roman"/>
                <w:noProof/>
                <w:webHidden/>
                <w:sz w:val="24"/>
                <w:szCs w:val="24"/>
              </w:rPr>
            </w:r>
            <w:r w:rsidR="006E548C" w:rsidRPr="006E548C">
              <w:rPr>
                <w:rFonts w:ascii="Times New Roman" w:hAnsi="Times New Roman" w:cs="Times New Roman"/>
                <w:noProof/>
                <w:webHidden/>
                <w:sz w:val="24"/>
                <w:szCs w:val="24"/>
              </w:rPr>
              <w:fldChar w:fldCharType="separate"/>
            </w:r>
            <w:r w:rsidR="00D923A3">
              <w:rPr>
                <w:rFonts w:ascii="Times New Roman" w:hAnsi="Times New Roman" w:cs="Times New Roman"/>
                <w:noProof/>
                <w:webHidden/>
                <w:sz w:val="24"/>
                <w:szCs w:val="24"/>
              </w:rPr>
              <w:t>383</w:t>
            </w:r>
            <w:r w:rsidR="006E548C" w:rsidRPr="006E548C">
              <w:rPr>
                <w:rFonts w:ascii="Times New Roman" w:hAnsi="Times New Roman" w:cs="Times New Roman"/>
                <w:noProof/>
                <w:webHidden/>
                <w:sz w:val="24"/>
                <w:szCs w:val="24"/>
              </w:rPr>
              <w:fldChar w:fldCharType="end"/>
            </w:r>
          </w:hyperlink>
        </w:p>
        <w:p w14:paraId="76F6554F" w14:textId="6526B1AA" w:rsidR="006E548C" w:rsidRPr="006E548C" w:rsidRDefault="00E3307E" w:rsidP="006E548C">
          <w:pPr>
            <w:pStyle w:val="27"/>
            <w:spacing w:after="0"/>
            <w:rPr>
              <w:noProof/>
              <w:sz w:val="24"/>
              <w:szCs w:val="24"/>
            </w:rPr>
          </w:pPr>
          <w:hyperlink w:anchor="_Toc34129205" w:history="1">
            <w:r w:rsidR="006E548C" w:rsidRPr="006E548C">
              <w:rPr>
                <w:rStyle w:val="a3"/>
                <w:noProof/>
                <w:sz w:val="24"/>
                <w:szCs w:val="24"/>
              </w:rPr>
              <w:t>О внесении изменений в Стандарт развития конкуренции в части изменения наименования товарного рынка, входящего в перечень товарных рынков для содействия развитию конкуренции</w:t>
            </w:r>
            <w:r w:rsidR="00BB5AD1">
              <w:rPr>
                <w:rStyle w:val="a3"/>
                <w:noProof/>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_Toc34129205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383</w:t>
            </w:r>
            <w:r w:rsidR="006E548C" w:rsidRPr="006E548C">
              <w:rPr>
                <w:noProof/>
                <w:webHidden/>
                <w:sz w:val="24"/>
                <w:szCs w:val="24"/>
              </w:rPr>
              <w:fldChar w:fldCharType="end"/>
            </w:r>
          </w:hyperlink>
        </w:p>
        <w:p w14:paraId="6333B08F" w14:textId="705B55BC" w:rsidR="006E548C" w:rsidRPr="006E548C" w:rsidRDefault="00E3307E" w:rsidP="006E548C">
          <w:pPr>
            <w:pStyle w:val="27"/>
            <w:spacing w:after="0"/>
            <w:rPr>
              <w:noProof/>
              <w:sz w:val="24"/>
              <w:szCs w:val="24"/>
            </w:rPr>
          </w:pPr>
          <w:hyperlink w:anchor="_Toc34129206" w:history="1">
            <w:r w:rsidR="006E548C" w:rsidRPr="006E548C">
              <w:rPr>
                <w:rStyle w:val="a3"/>
                <w:noProof/>
                <w:sz w:val="24"/>
                <w:szCs w:val="24"/>
              </w:rPr>
              <w:t>О внесении изменений в Стандарт развития конкуренции в части изменения минимального значения ключевого показателя в 2022 году по товарному рынку «Рынок услуг общего образования»</w:t>
            </w:r>
            <w:r w:rsidR="006E548C" w:rsidRPr="006E548C">
              <w:rPr>
                <w:noProof/>
                <w:webHidden/>
                <w:sz w:val="24"/>
                <w:szCs w:val="24"/>
              </w:rPr>
              <w:tab/>
            </w:r>
            <w:r w:rsidR="00BB5AD1">
              <w:rPr>
                <w:noProof/>
                <w:webHidden/>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_Toc34129206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384</w:t>
            </w:r>
            <w:r w:rsidR="006E548C" w:rsidRPr="006E548C">
              <w:rPr>
                <w:noProof/>
                <w:webHidden/>
                <w:sz w:val="24"/>
                <w:szCs w:val="24"/>
              </w:rPr>
              <w:fldChar w:fldCharType="end"/>
            </w:r>
          </w:hyperlink>
        </w:p>
        <w:p w14:paraId="51093757" w14:textId="3041A1E7" w:rsidR="006E548C" w:rsidRDefault="00E3307E" w:rsidP="006E548C">
          <w:pPr>
            <w:pStyle w:val="27"/>
            <w:spacing w:after="0"/>
            <w:rPr>
              <w:rFonts w:asciiTheme="minorHAnsi" w:hAnsiTheme="minorHAnsi" w:cstheme="minorBidi"/>
              <w:noProof/>
              <w:sz w:val="22"/>
              <w:szCs w:val="22"/>
            </w:rPr>
          </w:pPr>
          <w:hyperlink w:anchor="_Toc34129207" w:history="1">
            <w:r w:rsidR="006E548C" w:rsidRPr="006E548C">
              <w:rPr>
                <w:rStyle w:val="a3"/>
                <w:noProof/>
                <w:sz w:val="24"/>
                <w:szCs w:val="24"/>
              </w:rPr>
              <w:t>О пересмотре Методики оценки эффективности деятельности органов исполнительной власти субъектов Российской Федерации по внедрению стандарта развития конкуренции в субъектах Российской Федерации</w:t>
            </w:r>
            <w:r w:rsidR="006E548C" w:rsidRPr="006E548C">
              <w:rPr>
                <w:noProof/>
                <w:webHidden/>
                <w:sz w:val="24"/>
                <w:szCs w:val="24"/>
              </w:rPr>
              <w:tab/>
            </w:r>
            <w:r w:rsidR="00BB5AD1">
              <w:rPr>
                <w:noProof/>
                <w:webHidden/>
                <w:sz w:val="24"/>
                <w:szCs w:val="24"/>
              </w:rPr>
              <w:t>…………………………………………………………………</w:t>
            </w:r>
            <w:r w:rsidR="006E548C" w:rsidRPr="006E548C">
              <w:rPr>
                <w:noProof/>
                <w:webHidden/>
                <w:sz w:val="24"/>
                <w:szCs w:val="24"/>
              </w:rPr>
              <w:fldChar w:fldCharType="begin"/>
            </w:r>
            <w:r w:rsidR="006E548C" w:rsidRPr="006E548C">
              <w:rPr>
                <w:noProof/>
                <w:webHidden/>
                <w:sz w:val="24"/>
                <w:szCs w:val="24"/>
              </w:rPr>
              <w:instrText xml:space="preserve"> PAGEREF _Toc34129207 \h </w:instrText>
            </w:r>
            <w:r w:rsidR="006E548C" w:rsidRPr="006E548C">
              <w:rPr>
                <w:noProof/>
                <w:webHidden/>
                <w:sz w:val="24"/>
                <w:szCs w:val="24"/>
              </w:rPr>
            </w:r>
            <w:r w:rsidR="006E548C" w:rsidRPr="006E548C">
              <w:rPr>
                <w:noProof/>
                <w:webHidden/>
                <w:sz w:val="24"/>
                <w:szCs w:val="24"/>
              </w:rPr>
              <w:fldChar w:fldCharType="separate"/>
            </w:r>
            <w:r w:rsidR="00D923A3">
              <w:rPr>
                <w:noProof/>
                <w:webHidden/>
                <w:sz w:val="24"/>
                <w:szCs w:val="24"/>
              </w:rPr>
              <w:t>385</w:t>
            </w:r>
            <w:r w:rsidR="006E548C" w:rsidRPr="006E548C">
              <w:rPr>
                <w:noProof/>
                <w:webHidden/>
                <w:sz w:val="24"/>
                <w:szCs w:val="24"/>
              </w:rPr>
              <w:fldChar w:fldCharType="end"/>
            </w:r>
          </w:hyperlink>
        </w:p>
        <w:p w14:paraId="699CD2D4" w14:textId="2DB8CCD4" w:rsidR="006F4279" w:rsidRDefault="006F4279" w:rsidP="00B64457">
          <w:pPr>
            <w:ind w:firstLine="567"/>
            <w:jc w:val="both"/>
          </w:pPr>
          <w:r w:rsidRPr="00B64457">
            <w:rPr>
              <w:rFonts w:ascii="Times New Roman" w:hAnsi="Times New Roman" w:cs="Times New Roman"/>
              <w:bCs/>
              <w:sz w:val="24"/>
              <w:szCs w:val="24"/>
            </w:rPr>
            <w:fldChar w:fldCharType="end"/>
          </w:r>
        </w:p>
      </w:sdtContent>
    </w:sdt>
    <w:p w14:paraId="40510122" w14:textId="77777777" w:rsidR="008E1130" w:rsidRPr="008E1130" w:rsidRDefault="008E1130" w:rsidP="001D398C">
      <w:pPr>
        <w:tabs>
          <w:tab w:val="left" w:pos="2280"/>
          <w:tab w:val="center" w:pos="4960"/>
        </w:tabs>
        <w:jc w:val="left"/>
        <w:rPr>
          <w:rFonts w:ascii="Times New Roman" w:eastAsiaTheme="majorEastAsia" w:hAnsi="Times New Roman" w:cstheme="majorBidi"/>
          <w:sz w:val="28"/>
          <w:szCs w:val="28"/>
        </w:rPr>
      </w:pPr>
      <w:r>
        <w:rPr>
          <w:rFonts w:ascii="Times New Roman" w:eastAsiaTheme="majorEastAsia" w:hAnsi="Times New Roman" w:cstheme="majorBidi"/>
          <w:sz w:val="28"/>
          <w:szCs w:val="28"/>
        </w:rPr>
        <w:tab/>
      </w:r>
    </w:p>
    <w:p w14:paraId="7EA54153" w14:textId="77777777" w:rsidR="006F4279" w:rsidRPr="008E1130" w:rsidRDefault="006F4279" w:rsidP="008E1130">
      <w:pPr>
        <w:rPr>
          <w:rFonts w:ascii="Times New Roman" w:eastAsiaTheme="majorEastAsia" w:hAnsi="Times New Roman" w:cstheme="majorBidi"/>
          <w:sz w:val="28"/>
          <w:szCs w:val="28"/>
        </w:rPr>
        <w:sectPr w:rsidR="006F4279" w:rsidRPr="008E1130" w:rsidSect="00B64457">
          <w:headerReference w:type="default" r:id="rId16"/>
          <w:pgSz w:w="11906" w:h="16838" w:code="9"/>
          <w:pgMar w:top="1134" w:right="567" w:bottom="1134" w:left="1418" w:header="709" w:footer="709" w:gutter="0"/>
          <w:pgNumType w:start="1"/>
          <w:cols w:space="720"/>
          <w:titlePg/>
          <w:docGrid w:linePitch="286"/>
        </w:sectPr>
      </w:pPr>
    </w:p>
    <w:p w14:paraId="24C81466" w14:textId="77777777" w:rsidR="00F970DA" w:rsidRPr="009D413F" w:rsidRDefault="00F970DA" w:rsidP="00F970DA">
      <w:pPr>
        <w:pStyle w:val="aa"/>
        <w:spacing w:after="0"/>
        <w:jc w:val="left"/>
        <w:outlineLvl w:val="0"/>
        <w:rPr>
          <w:rFonts w:ascii="Times New Roman" w:hAnsi="Times New Roman"/>
          <w:b/>
          <w:sz w:val="28"/>
          <w:szCs w:val="28"/>
        </w:rPr>
      </w:pPr>
      <w:bookmarkStart w:id="1" w:name="_Toc34129164"/>
      <w:r>
        <w:rPr>
          <w:rFonts w:ascii="Times New Roman" w:hAnsi="Times New Roman"/>
          <w:b/>
          <w:sz w:val="28"/>
          <w:szCs w:val="28"/>
        </w:rPr>
        <w:lastRenderedPageBreak/>
        <w:t>Введение</w:t>
      </w:r>
      <w:bookmarkEnd w:id="0"/>
      <w:bookmarkEnd w:id="1"/>
    </w:p>
    <w:p w14:paraId="2AC361A6" w14:textId="77777777" w:rsidR="00F970DA" w:rsidRPr="00BB608B" w:rsidRDefault="00F970DA" w:rsidP="003F4CFF">
      <w:pPr>
        <w:rPr>
          <w:rFonts w:ascii="Times New Roman" w:eastAsia="Calibri" w:hAnsi="Times New Roman" w:cs="Times New Roman"/>
          <w:sz w:val="28"/>
          <w:szCs w:val="28"/>
        </w:rPr>
      </w:pPr>
    </w:p>
    <w:p w14:paraId="2485F9EB" w14:textId="77777777" w:rsidR="003F4CFF" w:rsidRPr="004B5910" w:rsidRDefault="003F4CFF" w:rsidP="003F4CFF">
      <w:pPr>
        <w:ind w:firstLine="567"/>
        <w:jc w:val="both"/>
        <w:rPr>
          <w:rFonts w:ascii="Times New Roman" w:eastAsia="Calibri" w:hAnsi="Times New Roman" w:cs="Times New Roman"/>
          <w:sz w:val="28"/>
          <w:szCs w:val="28"/>
        </w:rPr>
      </w:pPr>
      <w:r w:rsidRPr="004B5910">
        <w:rPr>
          <w:rFonts w:ascii="Times New Roman" w:eastAsia="Calibri" w:hAnsi="Times New Roman" w:cs="Times New Roman"/>
          <w:sz w:val="28"/>
          <w:szCs w:val="28"/>
        </w:rPr>
        <w:t>Конституция Российской Федерации устанавливает гарантии единства экономического пространства, свободного перемещения товаров, услуг и финансовых средств, поддержки конкуренции, свободы экономической деятельности.</w:t>
      </w:r>
    </w:p>
    <w:p w14:paraId="42D17354" w14:textId="77777777" w:rsidR="003F4CFF" w:rsidRPr="00094562" w:rsidRDefault="003F4CFF" w:rsidP="003F4CFF">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Указом </w:t>
      </w:r>
      <w:r w:rsidRPr="001C7597">
        <w:rPr>
          <w:rFonts w:ascii="Times New Roman" w:eastAsia="Calibri" w:hAnsi="Times New Roman" w:cs="Times New Roman"/>
          <w:sz w:val="28"/>
          <w:szCs w:val="28"/>
        </w:rPr>
        <w:t>Президента Российской</w:t>
      </w:r>
      <w:r>
        <w:rPr>
          <w:rFonts w:ascii="Times New Roman" w:eastAsia="Calibri" w:hAnsi="Times New Roman" w:cs="Times New Roman"/>
          <w:sz w:val="28"/>
          <w:szCs w:val="28"/>
        </w:rPr>
        <w:t xml:space="preserve"> Федерации от 21.12.2017 № </w:t>
      </w:r>
      <w:r w:rsidRPr="001C7597">
        <w:rPr>
          <w:rFonts w:ascii="Times New Roman" w:eastAsia="Calibri" w:hAnsi="Times New Roman" w:cs="Times New Roman"/>
          <w:sz w:val="28"/>
          <w:szCs w:val="28"/>
        </w:rPr>
        <w:t>618 «Об основных направлениях государственной политики по развитию конкуренции»</w:t>
      </w:r>
      <w:r w:rsidRPr="00B7413C">
        <w:rPr>
          <w:rFonts w:ascii="Times New Roman" w:eastAsia="Calibri" w:hAnsi="Times New Roman" w:cs="Times New Roman"/>
          <w:sz w:val="28"/>
          <w:szCs w:val="28"/>
        </w:rPr>
        <w:t xml:space="preserve"> </w:t>
      </w:r>
      <w:r w:rsidRPr="001C7597">
        <w:rPr>
          <w:rFonts w:ascii="Times New Roman" w:eastAsia="Calibri" w:hAnsi="Times New Roman" w:cs="Times New Roman"/>
          <w:sz w:val="28"/>
          <w:szCs w:val="28"/>
        </w:rPr>
        <w:t xml:space="preserve">установлено, что </w:t>
      </w:r>
      <w:r w:rsidRPr="00094562">
        <w:rPr>
          <w:rFonts w:ascii="Times New Roman" w:eastAsia="Calibri" w:hAnsi="Times New Roman" w:cs="Times New Roman"/>
          <w:sz w:val="28"/>
          <w:szCs w:val="28"/>
        </w:rPr>
        <w:t>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784237E0" w14:textId="77777777" w:rsidR="003F4CFF" w:rsidRDefault="003F4CFF" w:rsidP="003F4CFF">
      <w:pPr>
        <w:ind w:firstLine="567"/>
        <w:jc w:val="both"/>
        <w:rPr>
          <w:rFonts w:ascii="Times New Roman" w:eastAsia="Calibri" w:hAnsi="Times New Roman" w:cs="Times New Roman"/>
          <w:sz w:val="28"/>
          <w:szCs w:val="28"/>
        </w:rPr>
      </w:pPr>
      <w:r w:rsidRPr="004B5910">
        <w:rPr>
          <w:rFonts w:ascii="Times New Roman" w:eastAsia="Calibri" w:hAnsi="Times New Roman" w:cs="Times New Roman"/>
          <w:sz w:val="28"/>
          <w:szCs w:val="28"/>
        </w:rPr>
        <w:t xml:space="preserve">5 апреля 2018 года </w:t>
      </w:r>
      <w:r>
        <w:rPr>
          <w:rFonts w:ascii="Times New Roman" w:eastAsia="Calibri" w:hAnsi="Times New Roman" w:cs="Times New Roman"/>
          <w:sz w:val="28"/>
          <w:szCs w:val="28"/>
        </w:rPr>
        <w:t>состоялось</w:t>
      </w:r>
      <w:r w:rsidRPr="004B5910">
        <w:rPr>
          <w:rFonts w:ascii="Times New Roman" w:eastAsia="Calibri" w:hAnsi="Times New Roman" w:cs="Times New Roman"/>
          <w:sz w:val="28"/>
          <w:szCs w:val="28"/>
        </w:rPr>
        <w:t xml:space="preserve"> заседание Государственного совета по вопросу приоритетных направлений деятельности субъектов Р</w:t>
      </w:r>
      <w:r>
        <w:rPr>
          <w:rFonts w:ascii="Times New Roman" w:eastAsia="Calibri" w:hAnsi="Times New Roman" w:cs="Times New Roman"/>
          <w:sz w:val="28"/>
          <w:szCs w:val="28"/>
        </w:rPr>
        <w:t xml:space="preserve">оссийской </w:t>
      </w:r>
      <w:r w:rsidRPr="004B5910">
        <w:rPr>
          <w:rFonts w:ascii="Times New Roman" w:eastAsia="Calibri" w:hAnsi="Times New Roman" w:cs="Times New Roman"/>
          <w:sz w:val="28"/>
          <w:szCs w:val="28"/>
        </w:rPr>
        <w:t>Ф</w:t>
      </w:r>
      <w:r>
        <w:rPr>
          <w:rFonts w:ascii="Times New Roman" w:eastAsia="Calibri" w:hAnsi="Times New Roman" w:cs="Times New Roman"/>
          <w:sz w:val="28"/>
          <w:szCs w:val="28"/>
        </w:rPr>
        <w:t>едерации</w:t>
      </w:r>
      <w:r w:rsidRPr="004B5910">
        <w:rPr>
          <w:rFonts w:ascii="Times New Roman" w:eastAsia="Calibri" w:hAnsi="Times New Roman" w:cs="Times New Roman"/>
          <w:sz w:val="28"/>
          <w:szCs w:val="28"/>
        </w:rPr>
        <w:t xml:space="preserve"> по содействию конкуренции в стране</w:t>
      </w:r>
      <w:r>
        <w:rPr>
          <w:rFonts w:ascii="Times New Roman" w:eastAsia="Calibri" w:hAnsi="Times New Roman" w:cs="Times New Roman"/>
          <w:sz w:val="28"/>
          <w:szCs w:val="28"/>
        </w:rPr>
        <w:t xml:space="preserve">, на котором Президент Российской Федерации </w:t>
      </w:r>
      <w:r w:rsidRPr="004B5910">
        <w:rPr>
          <w:rFonts w:ascii="Times New Roman" w:eastAsia="Calibri" w:hAnsi="Times New Roman" w:cs="Times New Roman"/>
          <w:sz w:val="28"/>
          <w:szCs w:val="28"/>
        </w:rPr>
        <w:t>В.В.</w:t>
      </w:r>
      <w:r w:rsidR="00DD6A87">
        <w:rPr>
          <w:rFonts w:ascii="Times New Roman" w:eastAsia="Calibri" w:hAnsi="Times New Roman" w:cs="Times New Roman"/>
          <w:sz w:val="28"/>
          <w:szCs w:val="28"/>
          <w:lang w:val="en-US"/>
        </w:rPr>
        <w:t> </w:t>
      </w:r>
      <w:r>
        <w:rPr>
          <w:rFonts w:ascii="Times New Roman" w:eastAsia="Calibri" w:hAnsi="Times New Roman" w:cs="Times New Roman"/>
          <w:sz w:val="28"/>
          <w:szCs w:val="28"/>
        </w:rPr>
        <w:t>Путин отметил, что «с</w:t>
      </w:r>
      <w:r w:rsidRPr="0046701D">
        <w:rPr>
          <w:rFonts w:ascii="Times New Roman" w:eastAsia="Calibri" w:hAnsi="Times New Roman" w:cs="Times New Roman"/>
          <w:sz w:val="28"/>
          <w:szCs w:val="28"/>
        </w:rPr>
        <w:t>праведливая и честная конкуренция – это базовое условие для экономического и технологического развития, залог обновления страны, её динамичного движения вперёд во всех сферах жизни</w:t>
      </w:r>
      <w:r>
        <w:rPr>
          <w:rFonts w:ascii="Times New Roman" w:eastAsia="Calibri" w:hAnsi="Times New Roman" w:cs="Times New Roman"/>
          <w:sz w:val="28"/>
          <w:szCs w:val="28"/>
        </w:rPr>
        <w:t>». По и</w:t>
      </w:r>
      <w:r w:rsidRPr="004B5910">
        <w:rPr>
          <w:rFonts w:ascii="Times New Roman" w:eastAsia="Calibri" w:hAnsi="Times New Roman" w:cs="Times New Roman"/>
          <w:sz w:val="28"/>
          <w:szCs w:val="28"/>
        </w:rPr>
        <w:t>тог</w:t>
      </w:r>
      <w:r>
        <w:rPr>
          <w:rFonts w:ascii="Times New Roman" w:eastAsia="Calibri" w:hAnsi="Times New Roman" w:cs="Times New Roman"/>
          <w:sz w:val="28"/>
          <w:szCs w:val="28"/>
        </w:rPr>
        <w:t>ам</w:t>
      </w:r>
      <w:r w:rsidRPr="004B5910">
        <w:rPr>
          <w:rFonts w:ascii="Times New Roman" w:eastAsia="Calibri" w:hAnsi="Times New Roman" w:cs="Times New Roman"/>
          <w:sz w:val="28"/>
          <w:szCs w:val="28"/>
        </w:rPr>
        <w:t xml:space="preserve"> обсуждения</w:t>
      </w:r>
      <w:r>
        <w:rPr>
          <w:rFonts w:ascii="Times New Roman" w:eastAsia="Calibri" w:hAnsi="Times New Roman" w:cs="Times New Roman"/>
          <w:sz w:val="28"/>
          <w:szCs w:val="28"/>
        </w:rPr>
        <w:t xml:space="preserve"> </w:t>
      </w:r>
      <w:r w:rsidRPr="00104E94">
        <w:rPr>
          <w:rFonts w:ascii="Times New Roman" w:eastAsia="Calibri" w:hAnsi="Times New Roman" w:cs="Times New Roman"/>
          <w:sz w:val="28"/>
          <w:szCs w:val="28"/>
        </w:rPr>
        <w:t>Президентом Российской Федерации</w:t>
      </w:r>
      <w:r>
        <w:rPr>
          <w:rFonts w:ascii="Times New Roman" w:eastAsia="Calibri" w:hAnsi="Times New Roman" w:cs="Times New Roman"/>
          <w:sz w:val="28"/>
          <w:szCs w:val="28"/>
        </w:rPr>
        <w:t xml:space="preserve"> утвержден </w:t>
      </w:r>
      <w:r w:rsidRPr="00104E94">
        <w:rPr>
          <w:rFonts w:ascii="Times New Roman" w:eastAsia="Calibri" w:hAnsi="Times New Roman" w:cs="Times New Roman"/>
          <w:sz w:val="28"/>
          <w:szCs w:val="28"/>
        </w:rPr>
        <w:t>Переч</w:t>
      </w:r>
      <w:r>
        <w:rPr>
          <w:rFonts w:ascii="Times New Roman" w:eastAsia="Calibri" w:hAnsi="Times New Roman" w:cs="Times New Roman"/>
          <w:sz w:val="28"/>
          <w:szCs w:val="28"/>
        </w:rPr>
        <w:t>ень</w:t>
      </w:r>
      <w:r w:rsidRPr="00104E94">
        <w:rPr>
          <w:rFonts w:ascii="Times New Roman" w:eastAsia="Calibri" w:hAnsi="Times New Roman" w:cs="Times New Roman"/>
          <w:sz w:val="28"/>
          <w:szCs w:val="28"/>
        </w:rPr>
        <w:t xml:space="preserve"> поручений по итогам заседания Госсовета по вопросу развития конкуренции</w:t>
      </w:r>
      <w:r>
        <w:rPr>
          <w:rFonts w:ascii="Times New Roman" w:eastAsia="Calibri" w:hAnsi="Times New Roman" w:cs="Times New Roman"/>
          <w:sz w:val="28"/>
          <w:szCs w:val="28"/>
        </w:rPr>
        <w:t xml:space="preserve"> от 1</w:t>
      </w:r>
      <w:r w:rsidRPr="00A8044F">
        <w:rPr>
          <w:rFonts w:ascii="Times New Roman" w:eastAsia="Calibri" w:hAnsi="Times New Roman" w:cs="Times New Roman"/>
          <w:sz w:val="28"/>
          <w:szCs w:val="28"/>
        </w:rPr>
        <w:t>5</w:t>
      </w:r>
      <w:r>
        <w:rPr>
          <w:rFonts w:ascii="Times New Roman" w:eastAsia="Calibri" w:hAnsi="Times New Roman" w:cs="Times New Roman"/>
          <w:sz w:val="28"/>
          <w:szCs w:val="28"/>
        </w:rPr>
        <w:t>.05.</w:t>
      </w:r>
      <w:r w:rsidRPr="00A8044F">
        <w:rPr>
          <w:rFonts w:ascii="Times New Roman" w:eastAsia="Calibri" w:hAnsi="Times New Roman" w:cs="Times New Roman"/>
          <w:sz w:val="28"/>
          <w:szCs w:val="28"/>
        </w:rPr>
        <w:t>2018</w:t>
      </w:r>
      <w:r>
        <w:rPr>
          <w:rFonts w:ascii="Times New Roman" w:eastAsia="Calibri" w:hAnsi="Times New Roman" w:cs="Times New Roman"/>
          <w:sz w:val="28"/>
          <w:szCs w:val="28"/>
        </w:rPr>
        <w:t xml:space="preserve"> №</w:t>
      </w:r>
      <w:r w:rsidR="00DD6A87" w:rsidRPr="00DD6A87">
        <w:rPr>
          <w:rFonts w:ascii="Times New Roman" w:eastAsia="Calibri" w:hAnsi="Times New Roman" w:cs="Times New Roman"/>
          <w:sz w:val="28"/>
          <w:szCs w:val="28"/>
        </w:rPr>
        <w:t> </w:t>
      </w:r>
      <w:r w:rsidRPr="00A8044F">
        <w:rPr>
          <w:rFonts w:ascii="Times New Roman" w:eastAsia="Calibri" w:hAnsi="Times New Roman" w:cs="Times New Roman"/>
          <w:sz w:val="28"/>
          <w:szCs w:val="28"/>
        </w:rPr>
        <w:t>Пр-817ГС</w:t>
      </w:r>
      <w:r>
        <w:rPr>
          <w:rFonts w:ascii="Times New Roman" w:eastAsia="Calibri" w:hAnsi="Times New Roman" w:cs="Times New Roman"/>
          <w:sz w:val="28"/>
          <w:szCs w:val="28"/>
        </w:rPr>
        <w:t>. Ос</w:t>
      </w:r>
      <w:r w:rsidRPr="004B5910">
        <w:rPr>
          <w:rFonts w:ascii="Times New Roman" w:eastAsia="Calibri" w:hAnsi="Times New Roman" w:cs="Times New Roman"/>
          <w:sz w:val="28"/>
          <w:szCs w:val="28"/>
        </w:rPr>
        <w:t>нов</w:t>
      </w:r>
      <w:r>
        <w:rPr>
          <w:rFonts w:ascii="Times New Roman" w:eastAsia="Calibri" w:hAnsi="Times New Roman" w:cs="Times New Roman"/>
          <w:sz w:val="28"/>
          <w:szCs w:val="28"/>
        </w:rPr>
        <w:t>ы</w:t>
      </w:r>
      <w:r w:rsidRPr="004B5910">
        <w:rPr>
          <w:rFonts w:ascii="Times New Roman" w:eastAsia="Calibri" w:hAnsi="Times New Roman" w:cs="Times New Roman"/>
          <w:sz w:val="28"/>
          <w:szCs w:val="28"/>
        </w:rPr>
        <w:t xml:space="preserve"> новой региональной политики по развитию конкуренции</w:t>
      </w:r>
      <w:r>
        <w:rPr>
          <w:rFonts w:ascii="Times New Roman" w:eastAsia="Calibri" w:hAnsi="Times New Roman" w:cs="Times New Roman"/>
          <w:sz w:val="28"/>
          <w:szCs w:val="28"/>
        </w:rPr>
        <w:t xml:space="preserve"> определены </w:t>
      </w:r>
      <w:r w:rsidRPr="005E0AAA">
        <w:rPr>
          <w:rFonts w:ascii="Times New Roman" w:eastAsia="Calibri" w:hAnsi="Times New Roman" w:cs="Times New Roman"/>
          <w:sz w:val="28"/>
          <w:szCs w:val="28"/>
        </w:rPr>
        <w:t>Поручение</w:t>
      </w:r>
      <w:r>
        <w:rPr>
          <w:rFonts w:ascii="Times New Roman" w:eastAsia="Calibri" w:hAnsi="Times New Roman" w:cs="Times New Roman"/>
          <w:sz w:val="28"/>
          <w:szCs w:val="28"/>
        </w:rPr>
        <w:t>м</w:t>
      </w:r>
      <w:r w:rsidRPr="005E0AAA">
        <w:rPr>
          <w:rFonts w:ascii="Times New Roman" w:eastAsia="Calibri" w:hAnsi="Times New Roman" w:cs="Times New Roman"/>
          <w:sz w:val="28"/>
          <w:szCs w:val="28"/>
        </w:rPr>
        <w:t xml:space="preserve"> Правительства Российской Федерации от 22</w:t>
      </w:r>
      <w:r>
        <w:rPr>
          <w:rFonts w:ascii="Times New Roman" w:eastAsia="Calibri" w:hAnsi="Times New Roman" w:cs="Times New Roman"/>
          <w:sz w:val="28"/>
          <w:szCs w:val="28"/>
        </w:rPr>
        <w:t>.05.</w:t>
      </w:r>
      <w:r w:rsidR="00DD6A87">
        <w:rPr>
          <w:rFonts w:ascii="Times New Roman" w:eastAsia="Calibri" w:hAnsi="Times New Roman" w:cs="Times New Roman"/>
          <w:sz w:val="28"/>
          <w:szCs w:val="28"/>
        </w:rPr>
        <w:t>2018 № </w:t>
      </w:r>
      <w:r w:rsidRPr="005E0AAA">
        <w:rPr>
          <w:rFonts w:ascii="Times New Roman" w:eastAsia="Calibri" w:hAnsi="Times New Roman" w:cs="Times New Roman"/>
          <w:sz w:val="28"/>
          <w:szCs w:val="28"/>
        </w:rPr>
        <w:t>ДМ-П13-2864</w:t>
      </w:r>
      <w:r>
        <w:rPr>
          <w:rFonts w:ascii="Times New Roman" w:eastAsia="Calibri" w:hAnsi="Times New Roman" w:cs="Times New Roman"/>
          <w:sz w:val="28"/>
          <w:szCs w:val="28"/>
        </w:rPr>
        <w:t>.</w:t>
      </w:r>
    </w:p>
    <w:p w14:paraId="1F668ED4" w14:textId="77777777" w:rsidR="003F4CFF" w:rsidRPr="004B5910" w:rsidRDefault="003F4CFF" w:rsidP="003F4CFF">
      <w:pPr>
        <w:ind w:firstLine="567"/>
        <w:jc w:val="both"/>
        <w:rPr>
          <w:rFonts w:ascii="Times New Roman" w:eastAsia="Calibri" w:hAnsi="Times New Roman" w:cs="Times New Roman"/>
          <w:sz w:val="28"/>
          <w:szCs w:val="28"/>
        </w:rPr>
      </w:pPr>
      <w:r w:rsidRPr="004B5910">
        <w:rPr>
          <w:rFonts w:ascii="Times New Roman" w:eastAsia="Calibri" w:hAnsi="Times New Roman" w:cs="Times New Roman"/>
          <w:sz w:val="28"/>
          <w:szCs w:val="28"/>
        </w:rPr>
        <w:t xml:space="preserve">Защита конкуренции и обеспечение конкурентных рыночных отношений, недопущение монополистической деятельности являются основой существования и развития рыночной экономики, а активное содействие развитию конкуренции в </w:t>
      </w:r>
      <w:r>
        <w:rPr>
          <w:rFonts w:ascii="Times New Roman" w:eastAsia="Calibri" w:hAnsi="Times New Roman" w:cs="Times New Roman"/>
          <w:sz w:val="28"/>
          <w:szCs w:val="28"/>
        </w:rPr>
        <w:t xml:space="preserve">Новосибирской области </w:t>
      </w:r>
      <w:r w:rsidRPr="004B5910">
        <w:rPr>
          <w:rFonts w:ascii="Times New Roman" w:eastAsia="Calibri" w:hAnsi="Times New Roman" w:cs="Times New Roman"/>
          <w:sz w:val="28"/>
          <w:szCs w:val="28"/>
        </w:rPr>
        <w:t xml:space="preserve">является приоритетным направлением деятельности </w:t>
      </w:r>
      <w:r>
        <w:rPr>
          <w:rFonts w:ascii="Times New Roman" w:eastAsia="Calibri" w:hAnsi="Times New Roman" w:cs="Times New Roman"/>
          <w:sz w:val="28"/>
          <w:szCs w:val="28"/>
        </w:rPr>
        <w:t>региональных и муниципальных органов власти Новосибирской области</w:t>
      </w:r>
      <w:r w:rsidRPr="004B5910">
        <w:rPr>
          <w:rFonts w:ascii="Times New Roman" w:eastAsia="Calibri" w:hAnsi="Times New Roman" w:cs="Times New Roman"/>
          <w:sz w:val="28"/>
          <w:szCs w:val="28"/>
        </w:rPr>
        <w:t>.</w:t>
      </w:r>
    </w:p>
    <w:p w14:paraId="3C8217A2" w14:textId="77777777" w:rsidR="003F4CFF" w:rsidRDefault="003F4CFF" w:rsidP="003F4CFF">
      <w:pPr>
        <w:ind w:firstLine="567"/>
        <w:jc w:val="both"/>
        <w:rPr>
          <w:rFonts w:ascii="Times New Roman" w:eastAsia="Calibri" w:hAnsi="Times New Roman" w:cs="Times New Roman"/>
          <w:sz w:val="28"/>
          <w:szCs w:val="28"/>
        </w:rPr>
      </w:pPr>
      <w:r w:rsidRPr="008A797B">
        <w:rPr>
          <w:rFonts w:ascii="Times New Roman" w:eastAsia="Calibri" w:hAnsi="Times New Roman" w:cs="Times New Roman"/>
          <w:sz w:val="28"/>
          <w:szCs w:val="28"/>
        </w:rPr>
        <w:t xml:space="preserve">Высокий уровень развития конкуренции во всех отраслях </w:t>
      </w:r>
      <w:r>
        <w:rPr>
          <w:rFonts w:ascii="Times New Roman" w:eastAsia="Calibri" w:hAnsi="Times New Roman" w:cs="Times New Roman"/>
          <w:sz w:val="28"/>
          <w:szCs w:val="28"/>
        </w:rPr>
        <w:t xml:space="preserve">Новосибирской области </w:t>
      </w:r>
      <w:r w:rsidRPr="008A797B">
        <w:rPr>
          <w:rFonts w:ascii="Times New Roman" w:eastAsia="Calibri" w:hAnsi="Times New Roman" w:cs="Times New Roman"/>
          <w:sz w:val="28"/>
          <w:szCs w:val="28"/>
        </w:rPr>
        <w:t>способен обеспечить стабильный рост и развитие многоукладной экономики</w:t>
      </w:r>
      <w:r>
        <w:rPr>
          <w:rFonts w:ascii="Times New Roman" w:eastAsia="Calibri" w:hAnsi="Times New Roman" w:cs="Times New Roman"/>
          <w:sz w:val="28"/>
          <w:szCs w:val="28"/>
        </w:rPr>
        <w:t xml:space="preserve"> региона</w:t>
      </w:r>
      <w:r w:rsidRPr="008A797B">
        <w:rPr>
          <w:rFonts w:ascii="Times New Roman" w:eastAsia="Calibri" w:hAnsi="Times New Roman" w:cs="Times New Roman"/>
          <w:sz w:val="28"/>
          <w:szCs w:val="28"/>
        </w:rPr>
        <w:t>,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экономической эффективности и конкурентоспособности хозяйствующих субъектов</w:t>
      </w:r>
      <w:r>
        <w:rPr>
          <w:rFonts w:ascii="Times New Roman" w:eastAsia="Calibri" w:hAnsi="Times New Roman" w:cs="Times New Roman"/>
          <w:sz w:val="28"/>
          <w:szCs w:val="28"/>
        </w:rPr>
        <w:t>, осуществляющих деятельность на территории Новосибирской области</w:t>
      </w:r>
      <w:r w:rsidRPr="008A797B">
        <w:rPr>
          <w:rFonts w:ascii="Times New Roman" w:eastAsia="Calibri" w:hAnsi="Times New Roman" w:cs="Times New Roman"/>
          <w:sz w:val="28"/>
          <w:szCs w:val="28"/>
        </w:rPr>
        <w:t>.</w:t>
      </w:r>
    </w:p>
    <w:p w14:paraId="65D179AA" w14:textId="77777777" w:rsidR="003F4CFF" w:rsidRPr="00094562" w:rsidRDefault="003F4CFF" w:rsidP="003F4CFF">
      <w:pPr>
        <w:ind w:firstLine="567"/>
        <w:jc w:val="both"/>
        <w:rPr>
          <w:rFonts w:ascii="Times New Roman" w:eastAsia="Calibri" w:hAnsi="Times New Roman" w:cs="Times New Roman"/>
          <w:sz w:val="28"/>
          <w:szCs w:val="28"/>
        </w:rPr>
      </w:pPr>
      <w:r w:rsidRPr="00094562">
        <w:rPr>
          <w:rFonts w:ascii="Times New Roman" w:eastAsia="Calibri" w:hAnsi="Times New Roman" w:cs="Times New Roman"/>
          <w:sz w:val="28"/>
          <w:szCs w:val="28"/>
        </w:rPr>
        <w:t xml:space="preserve">Министерство экономического развития Новосибирской области, являясь органом власти, уполномоченным содействовать развитию конкуренции в Новосибирской области, ежегодно подготавливает проект доклада о состоянии и развитии конкуренции на товарных рынках Новосибирской области </w:t>
      </w:r>
      <w:r w:rsidRPr="00094562">
        <w:rPr>
          <w:rFonts w:ascii="Times New Roman" w:eastAsia="Calibri" w:hAnsi="Times New Roman" w:cs="Times New Roman"/>
          <w:sz w:val="28"/>
          <w:szCs w:val="28"/>
        </w:rPr>
        <w:lastRenderedPageBreak/>
        <w:t>(далее – доклад). Совет по содействию развитию конкуренции в Новосибирской области рассматривает и утверждает доклад.</w:t>
      </w:r>
    </w:p>
    <w:p w14:paraId="30356A77" w14:textId="77777777" w:rsidR="003F4CFF" w:rsidRPr="00094562" w:rsidRDefault="003F4CFF" w:rsidP="003F4CFF">
      <w:pPr>
        <w:ind w:firstLine="567"/>
        <w:jc w:val="both"/>
        <w:rPr>
          <w:rFonts w:ascii="Times New Roman" w:eastAsia="Calibri" w:hAnsi="Times New Roman" w:cs="Times New Roman"/>
          <w:sz w:val="28"/>
          <w:szCs w:val="28"/>
        </w:rPr>
      </w:pPr>
      <w:r w:rsidRPr="00094562">
        <w:rPr>
          <w:rFonts w:ascii="Times New Roman" w:eastAsia="Calibri" w:hAnsi="Times New Roman" w:cs="Times New Roman"/>
          <w:sz w:val="28"/>
          <w:szCs w:val="28"/>
        </w:rPr>
        <w:t>В докладе осуществляется анализ результативности и эффективности деятельности областных исполнительных органов</w:t>
      </w:r>
      <w:r w:rsidR="00ED632F" w:rsidRPr="00ED632F">
        <w:rPr>
          <w:rFonts w:ascii="Times New Roman" w:eastAsia="Calibri" w:hAnsi="Times New Roman" w:cs="Times New Roman"/>
          <w:sz w:val="28"/>
          <w:szCs w:val="28"/>
        </w:rPr>
        <w:t xml:space="preserve"> г</w:t>
      </w:r>
      <w:r w:rsidR="00ED632F">
        <w:rPr>
          <w:rFonts w:ascii="Times New Roman" w:eastAsia="Calibri" w:hAnsi="Times New Roman" w:cs="Times New Roman"/>
          <w:sz w:val="28"/>
          <w:szCs w:val="28"/>
        </w:rPr>
        <w:t>осударственной</w:t>
      </w:r>
      <w:r w:rsidRPr="00094562">
        <w:rPr>
          <w:rFonts w:ascii="Times New Roman" w:eastAsia="Calibri" w:hAnsi="Times New Roman" w:cs="Times New Roman"/>
          <w:sz w:val="28"/>
          <w:szCs w:val="28"/>
        </w:rPr>
        <w:t xml:space="preserve"> власти Новосибирской области и органов местного самоуправления по содействию развитию конкуренции, включая оценку результатов реализации мероприятий, предусмотренных планом мероприятий </w:t>
      </w:r>
      <w:r w:rsidR="00ED632F">
        <w:rPr>
          <w:rFonts w:ascii="Times New Roman" w:eastAsia="Calibri" w:hAnsi="Times New Roman" w:cs="Times New Roman"/>
          <w:sz w:val="28"/>
          <w:szCs w:val="28"/>
        </w:rPr>
        <w:t>(</w:t>
      </w:r>
      <w:r w:rsidRPr="00094562">
        <w:rPr>
          <w:rFonts w:ascii="Times New Roman" w:eastAsia="Calibri" w:hAnsi="Times New Roman" w:cs="Times New Roman"/>
          <w:sz w:val="28"/>
          <w:szCs w:val="28"/>
        </w:rPr>
        <w:t>«дорожной картой»</w:t>
      </w:r>
      <w:r w:rsidR="00ED632F">
        <w:rPr>
          <w:rFonts w:ascii="Times New Roman" w:eastAsia="Calibri" w:hAnsi="Times New Roman" w:cs="Times New Roman"/>
          <w:sz w:val="28"/>
          <w:szCs w:val="28"/>
        </w:rPr>
        <w:t>)</w:t>
      </w:r>
      <w:r w:rsidRPr="00094562">
        <w:rPr>
          <w:rFonts w:ascii="Times New Roman" w:eastAsia="Calibri" w:hAnsi="Times New Roman" w:cs="Times New Roman"/>
          <w:sz w:val="28"/>
          <w:szCs w:val="28"/>
        </w:rPr>
        <w:t xml:space="preserve"> по содействию развитию конкуренции в Новосибирской области, отражаются основные проблемы и перспективы развития региональных товарных рынков, содержатся предложения по повышению эффективности их функционирования.</w:t>
      </w:r>
    </w:p>
    <w:p w14:paraId="0C422CCD" w14:textId="77777777" w:rsidR="003F4CFF" w:rsidRPr="002D40E2" w:rsidRDefault="003F4CFF" w:rsidP="003F4CFF">
      <w:pPr>
        <w:ind w:firstLine="567"/>
        <w:jc w:val="both"/>
        <w:rPr>
          <w:rFonts w:ascii="Times New Roman" w:eastAsia="Calibri" w:hAnsi="Times New Roman" w:cs="Times New Roman"/>
          <w:sz w:val="28"/>
          <w:szCs w:val="28"/>
        </w:rPr>
      </w:pPr>
      <w:r w:rsidRPr="004B5910">
        <w:rPr>
          <w:rFonts w:ascii="Times New Roman" w:eastAsia="Calibri" w:hAnsi="Times New Roman" w:cs="Times New Roman"/>
          <w:sz w:val="28"/>
          <w:szCs w:val="28"/>
        </w:rPr>
        <w:t xml:space="preserve">Оценка состояния конкуренции как в целом, так и </w:t>
      </w:r>
      <w:r>
        <w:rPr>
          <w:rFonts w:ascii="Times New Roman" w:eastAsia="Calibri" w:hAnsi="Times New Roman" w:cs="Times New Roman"/>
          <w:sz w:val="28"/>
          <w:szCs w:val="28"/>
        </w:rPr>
        <w:t xml:space="preserve">на отдельных товарных рынках </w:t>
      </w:r>
      <w:r w:rsidRPr="004B5910">
        <w:rPr>
          <w:rFonts w:ascii="Times New Roman" w:eastAsia="Calibri" w:hAnsi="Times New Roman" w:cs="Times New Roman"/>
          <w:sz w:val="28"/>
          <w:szCs w:val="28"/>
        </w:rPr>
        <w:t xml:space="preserve">является важнейшим инструментом разработки и реализации </w:t>
      </w:r>
      <w:r>
        <w:rPr>
          <w:rFonts w:ascii="Times New Roman" w:eastAsia="Calibri" w:hAnsi="Times New Roman" w:cs="Times New Roman"/>
          <w:sz w:val="28"/>
          <w:szCs w:val="28"/>
        </w:rPr>
        <w:t>экономической политики региона.</w:t>
      </w:r>
    </w:p>
    <w:p w14:paraId="61BD7895" w14:textId="77777777" w:rsidR="003F4CFF" w:rsidRPr="00094562" w:rsidRDefault="003F4CFF" w:rsidP="003F4CFF">
      <w:pPr>
        <w:ind w:firstLine="567"/>
        <w:jc w:val="both"/>
        <w:rPr>
          <w:rFonts w:ascii="Times New Roman" w:eastAsia="Calibri" w:hAnsi="Times New Roman" w:cs="Times New Roman"/>
          <w:sz w:val="28"/>
          <w:szCs w:val="28"/>
        </w:rPr>
      </w:pPr>
      <w:r w:rsidRPr="001C7597">
        <w:rPr>
          <w:rFonts w:ascii="Times New Roman" w:eastAsia="Calibri" w:hAnsi="Times New Roman" w:cs="Times New Roman"/>
          <w:sz w:val="28"/>
          <w:szCs w:val="28"/>
        </w:rPr>
        <w:t xml:space="preserve">В целях реализации </w:t>
      </w:r>
      <w:r>
        <w:rPr>
          <w:rFonts w:ascii="Times New Roman" w:eastAsia="Calibri" w:hAnsi="Times New Roman" w:cs="Times New Roman"/>
          <w:sz w:val="28"/>
          <w:szCs w:val="28"/>
        </w:rPr>
        <w:t xml:space="preserve">региональной </w:t>
      </w:r>
      <w:r w:rsidRPr="001C7597">
        <w:rPr>
          <w:rFonts w:ascii="Times New Roman" w:eastAsia="Calibri" w:hAnsi="Times New Roman" w:cs="Times New Roman"/>
          <w:sz w:val="28"/>
          <w:szCs w:val="28"/>
        </w:rPr>
        <w:t xml:space="preserve">государственной политики, направленной на развитие конкуренции, </w:t>
      </w:r>
      <w:r>
        <w:rPr>
          <w:rFonts w:ascii="Times New Roman" w:eastAsia="Calibri" w:hAnsi="Times New Roman" w:cs="Times New Roman"/>
          <w:sz w:val="28"/>
          <w:szCs w:val="28"/>
        </w:rPr>
        <w:t xml:space="preserve">областные исполнительные органы государственной власти Новосибирской области, </w:t>
      </w:r>
      <w:r w:rsidRPr="001C7597">
        <w:rPr>
          <w:rFonts w:ascii="Times New Roman" w:eastAsia="Calibri" w:hAnsi="Times New Roman" w:cs="Times New Roman"/>
          <w:sz w:val="28"/>
          <w:szCs w:val="28"/>
        </w:rPr>
        <w:t xml:space="preserve">органы местного самоуправления, юридические лица, индивидуальные предприниматели и граждане должны быть обеспечены систематизированной аналитической информацией о состоянии конкуренции </w:t>
      </w:r>
      <w:r>
        <w:rPr>
          <w:rFonts w:ascii="Times New Roman" w:eastAsia="Calibri" w:hAnsi="Times New Roman" w:cs="Times New Roman"/>
          <w:sz w:val="28"/>
          <w:szCs w:val="28"/>
        </w:rPr>
        <w:t>в Новосибирской области</w:t>
      </w:r>
      <w:r w:rsidRPr="001C7597">
        <w:rPr>
          <w:rFonts w:ascii="Times New Roman" w:eastAsia="Calibri" w:hAnsi="Times New Roman" w:cs="Times New Roman"/>
          <w:sz w:val="28"/>
          <w:szCs w:val="28"/>
        </w:rPr>
        <w:t xml:space="preserve">. </w:t>
      </w:r>
      <w:r>
        <w:rPr>
          <w:rFonts w:ascii="Times New Roman" w:eastAsia="Calibri" w:hAnsi="Times New Roman" w:cs="Times New Roman"/>
          <w:sz w:val="28"/>
          <w:szCs w:val="28"/>
        </w:rPr>
        <w:t>Д</w:t>
      </w:r>
      <w:r w:rsidRPr="001C7597">
        <w:rPr>
          <w:rFonts w:ascii="Times New Roman" w:eastAsia="Calibri" w:hAnsi="Times New Roman" w:cs="Times New Roman"/>
          <w:sz w:val="28"/>
          <w:szCs w:val="28"/>
        </w:rPr>
        <w:t xml:space="preserve">окументом, отражающим такую информацию, является </w:t>
      </w:r>
      <w:r w:rsidRPr="00094562">
        <w:rPr>
          <w:rFonts w:ascii="Times New Roman" w:eastAsia="Calibri" w:hAnsi="Times New Roman" w:cs="Times New Roman"/>
          <w:sz w:val="28"/>
          <w:szCs w:val="28"/>
        </w:rPr>
        <w:t>доклад.</w:t>
      </w:r>
    </w:p>
    <w:p w14:paraId="3CC7CA3D" w14:textId="77777777" w:rsidR="00A02DE4" w:rsidRDefault="003F4CFF" w:rsidP="003F4CFF">
      <w:pPr>
        <w:ind w:firstLine="567"/>
        <w:jc w:val="both"/>
        <w:rPr>
          <w:rFonts w:ascii="Times New Roman" w:eastAsia="Calibri" w:hAnsi="Times New Roman" w:cs="Times New Roman"/>
          <w:sz w:val="28"/>
          <w:szCs w:val="28"/>
        </w:rPr>
        <w:sectPr w:rsidR="00A02DE4" w:rsidSect="00B64457">
          <w:pgSz w:w="11906" w:h="16838" w:code="9"/>
          <w:pgMar w:top="1134" w:right="567" w:bottom="1134" w:left="1418" w:header="709" w:footer="709" w:gutter="0"/>
          <w:pgNumType w:start="4"/>
          <w:cols w:space="720"/>
          <w:docGrid w:linePitch="272"/>
        </w:sectPr>
      </w:pPr>
      <w:r w:rsidRPr="00094562">
        <w:rPr>
          <w:rFonts w:ascii="Times New Roman" w:eastAsia="Calibri" w:hAnsi="Times New Roman" w:cs="Times New Roman"/>
          <w:sz w:val="28"/>
          <w:szCs w:val="28"/>
        </w:rPr>
        <w:t>Ежегодно доклад направляется в Министерство экономического развития Российской Федерации, Федеральную антимонопольную службу, Центральный банк Российской Федерации, а также автономной некоммерческой организации «Агентство стратегических инициатив по продвижению новых проектов».</w:t>
      </w:r>
    </w:p>
    <w:p w14:paraId="57A66565" w14:textId="77777777" w:rsidR="003F4CFF" w:rsidRPr="00046D27" w:rsidRDefault="003F4CFF" w:rsidP="003F4CFF">
      <w:pPr>
        <w:pStyle w:val="aa"/>
        <w:spacing w:after="0"/>
        <w:outlineLvl w:val="0"/>
        <w:rPr>
          <w:rFonts w:ascii="Times New Roman" w:hAnsi="Times New Roman" w:cs="Times New Roman"/>
          <w:sz w:val="28"/>
          <w:szCs w:val="28"/>
        </w:rPr>
      </w:pPr>
      <w:bookmarkStart w:id="2" w:name="_Toc31983961"/>
      <w:bookmarkStart w:id="3" w:name="_Toc32240301"/>
      <w:bookmarkStart w:id="4" w:name="_Toc32421886"/>
      <w:bookmarkStart w:id="5" w:name="_Toc34129165"/>
      <w:r w:rsidRPr="00AE5496">
        <w:rPr>
          <w:rFonts w:ascii="Times New Roman" w:hAnsi="Times New Roman"/>
          <w:b/>
          <w:color w:val="C00000"/>
          <w:sz w:val="28"/>
          <w:szCs w:val="28"/>
        </w:rPr>
        <w:lastRenderedPageBreak/>
        <w:t>Раздел 1.</w:t>
      </w:r>
      <w:r>
        <w:rPr>
          <w:rFonts w:ascii="Times New Roman" w:hAnsi="Times New Roman"/>
          <w:b/>
          <w:color w:val="C00000"/>
          <w:sz w:val="28"/>
          <w:szCs w:val="28"/>
        </w:rPr>
        <w:t> </w:t>
      </w:r>
      <w:r w:rsidRPr="00AE5496">
        <w:rPr>
          <w:rFonts w:ascii="Times New Roman" w:hAnsi="Times New Roman"/>
          <w:b/>
          <w:sz w:val="28"/>
          <w:szCs w:val="28"/>
        </w:rPr>
        <w:t>Сведения о внедрении стандарта развития конкуренции в субъектах Российской Федерации</w:t>
      </w:r>
      <w:bookmarkEnd w:id="2"/>
      <w:bookmarkEnd w:id="3"/>
      <w:bookmarkEnd w:id="4"/>
      <w:bookmarkEnd w:id="5"/>
    </w:p>
    <w:p w14:paraId="258CA85D" w14:textId="77777777" w:rsidR="003F4CFF" w:rsidRDefault="003F4CFF" w:rsidP="003F4CFF">
      <w:pPr>
        <w:rPr>
          <w:rFonts w:ascii="Times New Roman" w:hAnsi="Times New Roman" w:cs="Times New Roman"/>
          <w:sz w:val="28"/>
          <w:szCs w:val="28"/>
        </w:rPr>
      </w:pPr>
    </w:p>
    <w:p w14:paraId="2023B501" w14:textId="77777777" w:rsidR="003F4CFF" w:rsidRDefault="003F4CFF" w:rsidP="003F4CFF">
      <w:pPr>
        <w:pStyle w:val="ac"/>
        <w:numPr>
          <w:ilvl w:val="0"/>
          <w:numId w:val="0"/>
        </w:numPr>
        <w:ind w:firstLine="567"/>
        <w:jc w:val="both"/>
        <w:outlineLvl w:val="1"/>
        <w:rPr>
          <w:rFonts w:ascii="Times New Roman" w:hAnsi="Times New Roman"/>
          <w:b/>
        </w:rPr>
      </w:pPr>
      <w:bookmarkStart w:id="6" w:name="_Toc31983962"/>
      <w:bookmarkStart w:id="7" w:name="_Toc32240302"/>
      <w:bookmarkStart w:id="8" w:name="_Toc32421887"/>
      <w:bookmarkStart w:id="9" w:name="_Toc34129166"/>
      <w:r>
        <w:rPr>
          <w:rFonts w:ascii="Times New Roman" w:hAnsi="Times New Roman"/>
          <w:b/>
        </w:rPr>
        <w:t>1.1. </w:t>
      </w:r>
      <w:r w:rsidRPr="00F732D1">
        <w:rPr>
          <w:rFonts w:ascii="Times New Roman" w:hAnsi="Times New Roman"/>
          <w:b/>
        </w:rPr>
        <w:t>Решение высшего должностного лица субъекта Российской Федерации о внедрении стандарта развития конкуренции в субъектах Российск</w:t>
      </w:r>
      <w:r>
        <w:rPr>
          <w:rFonts w:ascii="Times New Roman" w:hAnsi="Times New Roman"/>
          <w:b/>
        </w:rPr>
        <w:t>ой Федерации</w:t>
      </w:r>
      <w:bookmarkEnd w:id="6"/>
      <w:bookmarkEnd w:id="7"/>
      <w:bookmarkEnd w:id="8"/>
      <w:bookmarkEnd w:id="9"/>
    </w:p>
    <w:p w14:paraId="14E3AA34" w14:textId="77777777" w:rsidR="003F4CFF" w:rsidRPr="00094562" w:rsidRDefault="003F4CFF" w:rsidP="003F4CFF">
      <w:pPr>
        <w:ind w:firstLine="567"/>
        <w:jc w:val="both"/>
        <w:rPr>
          <w:rFonts w:ascii="Times New Roman" w:eastAsia="Calibri" w:hAnsi="Times New Roman" w:cs="Times New Roman"/>
          <w:sz w:val="28"/>
          <w:szCs w:val="28"/>
        </w:rPr>
      </w:pPr>
      <w:r w:rsidRPr="00094562">
        <w:rPr>
          <w:rFonts w:ascii="Times New Roman" w:eastAsia="Calibri" w:hAnsi="Times New Roman" w:cs="Times New Roman"/>
          <w:sz w:val="28"/>
          <w:szCs w:val="28"/>
        </w:rPr>
        <w:t xml:space="preserve">Новая редакция Стандарта развития конкуренции в субъектах Российской Федерации утверждена распоряжением Правительства Российской Федерации от 17.04.2019 № 768-р «Об утверждении стандарта развития конкуренции в субъектах Российской Федерации (далее – Стандарт). </w:t>
      </w:r>
    </w:p>
    <w:p w14:paraId="7D054143" w14:textId="77777777" w:rsidR="003F4CFF" w:rsidRPr="00094562" w:rsidRDefault="003F4CFF" w:rsidP="003F4CFF">
      <w:pPr>
        <w:ind w:firstLine="567"/>
        <w:jc w:val="both"/>
        <w:rPr>
          <w:rFonts w:ascii="Times New Roman" w:eastAsia="Calibri" w:hAnsi="Times New Roman" w:cs="Times New Roman"/>
          <w:sz w:val="28"/>
          <w:szCs w:val="28"/>
        </w:rPr>
      </w:pPr>
      <w:r w:rsidRPr="00094562">
        <w:rPr>
          <w:rFonts w:ascii="Times New Roman" w:eastAsia="Calibri" w:hAnsi="Times New Roman" w:cs="Times New Roman"/>
          <w:sz w:val="28"/>
          <w:szCs w:val="28"/>
        </w:rPr>
        <w:t>Стандарт разработан в рамках реализации пункта 7 и подпункта «в» пункта 8 Указа Президента Российской Федерации от 21 декабря 2017 г. № 618 «Об основных направлениях государственной политики по развитию конкуренции».</w:t>
      </w:r>
    </w:p>
    <w:p w14:paraId="4DA5A645" w14:textId="77777777" w:rsidR="003F4CFF" w:rsidRDefault="003F4CFF" w:rsidP="003F4CFF">
      <w:pPr>
        <w:ind w:firstLine="567"/>
        <w:jc w:val="both"/>
        <w:rPr>
          <w:rFonts w:ascii="Times New Roman" w:hAnsi="Times New Roman" w:cs="Times New Roman"/>
          <w:sz w:val="28"/>
          <w:szCs w:val="28"/>
        </w:rPr>
      </w:pPr>
      <w:r w:rsidRPr="00094562">
        <w:rPr>
          <w:rFonts w:ascii="Times New Roman" w:eastAsia="Calibri" w:hAnsi="Times New Roman" w:cs="Times New Roman"/>
          <w:sz w:val="28"/>
          <w:szCs w:val="28"/>
        </w:rPr>
        <w:t xml:space="preserve">Во исполнение Стандарта принято постановление Губернатора Новосибирской области от 22.07.2019 № 184 «О внедрении стандарта развития конкуренции в Новосибирской области» </w:t>
      </w:r>
      <w:r w:rsidRPr="00645C46">
        <w:rPr>
          <w:rFonts w:ascii="Times New Roman" w:eastAsia="Calibri" w:hAnsi="Times New Roman" w:cs="Times New Roman"/>
          <w:sz w:val="28"/>
          <w:szCs w:val="28"/>
        </w:rPr>
        <w:t>(приложение 1)</w:t>
      </w:r>
      <w:r w:rsidRPr="001E6115">
        <w:rPr>
          <w:rFonts w:ascii="Times New Roman" w:hAnsi="Times New Roman" w:cs="Times New Roman"/>
          <w:sz w:val="28"/>
          <w:szCs w:val="28"/>
        </w:rPr>
        <w:t xml:space="preserve"> </w:t>
      </w:r>
      <w:hyperlink r:id="rId17" w:history="1">
        <w:r w:rsidRPr="001E6115">
          <w:rPr>
            <w:rStyle w:val="a3"/>
            <w:rFonts w:ascii="Times New Roman" w:hAnsi="Times New Roman" w:cs="Times New Roman"/>
            <w:sz w:val="28"/>
            <w:szCs w:val="28"/>
          </w:rPr>
          <w:t>http://econom.nso.ru/page/460</w:t>
        </w:r>
      </w:hyperlink>
      <w:r>
        <w:rPr>
          <w:rFonts w:ascii="Times New Roman" w:hAnsi="Times New Roman" w:cs="Times New Roman"/>
          <w:sz w:val="28"/>
          <w:szCs w:val="28"/>
        </w:rPr>
        <w:t>.</w:t>
      </w:r>
    </w:p>
    <w:p w14:paraId="66E87384" w14:textId="77777777" w:rsidR="003F4CFF" w:rsidRPr="001E6115" w:rsidRDefault="003F4CFF" w:rsidP="003F4CFF">
      <w:pPr>
        <w:autoSpaceDE w:val="0"/>
        <w:autoSpaceDN w:val="0"/>
        <w:adjustRightInd w:val="0"/>
        <w:ind w:firstLine="567"/>
        <w:jc w:val="both"/>
        <w:rPr>
          <w:rFonts w:ascii="Times New Roman" w:hAnsi="Times New Roman" w:cs="Times New Roman"/>
          <w:sz w:val="28"/>
          <w:szCs w:val="28"/>
        </w:rPr>
      </w:pPr>
    </w:p>
    <w:p w14:paraId="7EA46F9B" w14:textId="77777777" w:rsidR="003F4CFF" w:rsidRDefault="003F4CFF" w:rsidP="003F4CFF">
      <w:pPr>
        <w:pStyle w:val="ac"/>
        <w:ind w:firstLine="567"/>
        <w:jc w:val="both"/>
        <w:outlineLvl w:val="1"/>
        <w:rPr>
          <w:rFonts w:ascii="Times New Roman" w:hAnsi="Times New Roman"/>
          <w:b/>
        </w:rPr>
      </w:pPr>
      <w:bookmarkStart w:id="10" w:name="_Toc31983963"/>
      <w:bookmarkStart w:id="11" w:name="_Toc32240303"/>
      <w:bookmarkStart w:id="12" w:name="_Toc32421888"/>
      <w:bookmarkStart w:id="13" w:name="_Toc34129167"/>
      <w:r w:rsidRPr="00F732D1">
        <w:rPr>
          <w:rFonts w:ascii="Times New Roman" w:hAnsi="Times New Roman"/>
          <w:b/>
        </w:rPr>
        <w:t>1.2. Информация о реализации проектного подхода при внедрении Стандарта</w:t>
      </w:r>
      <w:bookmarkEnd w:id="10"/>
      <w:bookmarkEnd w:id="11"/>
      <w:bookmarkEnd w:id="12"/>
      <w:bookmarkEnd w:id="13"/>
    </w:p>
    <w:p w14:paraId="055A99A7" w14:textId="77777777" w:rsidR="003F4CFF" w:rsidRPr="00094562" w:rsidRDefault="003F4CFF" w:rsidP="003F4CFF">
      <w:pPr>
        <w:ind w:firstLine="567"/>
        <w:jc w:val="both"/>
        <w:rPr>
          <w:rFonts w:ascii="Times New Roman" w:eastAsia="Calibri" w:hAnsi="Times New Roman" w:cs="Times New Roman"/>
          <w:sz w:val="28"/>
          <w:szCs w:val="28"/>
        </w:rPr>
      </w:pPr>
      <w:r w:rsidRPr="00094562">
        <w:rPr>
          <w:rFonts w:ascii="Times New Roman" w:eastAsia="Calibri" w:hAnsi="Times New Roman" w:cs="Times New Roman"/>
          <w:sz w:val="28"/>
          <w:szCs w:val="28"/>
        </w:rPr>
        <w:t xml:space="preserve">В соответствии с </w:t>
      </w:r>
      <w:hyperlink r:id="rId18" w:history="1">
        <w:r w:rsidRPr="00094562">
          <w:rPr>
            <w:rFonts w:ascii="Times New Roman" w:eastAsia="Calibri" w:hAnsi="Times New Roman" w:cs="Times New Roman"/>
            <w:sz w:val="28"/>
            <w:szCs w:val="28"/>
          </w:rPr>
          <w:t>постановлением</w:t>
        </w:r>
      </w:hyperlink>
      <w:r w:rsidRPr="00094562">
        <w:rPr>
          <w:rFonts w:ascii="Times New Roman" w:eastAsia="Calibri" w:hAnsi="Times New Roman" w:cs="Times New Roman"/>
          <w:sz w:val="28"/>
          <w:szCs w:val="28"/>
        </w:rPr>
        <w:t xml:space="preserve"> Правительства Российской Федерации от 31.10.2018 № 1288 «Об организации проектной деятельности в Правительстве Российской Федерации», в целях повышения эффективности и результативности деятельности областных исполнительных органов государственной власти Новосибирской области, государственных органов Новосибирской области принято постановление Правительства Новосибирской области от 23.10.2017 № 392-п «О проектной деятельности областных исполнительных органов государственной власти Новосибирской области, государственных органов Новосибирской области». Руководствуясь положениями данного постановления, министерство экономического развития</w:t>
      </w:r>
      <w:r w:rsidR="0072058D">
        <w:rPr>
          <w:rFonts w:ascii="Times New Roman" w:eastAsia="Calibri" w:hAnsi="Times New Roman" w:cs="Times New Roman"/>
          <w:sz w:val="28"/>
          <w:szCs w:val="28"/>
        </w:rPr>
        <w:t xml:space="preserve"> Новосибирской области</w:t>
      </w:r>
      <w:r w:rsidRPr="00094562">
        <w:rPr>
          <w:rFonts w:ascii="Times New Roman" w:eastAsia="Calibri" w:hAnsi="Times New Roman" w:cs="Times New Roman"/>
          <w:sz w:val="28"/>
          <w:szCs w:val="28"/>
        </w:rPr>
        <w:t xml:space="preserve"> вышло на стадию жизненного цикла проекта: «Инициирование». В настоящее время осуществляется подготовка информации для принятия решения о целесообразности реализации проекта «Внедрение на территории Новосибирской области Стандарта развития конкуренции в субъектах Российской Федерации» и начале его планирования. После согласования с </w:t>
      </w:r>
      <w:r w:rsidR="00E50ED4" w:rsidRPr="00094562">
        <w:rPr>
          <w:rFonts w:ascii="Times New Roman" w:eastAsia="Calibri" w:hAnsi="Times New Roman" w:cs="Times New Roman"/>
          <w:sz w:val="28"/>
          <w:szCs w:val="28"/>
        </w:rPr>
        <w:t>заинтересованными</w:t>
      </w:r>
      <w:r w:rsidRPr="00094562">
        <w:rPr>
          <w:rFonts w:ascii="Times New Roman" w:eastAsia="Calibri" w:hAnsi="Times New Roman" w:cs="Times New Roman"/>
          <w:sz w:val="28"/>
          <w:szCs w:val="28"/>
        </w:rPr>
        <w:t xml:space="preserve"> органами власти и организациями заявка на проект будет подана на рассмотрение в Региональный Проектный офис.</w:t>
      </w:r>
    </w:p>
    <w:p w14:paraId="7FC55762" w14:textId="77777777" w:rsidR="003F4CFF" w:rsidRDefault="003F4CFF" w:rsidP="003F4CFF">
      <w:pPr>
        <w:ind w:firstLine="567"/>
        <w:jc w:val="both"/>
        <w:rPr>
          <w:rFonts w:ascii="Times New Roman" w:eastAsia="Calibri" w:hAnsi="Times New Roman" w:cs="Times New Roman"/>
          <w:sz w:val="28"/>
          <w:szCs w:val="28"/>
        </w:rPr>
      </w:pPr>
      <w:r w:rsidRPr="00094562">
        <w:rPr>
          <w:rFonts w:ascii="Times New Roman" w:eastAsia="Calibri" w:hAnsi="Times New Roman" w:cs="Times New Roman"/>
          <w:sz w:val="28"/>
          <w:szCs w:val="28"/>
        </w:rPr>
        <w:t xml:space="preserve">Для качественной организации работы по данному направлению целесообразно проведение </w:t>
      </w:r>
      <w:r w:rsidR="0072058D">
        <w:rPr>
          <w:rFonts w:ascii="Times New Roman" w:eastAsia="Calibri" w:hAnsi="Times New Roman" w:cs="Times New Roman"/>
          <w:sz w:val="28"/>
          <w:szCs w:val="28"/>
        </w:rPr>
        <w:t xml:space="preserve">в 2020 году </w:t>
      </w:r>
      <w:r w:rsidRPr="00094562">
        <w:rPr>
          <w:rFonts w:ascii="Times New Roman" w:eastAsia="Calibri" w:hAnsi="Times New Roman" w:cs="Times New Roman"/>
          <w:sz w:val="28"/>
          <w:szCs w:val="28"/>
        </w:rPr>
        <w:t>семинара для субъектов Российской Федерации.</w:t>
      </w:r>
    </w:p>
    <w:p w14:paraId="50B641E3" w14:textId="77777777" w:rsidR="006F4279" w:rsidRPr="00094562" w:rsidRDefault="006F4279" w:rsidP="003F4CFF">
      <w:pPr>
        <w:ind w:firstLine="567"/>
        <w:jc w:val="both"/>
        <w:rPr>
          <w:rFonts w:ascii="Times New Roman" w:eastAsia="Calibri" w:hAnsi="Times New Roman" w:cs="Times New Roman"/>
          <w:sz w:val="28"/>
          <w:szCs w:val="28"/>
        </w:rPr>
      </w:pPr>
    </w:p>
    <w:p w14:paraId="7B0A81E5" w14:textId="77777777" w:rsidR="003F4CFF" w:rsidRPr="00F732D1" w:rsidRDefault="003F4CFF" w:rsidP="003F4CFF">
      <w:pPr>
        <w:pStyle w:val="ac"/>
        <w:ind w:firstLine="567"/>
        <w:jc w:val="both"/>
        <w:outlineLvl w:val="1"/>
        <w:rPr>
          <w:rFonts w:ascii="Times New Roman" w:hAnsi="Times New Roman"/>
          <w:b/>
        </w:rPr>
      </w:pPr>
      <w:bookmarkStart w:id="14" w:name="_Toc31983964"/>
      <w:bookmarkStart w:id="15" w:name="_Toc32240304"/>
      <w:bookmarkStart w:id="16" w:name="_Toc32421889"/>
      <w:bookmarkStart w:id="17" w:name="_Toc34129168"/>
      <w:r w:rsidRPr="00F732D1">
        <w:rPr>
          <w:rFonts w:ascii="Times New Roman" w:hAnsi="Times New Roman"/>
          <w:b/>
        </w:rPr>
        <w:t>1.3. Сведения об источниках финансовых средств, используемых</w:t>
      </w:r>
      <w:r>
        <w:rPr>
          <w:rFonts w:ascii="Times New Roman" w:hAnsi="Times New Roman"/>
          <w:b/>
        </w:rPr>
        <w:t xml:space="preserve"> для достижения целей Стандарта</w:t>
      </w:r>
      <w:bookmarkEnd w:id="14"/>
      <w:bookmarkEnd w:id="15"/>
      <w:bookmarkEnd w:id="16"/>
      <w:bookmarkEnd w:id="17"/>
    </w:p>
    <w:p w14:paraId="5D2625A0" w14:textId="38A8574C" w:rsidR="00DD6A87" w:rsidRDefault="003F4CFF" w:rsidP="00DD6A87">
      <w:pPr>
        <w:ind w:firstLine="567"/>
        <w:jc w:val="both"/>
        <w:rPr>
          <w:rFonts w:ascii="Times New Roman" w:eastAsia="Calibri" w:hAnsi="Times New Roman" w:cs="Times New Roman"/>
          <w:sz w:val="28"/>
          <w:szCs w:val="28"/>
        </w:rPr>
      </w:pPr>
      <w:r w:rsidRPr="00094562">
        <w:rPr>
          <w:rFonts w:ascii="Times New Roman" w:eastAsia="Calibri" w:hAnsi="Times New Roman" w:cs="Times New Roman"/>
          <w:sz w:val="28"/>
          <w:szCs w:val="28"/>
        </w:rPr>
        <w:lastRenderedPageBreak/>
        <w:t>Основными источниками финансовых средств, используемых для достижения целей Стандарта, являются государственные и муниципальные программы, направленные на развитие субъектов малого и среднего предпринимательства, развитие промышленности и повышение ее конкурентоспособности, стимулирование инвестиционной и инновационной активности в Новосибирской области.</w:t>
      </w:r>
    </w:p>
    <w:p w14:paraId="1B7E59A6" w14:textId="77777777" w:rsidR="003F4CFF" w:rsidRPr="00DD6A87" w:rsidRDefault="003F4CFF" w:rsidP="00DD6A87">
      <w:pPr>
        <w:ind w:firstLine="567"/>
        <w:jc w:val="both"/>
        <w:rPr>
          <w:rFonts w:ascii="Times New Roman" w:eastAsia="Calibri" w:hAnsi="Times New Roman" w:cs="Times New Roman"/>
          <w:sz w:val="28"/>
          <w:szCs w:val="28"/>
        </w:rPr>
      </w:pPr>
      <w:r w:rsidRPr="00094562">
        <w:rPr>
          <w:rFonts w:ascii="Times New Roman" w:eastAsia="Calibri" w:hAnsi="Times New Roman" w:cs="Times New Roman"/>
          <w:sz w:val="28"/>
          <w:szCs w:val="28"/>
        </w:rPr>
        <w:t xml:space="preserve">Содействие развитию конкуренции в Новосибирской области также осуществляется в рамках </w:t>
      </w:r>
      <w:hyperlink r:id="rId19" w:history="1">
        <w:r w:rsidRPr="00094562">
          <w:rPr>
            <w:rFonts w:ascii="Times New Roman" w:eastAsia="Calibri" w:hAnsi="Times New Roman" w:cs="Times New Roman"/>
            <w:sz w:val="28"/>
            <w:szCs w:val="28"/>
          </w:rPr>
          <w:t>Закона</w:t>
        </w:r>
      </w:hyperlink>
      <w:r w:rsidRPr="00094562">
        <w:rPr>
          <w:rFonts w:ascii="Times New Roman" w:eastAsia="Calibri" w:hAnsi="Times New Roman" w:cs="Times New Roman"/>
          <w:sz w:val="28"/>
          <w:szCs w:val="28"/>
        </w:rPr>
        <w:t xml:space="preserve"> Новосибирской области </w:t>
      </w:r>
      <w:r w:rsidR="00504DB4">
        <w:rPr>
          <w:rFonts w:ascii="Times New Roman" w:eastAsiaTheme="minorHAnsi" w:hAnsi="Times New Roman" w:cs="Times New Roman"/>
          <w:sz w:val="28"/>
          <w:szCs w:val="28"/>
        </w:rPr>
        <w:t>от 16.10.2003 № 142-ОЗ</w:t>
      </w:r>
      <w:r w:rsidR="00504DB4">
        <w:rPr>
          <w:rFonts w:ascii="Times New Roman" w:eastAsia="Calibri" w:hAnsi="Times New Roman" w:cs="Times New Roman"/>
          <w:sz w:val="28"/>
          <w:szCs w:val="28"/>
        </w:rPr>
        <w:t xml:space="preserve"> </w:t>
      </w:r>
      <w:r w:rsidRPr="00094562">
        <w:rPr>
          <w:rFonts w:ascii="Times New Roman" w:eastAsia="Calibri" w:hAnsi="Times New Roman" w:cs="Times New Roman"/>
          <w:sz w:val="28"/>
          <w:szCs w:val="28"/>
        </w:rPr>
        <w:t>«О налогах и особенностях налогообложения отдельных категорий налогоплатель</w:t>
      </w:r>
      <w:r w:rsidR="005979BD">
        <w:rPr>
          <w:rFonts w:ascii="Times New Roman" w:eastAsia="Calibri" w:hAnsi="Times New Roman" w:cs="Times New Roman"/>
          <w:sz w:val="28"/>
          <w:szCs w:val="28"/>
        </w:rPr>
        <w:t xml:space="preserve">щиков в Новосибирской области», </w:t>
      </w:r>
      <w:r w:rsidRPr="00094562">
        <w:rPr>
          <w:rFonts w:ascii="Times New Roman" w:eastAsia="Calibri" w:hAnsi="Times New Roman" w:cs="Times New Roman"/>
          <w:sz w:val="28"/>
          <w:szCs w:val="28"/>
        </w:rPr>
        <w:t xml:space="preserve">реализации региональной составляющей национального проекта «Малое и среднее предпринимательство и поддержка индивидуальной предпринимательской инициативы» в соответствии с </w:t>
      </w:r>
      <w:hyperlink r:id="rId20" w:history="1">
        <w:r w:rsidRPr="00094562">
          <w:rPr>
            <w:rFonts w:ascii="Times New Roman" w:eastAsia="Calibri" w:hAnsi="Times New Roman" w:cs="Times New Roman"/>
            <w:sz w:val="28"/>
            <w:szCs w:val="28"/>
          </w:rPr>
          <w:t>Указом</w:t>
        </w:r>
      </w:hyperlink>
      <w:r w:rsidRPr="00094562">
        <w:rPr>
          <w:rFonts w:ascii="Times New Roman" w:eastAsia="Calibri" w:hAnsi="Times New Roman" w:cs="Times New Roman"/>
          <w:sz w:val="28"/>
          <w:szCs w:val="28"/>
        </w:rPr>
        <w:t xml:space="preserve"> Президента РФ от 07.05.2018 № 204 «О национальных целях и стратегических задачах развития Российской Фе</w:t>
      </w:r>
      <w:r w:rsidR="005979BD">
        <w:rPr>
          <w:rFonts w:ascii="Times New Roman" w:eastAsia="Calibri" w:hAnsi="Times New Roman" w:cs="Times New Roman"/>
          <w:sz w:val="28"/>
          <w:szCs w:val="28"/>
        </w:rPr>
        <w:t>дерации на период до 2024 года»,</w:t>
      </w:r>
      <w:r w:rsidRPr="00094562">
        <w:rPr>
          <w:rFonts w:ascii="Times New Roman" w:eastAsia="Calibri" w:hAnsi="Times New Roman" w:cs="Times New Roman"/>
          <w:sz w:val="28"/>
          <w:szCs w:val="28"/>
        </w:rPr>
        <w:t xml:space="preserve"> программы реиндустриализации </w:t>
      </w:r>
      <w:r w:rsidR="005979BD">
        <w:rPr>
          <w:rFonts w:ascii="Times New Roman" w:eastAsia="Calibri" w:hAnsi="Times New Roman" w:cs="Times New Roman"/>
          <w:sz w:val="28"/>
          <w:szCs w:val="28"/>
        </w:rPr>
        <w:t>экономики Новосибирской области</w:t>
      </w:r>
      <w:r w:rsidR="00B35B2A">
        <w:rPr>
          <w:rFonts w:ascii="Times New Roman" w:eastAsia="Calibri" w:hAnsi="Times New Roman" w:cs="Times New Roman"/>
          <w:sz w:val="28"/>
          <w:szCs w:val="28"/>
        </w:rPr>
        <w:t xml:space="preserve">, утвержденной </w:t>
      </w:r>
      <w:r w:rsidR="00B35B2A">
        <w:rPr>
          <w:rFonts w:ascii="Times New Roman" w:eastAsiaTheme="minorHAnsi" w:hAnsi="Times New Roman" w:cs="Times New Roman"/>
          <w:sz w:val="28"/>
          <w:szCs w:val="28"/>
        </w:rPr>
        <w:t>постановлением Правите</w:t>
      </w:r>
      <w:r w:rsidR="00DD6A87">
        <w:rPr>
          <w:rFonts w:ascii="Times New Roman" w:eastAsiaTheme="minorHAnsi" w:hAnsi="Times New Roman" w:cs="Times New Roman"/>
          <w:sz w:val="28"/>
          <w:szCs w:val="28"/>
        </w:rPr>
        <w:t>льства Новосибирской области от 01.04.2016 № </w:t>
      </w:r>
      <w:r w:rsidR="00B35B2A">
        <w:rPr>
          <w:rFonts w:ascii="Times New Roman" w:eastAsiaTheme="minorHAnsi" w:hAnsi="Times New Roman" w:cs="Times New Roman"/>
          <w:sz w:val="28"/>
          <w:szCs w:val="28"/>
        </w:rPr>
        <w:t>89-п «Об утверждении программы реиндустриализации экономики Новосибирской области до 2025 года»</w:t>
      </w:r>
      <w:r w:rsidR="005979BD">
        <w:rPr>
          <w:rFonts w:ascii="Times New Roman" w:eastAsia="Calibri" w:hAnsi="Times New Roman" w:cs="Times New Roman"/>
          <w:sz w:val="28"/>
          <w:szCs w:val="28"/>
        </w:rPr>
        <w:t>,</w:t>
      </w:r>
      <w:r w:rsidR="00B35B2A">
        <w:rPr>
          <w:rFonts w:ascii="Times New Roman" w:eastAsia="Calibri" w:hAnsi="Times New Roman" w:cs="Times New Roman"/>
          <w:sz w:val="28"/>
          <w:szCs w:val="28"/>
        </w:rPr>
        <w:t xml:space="preserve"> деятельности Г</w:t>
      </w:r>
      <w:r w:rsidRPr="00094562">
        <w:rPr>
          <w:rFonts w:ascii="Times New Roman" w:eastAsia="Calibri" w:hAnsi="Times New Roman" w:cs="Times New Roman"/>
          <w:sz w:val="28"/>
          <w:szCs w:val="28"/>
        </w:rPr>
        <w:t>арантийного фонда</w:t>
      </w:r>
      <w:r w:rsidR="00B35B2A">
        <w:rPr>
          <w:rFonts w:ascii="Times New Roman" w:eastAsia="Calibri" w:hAnsi="Times New Roman" w:cs="Times New Roman"/>
          <w:sz w:val="28"/>
          <w:szCs w:val="28"/>
        </w:rPr>
        <w:t xml:space="preserve"> Новосибирской области</w:t>
      </w:r>
      <w:r w:rsidRPr="00094562">
        <w:rPr>
          <w:rFonts w:ascii="Times New Roman" w:eastAsia="Calibri" w:hAnsi="Times New Roman" w:cs="Times New Roman"/>
          <w:sz w:val="28"/>
          <w:szCs w:val="28"/>
        </w:rPr>
        <w:t xml:space="preserve">, </w:t>
      </w:r>
      <w:r w:rsidR="00A23381">
        <w:rPr>
          <w:rFonts w:ascii="Times New Roman" w:eastAsia="Calibri" w:hAnsi="Times New Roman" w:cs="Times New Roman"/>
          <w:bCs/>
          <w:sz w:val="28"/>
          <w:szCs w:val="28"/>
        </w:rPr>
        <w:t>МКК Ф</w:t>
      </w:r>
      <w:r w:rsidR="00A23381" w:rsidRPr="00A23381">
        <w:rPr>
          <w:rFonts w:ascii="Times New Roman" w:eastAsia="Calibri" w:hAnsi="Times New Roman" w:cs="Times New Roman"/>
          <w:bCs/>
          <w:sz w:val="28"/>
          <w:szCs w:val="28"/>
        </w:rPr>
        <w:t>онд</w:t>
      </w:r>
      <w:r w:rsidR="00A23381">
        <w:rPr>
          <w:rFonts w:ascii="Times New Roman" w:eastAsia="Calibri" w:hAnsi="Times New Roman" w:cs="Times New Roman"/>
          <w:bCs/>
          <w:sz w:val="28"/>
          <w:szCs w:val="28"/>
        </w:rPr>
        <w:t>а микрофинансирования НСО</w:t>
      </w:r>
      <w:r w:rsidR="00A23381">
        <w:rPr>
          <w:rFonts w:ascii="Times New Roman" w:eastAsia="Calibri" w:hAnsi="Times New Roman" w:cs="Times New Roman"/>
          <w:sz w:val="28"/>
          <w:szCs w:val="28"/>
        </w:rPr>
        <w:t>, Центра поддержки экспорта, И</w:t>
      </w:r>
      <w:r w:rsidRPr="00094562">
        <w:rPr>
          <w:rFonts w:ascii="Times New Roman" w:eastAsia="Calibri" w:hAnsi="Times New Roman" w:cs="Times New Roman"/>
          <w:sz w:val="28"/>
          <w:szCs w:val="28"/>
        </w:rPr>
        <w:t>нжинирингового центра, центров прототипирования и других объектов инфраструктуры поддержки некоммерческих организаций Новосибирской области.</w:t>
      </w:r>
    </w:p>
    <w:p w14:paraId="5941E5B5" w14:textId="151D44DF" w:rsidR="003F4CFF" w:rsidRPr="00094562" w:rsidRDefault="009365CD" w:rsidP="003F4CFF">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2019 году увеличилось финансирование п</w:t>
      </w:r>
      <w:r w:rsidR="003F4CFF" w:rsidRPr="00094562">
        <w:rPr>
          <w:rFonts w:ascii="Times New Roman" w:eastAsia="Calibri" w:hAnsi="Times New Roman" w:cs="Times New Roman"/>
          <w:sz w:val="28"/>
          <w:szCs w:val="28"/>
        </w:rPr>
        <w:t xml:space="preserve">о </w:t>
      </w:r>
      <w:r w:rsidR="00053A40">
        <w:rPr>
          <w:rFonts w:ascii="Times New Roman" w:eastAsia="Calibri" w:hAnsi="Times New Roman" w:cs="Times New Roman"/>
          <w:sz w:val="28"/>
          <w:szCs w:val="28"/>
        </w:rPr>
        <w:t>12 </w:t>
      </w:r>
      <w:r w:rsidR="003F4CFF" w:rsidRPr="00094562">
        <w:rPr>
          <w:rFonts w:ascii="Times New Roman" w:eastAsia="Calibri" w:hAnsi="Times New Roman" w:cs="Times New Roman"/>
          <w:sz w:val="28"/>
          <w:szCs w:val="28"/>
        </w:rPr>
        <w:t>государственным программам, реализация которых оказывает влияние на состояние конкуренции на территории Новосибирской области,</w:t>
      </w:r>
      <w:r>
        <w:rPr>
          <w:rFonts w:ascii="Times New Roman" w:eastAsia="Calibri" w:hAnsi="Times New Roman" w:cs="Times New Roman"/>
          <w:sz w:val="28"/>
          <w:szCs w:val="28"/>
        </w:rPr>
        <w:t xml:space="preserve"> </w:t>
      </w:r>
      <w:r w:rsidR="003F4CFF" w:rsidRPr="00094562">
        <w:rPr>
          <w:rFonts w:ascii="Times New Roman" w:eastAsia="Calibri" w:hAnsi="Times New Roman" w:cs="Times New Roman"/>
          <w:sz w:val="28"/>
          <w:szCs w:val="28"/>
        </w:rPr>
        <w:t>(таблица 1).</w:t>
      </w:r>
    </w:p>
    <w:p w14:paraId="501637A1" w14:textId="77777777" w:rsidR="003F4CFF" w:rsidRDefault="003F4CFF" w:rsidP="003F4CFF">
      <w:pPr>
        <w:jc w:val="both"/>
        <w:rPr>
          <w:rFonts w:ascii="Times New Roman" w:hAnsi="Times New Roman" w:cs="Times New Roman"/>
          <w:sz w:val="28"/>
          <w:szCs w:val="28"/>
        </w:rPr>
      </w:pPr>
    </w:p>
    <w:p w14:paraId="7F610462" w14:textId="77777777" w:rsidR="003F4CFF" w:rsidRDefault="003F4CFF" w:rsidP="003F4CFF">
      <w:pPr>
        <w:jc w:val="both"/>
        <w:rPr>
          <w:rFonts w:ascii="Times New Roman" w:hAnsi="Times New Roman" w:cs="Times New Roman"/>
          <w:sz w:val="28"/>
          <w:szCs w:val="28"/>
        </w:rPr>
      </w:pPr>
      <w:r w:rsidRPr="005B076E">
        <w:rPr>
          <w:rFonts w:ascii="Times New Roman" w:eastAsia="Times New Roman" w:hAnsi="Times New Roman" w:cs="Times New Roman"/>
          <w:sz w:val="28"/>
          <w:szCs w:val="28"/>
        </w:rPr>
        <w:t>Таблица</w:t>
      </w:r>
      <w:r>
        <w:rPr>
          <w:rFonts w:ascii="Times New Roman" w:eastAsia="Times New Roman" w:hAnsi="Times New Roman" w:cs="Times New Roman"/>
          <w:sz w:val="28"/>
          <w:szCs w:val="28"/>
        </w:rPr>
        <w:t> </w:t>
      </w:r>
      <w:r w:rsidRPr="005B076E">
        <w:rPr>
          <w:rFonts w:ascii="Times New Roman" w:eastAsia="Times New Roman" w:hAnsi="Times New Roman" w:cs="Times New Roman"/>
          <w:sz w:val="28"/>
          <w:szCs w:val="28"/>
        </w:rPr>
        <w:t>1</w:t>
      </w:r>
      <w:r>
        <w:rPr>
          <w:rFonts w:ascii="Times New Roman" w:eastAsia="Times New Roman" w:hAnsi="Times New Roman" w:cs="Times New Roman"/>
          <w:sz w:val="28"/>
          <w:szCs w:val="28"/>
        </w:rPr>
        <w:t> </w:t>
      </w:r>
      <w:r w:rsidRPr="005B076E">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5B076E">
        <w:rPr>
          <w:rFonts w:ascii="Times New Roman" w:hAnsi="Times New Roman" w:cs="Times New Roman"/>
          <w:sz w:val="28"/>
          <w:szCs w:val="28"/>
        </w:rPr>
        <w:t xml:space="preserve">Финансирование по государственным программам </w:t>
      </w:r>
      <w:r w:rsidR="00584796">
        <w:rPr>
          <w:rFonts w:ascii="Times New Roman" w:hAnsi="Times New Roman" w:cs="Times New Roman"/>
          <w:sz w:val="28"/>
          <w:szCs w:val="28"/>
        </w:rPr>
        <w:t>Новосибирской области, тыс. рублей</w:t>
      </w:r>
    </w:p>
    <w:tbl>
      <w:tblPr>
        <w:tblW w:w="5000" w:type="pct"/>
        <w:tblLook w:val="04A0" w:firstRow="1" w:lastRow="0" w:firstColumn="1" w:lastColumn="0" w:noHBand="0" w:noVBand="1"/>
      </w:tblPr>
      <w:tblGrid>
        <w:gridCol w:w="540"/>
        <w:gridCol w:w="4723"/>
        <w:gridCol w:w="1476"/>
        <w:gridCol w:w="1476"/>
        <w:gridCol w:w="1696"/>
      </w:tblGrid>
      <w:tr w:rsidR="003F4CFF" w:rsidRPr="009660AD" w14:paraId="0E4E41D3" w14:textId="77777777" w:rsidTr="001130F2">
        <w:trPr>
          <w:trHeight w:val="20"/>
          <w:tblHeader/>
        </w:trPr>
        <w:tc>
          <w:tcPr>
            <w:tcW w:w="357" w:type="pct"/>
            <w:tcBorders>
              <w:top w:val="single" w:sz="4" w:space="0" w:color="auto"/>
              <w:left w:val="single" w:sz="4" w:space="0" w:color="auto"/>
              <w:bottom w:val="single" w:sz="4" w:space="0" w:color="auto"/>
              <w:right w:val="single" w:sz="4" w:space="0" w:color="auto"/>
            </w:tcBorders>
          </w:tcPr>
          <w:p w14:paraId="47F22F31" w14:textId="77777777" w:rsidR="003F4CFF"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10953ED" w14:textId="77777777" w:rsidR="003F4CFF" w:rsidRPr="009660AD"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1573" w:type="pct"/>
            <w:tcBorders>
              <w:top w:val="single" w:sz="4" w:space="0" w:color="auto"/>
              <w:left w:val="single" w:sz="4" w:space="0" w:color="auto"/>
              <w:bottom w:val="single" w:sz="4" w:space="0" w:color="auto"/>
              <w:right w:val="single" w:sz="4" w:space="0" w:color="auto"/>
            </w:tcBorders>
            <w:shd w:val="clear" w:color="auto" w:fill="auto"/>
            <w:noWrap/>
            <w:hideMark/>
          </w:tcPr>
          <w:p w14:paraId="4DE57EDE"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 xml:space="preserve">Наименование </w:t>
            </w:r>
            <w:r>
              <w:rPr>
                <w:rFonts w:ascii="Times New Roman" w:eastAsia="Times New Roman" w:hAnsi="Times New Roman" w:cs="Times New Roman"/>
                <w:sz w:val="24"/>
                <w:szCs w:val="24"/>
              </w:rPr>
              <w:t xml:space="preserve">государственной </w:t>
            </w:r>
            <w:r w:rsidRPr="009660AD">
              <w:rPr>
                <w:rFonts w:ascii="Times New Roman" w:eastAsia="Times New Roman" w:hAnsi="Times New Roman" w:cs="Times New Roman"/>
                <w:sz w:val="24"/>
                <w:szCs w:val="24"/>
              </w:rPr>
              <w:t>программы</w:t>
            </w:r>
          </w:p>
        </w:tc>
        <w:tc>
          <w:tcPr>
            <w:tcW w:w="824" w:type="pct"/>
            <w:tcBorders>
              <w:top w:val="single" w:sz="4" w:space="0" w:color="auto"/>
              <w:left w:val="single" w:sz="4" w:space="0" w:color="auto"/>
              <w:bottom w:val="single" w:sz="4" w:space="0" w:color="auto"/>
              <w:right w:val="single" w:sz="4" w:space="0" w:color="auto"/>
            </w:tcBorders>
            <w:shd w:val="clear" w:color="auto" w:fill="auto"/>
            <w:noWrap/>
            <w:hideMark/>
          </w:tcPr>
          <w:p w14:paraId="7840E755"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2018</w:t>
            </w:r>
          </w:p>
        </w:tc>
        <w:tc>
          <w:tcPr>
            <w:tcW w:w="1049" w:type="pct"/>
            <w:tcBorders>
              <w:top w:val="single" w:sz="4" w:space="0" w:color="auto"/>
              <w:left w:val="single" w:sz="4" w:space="0" w:color="auto"/>
              <w:bottom w:val="single" w:sz="4" w:space="0" w:color="auto"/>
              <w:right w:val="single" w:sz="4" w:space="0" w:color="auto"/>
            </w:tcBorders>
            <w:shd w:val="clear" w:color="auto" w:fill="auto"/>
            <w:noWrap/>
            <w:hideMark/>
          </w:tcPr>
          <w:p w14:paraId="6CF79C2A"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2019</w:t>
            </w:r>
          </w:p>
        </w:tc>
        <w:tc>
          <w:tcPr>
            <w:tcW w:w="1198" w:type="pct"/>
            <w:tcBorders>
              <w:top w:val="single" w:sz="4" w:space="0" w:color="auto"/>
              <w:left w:val="single" w:sz="4" w:space="0" w:color="auto"/>
              <w:bottom w:val="single" w:sz="4" w:space="0" w:color="auto"/>
              <w:right w:val="single" w:sz="4" w:space="0" w:color="auto"/>
            </w:tcBorders>
            <w:shd w:val="clear" w:color="auto" w:fill="auto"/>
            <w:noWrap/>
          </w:tcPr>
          <w:p w14:paraId="722EF3DC" w14:textId="77777777" w:rsidR="003F4CFF" w:rsidRPr="009660AD" w:rsidRDefault="003F4CFF" w:rsidP="003F4CF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Темп роста</w:t>
            </w:r>
          </w:p>
        </w:tc>
      </w:tr>
      <w:tr w:rsidR="003F4CFF" w:rsidRPr="009660AD" w14:paraId="0E4B1B3F" w14:textId="77777777" w:rsidTr="001130F2">
        <w:trPr>
          <w:trHeight w:val="20"/>
        </w:trPr>
        <w:tc>
          <w:tcPr>
            <w:tcW w:w="357" w:type="pct"/>
            <w:tcBorders>
              <w:top w:val="single" w:sz="4" w:space="0" w:color="auto"/>
              <w:left w:val="single" w:sz="4" w:space="0" w:color="auto"/>
              <w:bottom w:val="single" w:sz="4" w:space="0" w:color="auto"/>
              <w:right w:val="single" w:sz="4" w:space="0" w:color="auto"/>
            </w:tcBorders>
          </w:tcPr>
          <w:p w14:paraId="6B3FFBB7" w14:textId="77777777" w:rsidR="003F4CFF" w:rsidRPr="009660AD"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23381">
              <w:rPr>
                <w:rFonts w:ascii="Times New Roman" w:eastAsia="Times New Roman" w:hAnsi="Times New Roman" w:cs="Times New Roman"/>
                <w:sz w:val="24"/>
                <w:szCs w:val="24"/>
              </w:rPr>
              <w:t>.</w:t>
            </w:r>
          </w:p>
        </w:tc>
        <w:tc>
          <w:tcPr>
            <w:tcW w:w="1573" w:type="pct"/>
            <w:tcBorders>
              <w:top w:val="single" w:sz="4" w:space="0" w:color="auto"/>
              <w:left w:val="single" w:sz="4" w:space="0" w:color="auto"/>
              <w:bottom w:val="single" w:sz="4" w:space="0" w:color="auto"/>
              <w:right w:val="single" w:sz="4" w:space="0" w:color="auto"/>
            </w:tcBorders>
            <w:shd w:val="clear" w:color="auto" w:fill="auto"/>
            <w:hideMark/>
          </w:tcPr>
          <w:p w14:paraId="10A880F0"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Государственная п</w:t>
            </w:r>
            <w:r>
              <w:rPr>
                <w:rFonts w:ascii="Times New Roman" w:eastAsia="Times New Roman" w:hAnsi="Times New Roman" w:cs="Times New Roman"/>
                <w:sz w:val="24"/>
                <w:szCs w:val="24"/>
              </w:rPr>
              <w:t>рограмма Новосибирской области «</w:t>
            </w:r>
            <w:r w:rsidRPr="009660AD">
              <w:rPr>
                <w:rFonts w:ascii="Times New Roman" w:eastAsia="Times New Roman" w:hAnsi="Times New Roman" w:cs="Times New Roman"/>
                <w:sz w:val="24"/>
                <w:szCs w:val="24"/>
              </w:rPr>
              <w:t>Развитие субъектов малого и среднего предпринимательства в Новосибирской области</w:t>
            </w:r>
            <w:r>
              <w:rPr>
                <w:rFonts w:ascii="Times New Roman" w:eastAsia="Times New Roman" w:hAnsi="Times New Roman" w:cs="Times New Roman"/>
                <w:sz w:val="24"/>
                <w:szCs w:val="24"/>
              </w:rPr>
              <w:t>»</w:t>
            </w:r>
          </w:p>
        </w:tc>
        <w:tc>
          <w:tcPr>
            <w:tcW w:w="824" w:type="pct"/>
            <w:tcBorders>
              <w:top w:val="single" w:sz="4" w:space="0" w:color="auto"/>
              <w:left w:val="nil"/>
              <w:bottom w:val="single" w:sz="4" w:space="0" w:color="auto"/>
              <w:right w:val="single" w:sz="4" w:space="0" w:color="auto"/>
            </w:tcBorders>
            <w:shd w:val="clear" w:color="auto" w:fill="auto"/>
            <w:noWrap/>
            <w:hideMark/>
          </w:tcPr>
          <w:p w14:paraId="2B672891"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198 648,9</w:t>
            </w:r>
          </w:p>
        </w:tc>
        <w:tc>
          <w:tcPr>
            <w:tcW w:w="1049" w:type="pct"/>
            <w:tcBorders>
              <w:top w:val="single" w:sz="4" w:space="0" w:color="auto"/>
              <w:left w:val="nil"/>
              <w:bottom w:val="single" w:sz="4" w:space="0" w:color="auto"/>
              <w:right w:val="single" w:sz="4" w:space="0" w:color="auto"/>
            </w:tcBorders>
            <w:shd w:val="clear" w:color="auto" w:fill="auto"/>
            <w:noWrap/>
            <w:hideMark/>
          </w:tcPr>
          <w:p w14:paraId="2F8C110D"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1 425 199,6</w:t>
            </w:r>
          </w:p>
        </w:tc>
        <w:tc>
          <w:tcPr>
            <w:tcW w:w="1198" w:type="pct"/>
            <w:tcBorders>
              <w:top w:val="single" w:sz="4" w:space="0" w:color="auto"/>
              <w:left w:val="nil"/>
              <w:bottom w:val="single" w:sz="4" w:space="0" w:color="auto"/>
              <w:right w:val="single" w:sz="4" w:space="0" w:color="auto"/>
            </w:tcBorders>
            <w:shd w:val="clear" w:color="auto" w:fill="auto"/>
            <w:noWrap/>
            <w:hideMark/>
          </w:tcPr>
          <w:p w14:paraId="2B76F96A"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717,4</w:t>
            </w:r>
            <w:r>
              <w:rPr>
                <w:rFonts w:ascii="Times New Roman" w:eastAsia="Times New Roman" w:hAnsi="Times New Roman" w:cs="Times New Roman"/>
                <w:bCs/>
                <w:sz w:val="24"/>
                <w:szCs w:val="24"/>
              </w:rPr>
              <w:t>%</w:t>
            </w:r>
          </w:p>
        </w:tc>
      </w:tr>
      <w:tr w:rsidR="003F4CFF" w:rsidRPr="009660AD" w14:paraId="6A2F5CC7" w14:textId="77777777" w:rsidTr="001130F2">
        <w:trPr>
          <w:trHeight w:val="20"/>
        </w:trPr>
        <w:tc>
          <w:tcPr>
            <w:tcW w:w="357" w:type="pct"/>
            <w:tcBorders>
              <w:top w:val="nil"/>
              <w:left w:val="single" w:sz="4" w:space="0" w:color="auto"/>
              <w:bottom w:val="single" w:sz="4" w:space="0" w:color="auto"/>
              <w:right w:val="single" w:sz="4" w:space="0" w:color="auto"/>
            </w:tcBorders>
          </w:tcPr>
          <w:p w14:paraId="7260FB27" w14:textId="77777777" w:rsidR="003F4CFF" w:rsidRPr="009660AD"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A23381">
              <w:rPr>
                <w:rFonts w:ascii="Times New Roman" w:eastAsia="Times New Roman" w:hAnsi="Times New Roman" w:cs="Times New Roman"/>
                <w:sz w:val="24"/>
                <w:szCs w:val="24"/>
              </w:rPr>
              <w:t>.</w:t>
            </w:r>
          </w:p>
        </w:tc>
        <w:tc>
          <w:tcPr>
            <w:tcW w:w="1573" w:type="pct"/>
            <w:tcBorders>
              <w:top w:val="nil"/>
              <w:left w:val="single" w:sz="4" w:space="0" w:color="auto"/>
              <w:bottom w:val="single" w:sz="4" w:space="0" w:color="auto"/>
              <w:right w:val="single" w:sz="4" w:space="0" w:color="auto"/>
            </w:tcBorders>
            <w:shd w:val="clear" w:color="auto" w:fill="auto"/>
            <w:hideMark/>
          </w:tcPr>
          <w:p w14:paraId="0D8FFB03"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Государственная п</w:t>
            </w:r>
            <w:r>
              <w:rPr>
                <w:rFonts w:ascii="Times New Roman" w:eastAsia="Times New Roman" w:hAnsi="Times New Roman" w:cs="Times New Roman"/>
                <w:sz w:val="24"/>
                <w:szCs w:val="24"/>
              </w:rPr>
              <w:t>рограмма Новосибирской области «</w:t>
            </w:r>
            <w:r w:rsidRPr="009660AD">
              <w:rPr>
                <w:rFonts w:ascii="Times New Roman" w:eastAsia="Times New Roman" w:hAnsi="Times New Roman" w:cs="Times New Roman"/>
                <w:sz w:val="24"/>
                <w:szCs w:val="24"/>
              </w:rPr>
              <w:t>Развитие системы обращения с отходами производства и потребл</w:t>
            </w:r>
            <w:r>
              <w:rPr>
                <w:rFonts w:ascii="Times New Roman" w:eastAsia="Times New Roman" w:hAnsi="Times New Roman" w:cs="Times New Roman"/>
                <w:sz w:val="24"/>
                <w:szCs w:val="24"/>
              </w:rPr>
              <w:t>ения в Новосибирской области»</w:t>
            </w:r>
          </w:p>
        </w:tc>
        <w:tc>
          <w:tcPr>
            <w:tcW w:w="824" w:type="pct"/>
            <w:tcBorders>
              <w:top w:val="nil"/>
              <w:left w:val="nil"/>
              <w:bottom w:val="single" w:sz="4" w:space="0" w:color="auto"/>
              <w:right w:val="single" w:sz="4" w:space="0" w:color="auto"/>
            </w:tcBorders>
            <w:shd w:val="clear" w:color="auto" w:fill="auto"/>
            <w:noWrap/>
            <w:hideMark/>
          </w:tcPr>
          <w:p w14:paraId="679D4EAC"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25 755,8</w:t>
            </w:r>
          </w:p>
        </w:tc>
        <w:tc>
          <w:tcPr>
            <w:tcW w:w="1049" w:type="pct"/>
            <w:tcBorders>
              <w:top w:val="nil"/>
              <w:left w:val="nil"/>
              <w:bottom w:val="single" w:sz="4" w:space="0" w:color="auto"/>
              <w:right w:val="single" w:sz="4" w:space="0" w:color="auto"/>
            </w:tcBorders>
            <w:shd w:val="clear" w:color="auto" w:fill="auto"/>
            <w:noWrap/>
            <w:hideMark/>
          </w:tcPr>
          <w:p w14:paraId="18DFF940"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75 347,4</w:t>
            </w:r>
          </w:p>
        </w:tc>
        <w:tc>
          <w:tcPr>
            <w:tcW w:w="1198" w:type="pct"/>
            <w:tcBorders>
              <w:top w:val="nil"/>
              <w:left w:val="nil"/>
              <w:bottom w:val="single" w:sz="4" w:space="0" w:color="auto"/>
              <w:right w:val="single" w:sz="4" w:space="0" w:color="auto"/>
            </w:tcBorders>
            <w:shd w:val="clear" w:color="auto" w:fill="auto"/>
            <w:noWrap/>
            <w:hideMark/>
          </w:tcPr>
          <w:p w14:paraId="6369BAC7"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292,5</w:t>
            </w:r>
            <w:r>
              <w:rPr>
                <w:rFonts w:ascii="Times New Roman" w:eastAsia="Times New Roman" w:hAnsi="Times New Roman" w:cs="Times New Roman"/>
                <w:bCs/>
                <w:sz w:val="24"/>
                <w:szCs w:val="24"/>
              </w:rPr>
              <w:t>%</w:t>
            </w:r>
          </w:p>
        </w:tc>
      </w:tr>
      <w:tr w:rsidR="003F4CFF" w:rsidRPr="009660AD" w14:paraId="70BCB8D0" w14:textId="77777777" w:rsidTr="001130F2">
        <w:trPr>
          <w:trHeight w:val="20"/>
        </w:trPr>
        <w:tc>
          <w:tcPr>
            <w:tcW w:w="357" w:type="pct"/>
            <w:tcBorders>
              <w:top w:val="nil"/>
              <w:left w:val="single" w:sz="4" w:space="0" w:color="auto"/>
              <w:bottom w:val="single" w:sz="4" w:space="0" w:color="auto"/>
              <w:right w:val="single" w:sz="4" w:space="0" w:color="auto"/>
            </w:tcBorders>
          </w:tcPr>
          <w:p w14:paraId="36071B21" w14:textId="77777777" w:rsidR="003F4CFF" w:rsidRPr="009660AD"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23381">
              <w:rPr>
                <w:rFonts w:ascii="Times New Roman" w:eastAsia="Times New Roman" w:hAnsi="Times New Roman" w:cs="Times New Roman"/>
                <w:sz w:val="24"/>
                <w:szCs w:val="24"/>
              </w:rPr>
              <w:t>.</w:t>
            </w:r>
          </w:p>
        </w:tc>
        <w:tc>
          <w:tcPr>
            <w:tcW w:w="1573" w:type="pct"/>
            <w:tcBorders>
              <w:top w:val="nil"/>
              <w:left w:val="single" w:sz="4" w:space="0" w:color="auto"/>
              <w:bottom w:val="single" w:sz="4" w:space="0" w:color="auto"/>
              <w:right w:val="single" w:sz="4" w:space="0" w:color="auto"/>
            </w:tcBorders>
            <w:shd w:val="clear" w:color="auto" w:fill="auto"/>
            <w:hideMark/>
          </w:tcPr>
          <w:p w14:paraId="49A89CDA"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Государственная п</w:t>
            </w:r>
            <w:r>
              <w:rPr>
                <w:rFonts w:ascii="Times New Roman" w:eastAsia="Times New Roman" w:hAnsi="Times New Roman" w:cs="Times New Roman"/>
                <w:sz w:val="24"/>
                <w:szCs w:val="24"/>
              </w:rPr>
              <w:t>рограмма Новосибирской области «</w:t>
            </w:r>
            <w:r w:rsidRPr="009660AD">
              <w:rPr>
                <w:rFonts w:ascii="Times New Roman" w:eastAsia="Times New Roman" w:hAnsi="Times New Roman" w:cs="Times New Roman"/>
                <w:sz w:val="24"/>
                <w:szCs w:val="24"/>
              </w:rPr>
              <w:t>Развитие физической культуры и</w:t>
            </w:r>
            <w:r>
              <w:rPr>
                <w:rFonts w:ascii="Times New Roman" w:eastAsia="Times New Roman" w:hAnsi="Times New Roman" w:cs="Times New Roman"/>
                <w:sz w:val="24"/>
                <w:szCs w:val="24"/>
              </w:rPr>
              <w:t xml:space="preserve"> спорта в Новосибирской области»</w:t>
            </w:r>
          </w:p>
        </w:tc>
        <w:tc>
          <w:tcPr>
            <w:tcW w:w="824" w:type="pct"/>
            <w:tcBorders>
              <w:top w:val="nil"/>
              <w:left w:val="nil"/>
              <w:bottom w:val="single" w:sz="4" w:space="0" w:color="auto"/>
              <w:right w:val="single" w:sz="4" w:space="0" w:color="auto"/>
            </w:tcBorders>
            <w:shd w:val="clear" w:color="auto" w:fill="auto"/>
            <w:noWrap/>
            <w:hideMark/>
          </w:tcPr>
          <w:p w14:paraId="64962532"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3 771 926,5</w:t>
            </w:r>
          </w:p>
        </w:tc>
        <w:tc>
          <w:tcPr>
            <w:tcW w:w="1049" w:type="pct"/>
            <w:tcBorders>
              <w:top w:val="nil"/>
              <w:left w:val="nil"/>
              <w:bottom w:val="single" w:sz="4" w:space="0" w:color="auto"/>
              <w:right w:val="single" w:sz="4" w:space="0" w:color="auto"/>
            </w:tcBorders>
            <w:shd w:val="clear" w:color="auto" w:fill="auto"/>
            <w:noWrap/>
            <w:hideMark/>
          </w:tcPr>
          <w:p w14:paraId="6F1DCC5F"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6 735 999,8</w:t>
            </w:r>
          </w:p>
        </w:tc>
        <w:tc>
          <w:tcPr>
            <w:tcW w:w="1198" w:type="pct"/>
            <w:tcBorders>
              <w:top w:val="nil"/>
              <w:left w:val="nil"/>
              <w:bottom w:val="single" w:sz="4" w:space="0" w:color="auto"/>
              <w:right w:val="single" w:sz="4" w:space="0" w:color="auto"/>
            </w:tcBorders>
            <w:shd w:val="clear" w:color="auto" w:fill="auto"/>
            <w:noWrap/>
            <w:hideMark/>
          </w:tcPr>
          <w:p w14:paraId="65365737"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178,6</w:t>
            </w:r>
            <w:r>
              <w:rPr>
                <w:rFonts w:ascii="Times New Roman" w:eastAsia="Times New Roman" w:hAnsi="Times New Roman" w:cs="Times New Roman"/>
                <w:bCs/>
                <w:sz w:val="24"/>
                <w:szCs w:val="24"/>
              </w:rPr>
              <w:t>%</w:t>
            </w:r>
          </w:p>
        </w:tc>
      </w:tr>
      <w:tr w:rsidR="003F4CFF" w:rsidRPr="009660AD" w14:paraId="4262D9D9" w14:textId="77777777" w:rsidTr="001130F2">
        <w:trPr>
          <w:trHeight w:val="20"/>
        </w:trPr>
        <w:tc>
          <w:tcPr>
            <w:tcW w:w="357" w:type="pct"/>
            <w:tcBorders>
              <w:top w:val="nil"/>
              <w:left w:val="single" w:sz="4" w:space="0" w:color="auto"/>
              <w:bottom w:val="single" w:sz="4" w:space="0" w:color="auto"/>
              <w:right w:val="single" w:sz="4" w:space="0" w:color="auto"/>
            </w:tcBorders>
          </w:tcPr>
          <w:p w14:paraId="130AE99E" w14:textId="77777777" w:rsidR="003F4CFF" w:rsidRPr="009660AD"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A23381">
              <w:rPr>
                <w:rFonts w:ascii="Times New Roman" w:eastAsia="Times New Roman" w:hAnsi="Times New Roman" w:cs="Times New Roman"/>
                <w:sz w:val="24"/>
                <w:szCs w:val="24"/>
              </w:rPr>
              <w:t>.</w:t>
            </w:r>
          </w:p>
        </w:tc>
        <w:tc>
          <w:tcPr>
            <w:tcW w:w="1573" w:type="pct"/>
            <w:tcBorders>
              <w:top w:val="nil"/>
              <w:left w:val="single" w:sz="4" w:space="0" w:color="auto"/>
              <w:bottom w:val="single" w:sz="4" w:space="0" w:color="auto"/>
              <w:right w:val="single" w:sz="4" w:space="0" w:color="auto"/>
            </w:tcBorders>
            <w:shd w:val="clear" w:color="auto" w:fill="auto"/>
            <w:hideMark/>
          </w:tcPr>
          <w:p w14:paraId="24B11529"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Государственная п</w:t>
            </w:r>
            <w:r>
              <w:rPr>
                <w:rFonts w:ascii="Times New Roman" w:eastAsia="Times New Roman" w:hAnsi="Times New Roman" w:cs="Times New Roman"/>
                <w:sz w:val="24"/>
                <w:szCs w:val="24"/>
              </w:rPr>
              <w:t>рограмма Новосибирской области «Содействие занятости населения»</w:t>
            </w:r>
          </w:p>
        </w:tc>
        <w:tc>
          <w:tcPr>
            <w:tcW w:w="824" w:type="pct"/>
            <w:tcBorders>
              <w:top w:val="nil"/>
              <w:left w:val="nil"/>
              <w:bottom w:val="single" w:sz="4" w:space="0" w:color="auto"/>
              <w:right w:val="single" w:sz="4" w:space="0" w:color="auto"/>
            </w:tcBorders>
            <w:shd w:val="clear" w:color="auto" w:fill="auto"/>
            <w:noWrap/>
            <w:hideMark/>
          </w:tcPr>
          <w:p w14:paraId="388599AA"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1 189 792,9</w:t>
            </w:r>
          </w:p>
        </w:tc>
        <w:tc>
          <w:tcPr>
            <w:tcW w:w="1049" w:type="pct"/>
            <w:tcBorders>
              <w:top w:val="nil"/>
              <w:left w:val="nil"/>
              <w:bottom w:val="single" w:sz="4" w:space="0" w:color="auto"/>
              <w:right w:val="single" w:sz="4" w:space="0" w:color="auto"/>
            </w:tcBorders>
            <w:shd w:val="clear" w:color="auto" w:fill="auto"/>
            <w:noWrap/>
            <w:hideMark/>
          </w:tcPr>
          <w:p w14:paraId="7864EB71"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1 794 866,2</w:t>
            </w:r>
          </w:p>
        </w:tc>
        <w:tc>
          <w:tcPr>
            <w:tcW w:w="1198" w:type="pct"/>
            <w:tcBorders>
              <w:top w:val="nil"/>
              <w:left w:val="nil"/>
              <w:bottom w:val="single" w:sz="4" w:space="0" w:color="auto"/>
              <w:right w:val="single" w:sz="4" w:space="0" w:color="auto"/>
            </w:tcBorders>
            <w:shd w:val="clear" w:color="auto" w:fill="auto"/>
            <w:noWrap/>
            <w:hideMark/>
          </w:tcPr>
          <w:p w14:paraId="52A94257"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150,9</w:t>
            </w:r>
            <w:r>
              <w:rPr>
                <w:rFonts w:ascii="Times New Roman" w:eastAsia="Times New Roman" w:hAnsi="Times New Roman" w:cs="Times New Roman"/>
                <w:bCs/>
                <w:sz w:val="24"/>
                <w:szCs w:val="24"/>
              </w:rPr>
              <w:t>%</w:t>
            </w:r>
          </w:p>
        </w:tc>
      </w:tr>
      <w:tr w:rsidR="003F4CFF" w:rsidRPr="009660AD" w14:paraId="4BBD411D" w14:textId="77777777" w:rsidTr="001130F2">
        <w:trPr>
          <w:trHeight w:val="20"/>
        </w:trPr>
        <w:tc>
          <w:tcPr>
            <w:tcW w:w="357" w:type="pct"/>
            <w:tcBorders>
              <w:top w:val="nil"/>
              <w:left w:val="single" w:sz="4" w:space="0" w:color="auto"/>
              <w:bottom w:val="single" w:sz="4" w:space="0" w:color="auto"/>
              <w:right w:val="single" w:sz="4" w:space="0" w:color="auto"/>
            </w:tcBorders>
          </w:tcPr>
          <w:p w14:paraId="654C364B" w14:textId="77777777" w:rsidR="003F4CFF" w:rsidRPr="009660AD"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00A23381">
              <w:rPr>
                <w:rFonts w:ascii="Times New Roman" w:eastAsia="Times New Roman" w:hAnsi="Times New Roman" w:cs="Times New Roman"/>
                <w:sz w:val="24"/>
                <w:szCs w:val="24"/>
              </w:rPr>
              <w:t>.</w:t>
            </w:r>
          </w:p>
        </w:tc>
        <w:tc>
          <w:tcPr>
            <w:tcW w:w="1573" w:type="pct"/>
            <w:tcBorders>
              <w:top w:val="nil"/>
              <w:left w:val="single" w:sz="4" w:space="0" w:color="auto"/>
              <w:bottom w:val="single" w:sz="4" w:space="0" w:color="auto"/>
              <w:right w:val="single" w:sz="4" w:space="0" w:color="auto"/>
            </w:tcBorders>
            <w:shd w:val="clear" w:color="auto" w:fill="auto"/>
            <w:hideMark/>
          </w:tcPr>
          <w:p w14:paraId="37CBBAA1"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Государственная п</w:t>
            </w:r>
            <w:r>
              <w:rPr>
                <w:rFonts w:ascii="Times New Roman" w:eastAsia="Times New Roman" w:hAnsi="Times New Roman" w:cs="Times New Roman"/>
                <w:sz w:val="24"/>
                <w:szCs w:val="24"/>
              </w:rPr>
              <w:t>рограмма Новосибирской области «</w:t>
            </w:r>
            <w:r w:rsidRPr="009660AD">
              <w:rPr>
                <w:rFonts w:ascii="Times New Roman" w:eastAsia="Times New Roman" w:hAnsi="Times New Roman" w:cs="Times New Roman"/>
                <w:sz w:val="24"/>
                <w:szCs w:val="24"/>
              </w:rPr>
              <w:t>Развитие образования, создание условий для социализации детей и учащейся м</w:t>
            </w:r>
            <w:r>
              <w:rPr>
                <w:rFonts w:ascii="Times New Roman" w:eastAsia="Times New Roman" w:hAnsi="Times New Roman" w:cs="Times New Roman"/>
                <w:sz w:val="24"/>
                <w:szCs w:val="24"/>
              </w:rPr>
              <w:t>олодежи в Новосибирской области»</w:t>
            </w:r>
          </w:p>
        </w:tc>
        <w:tc>
          <w:tcPr>
            <w:tcW w:w="824" w:type="pct"/>
            <w:tcBorders>
              <w:top w:val="nil"/>
              <w:left w:val="nil"/>
              <w:bottom w:val="single" w:sz="4" w:space="0" w:color="auto"/>
              <w:right w:val="single" w:sz="4" w:space="0" w:color="auto"/>
            </w:tcBorders>
            <w:shd w:val="clear" w:color="auto" w:fill="auto"/>
            <w:noWrap/>
            <w:hideMark/>
          </w:tcPr>
          <w:p w14:paraId="1DC39519"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30 397 172,5</w:t>
            </w:r>
          </w:p>
        </w:tc>
        <w:tc>
          <w:tcPr>
            <w:tcW w:w="1049" w:type="pct"/>
            <w:tcBorders>
              <w:top w:val="nil"/>
              <w:left w:val="nil"/>
              <w:bottom w:val="single" w:sz="4" w:space="0" w:color="auto"/>
              <w:right w:val="single" w:sz="4" w:space="0" w:color="auto"/>
            </w:tcBorders>
            <w:shd w:val="clear" w:color="auto" w:fill="auto"/>
            <w:noWrap/>
            <w:hideMark/>
          </w:tcPr>
          <w:p w14:paraId="733B950E"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38 541 760,7</w:t>
            </w:r>
          </w:p>
        </w:tc>
        <w:tc>
          <w:tcPr>
            <w:tcW w:w="1198" w:type="pct"/>
            <w:tcBorders>
              <w:top w:val="nil"/>
              <w:left w:val="nil"/>
              <w:bottom w:val="single" w:sz="4" w:space="0" w:color="auto"/>
              <w:right w:val="single" w:sz="4" w:space="0" w:color="auto"/>
            </w:tcBorders>
            <w:shd w:val="clear" w:color="auto" w:fill="auto"/>
            <w:noWrap/>
            <w:hideMark/>
          </w:tcPr>
          <w:p w14:paraId="4FD22409"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126,8</w:t>
            </w:r>
            <w:r w:rsidRPr="00DB06B9">
              <w:rPr>
                <w:rFonts w:ascii="Times New Roman" w:eastAsia="Times New Roman" w:hAnsi="Times New Roman" w:cs="Times New Roman"/>
                <w:bCs/>
                <w:sz w:val="24"/>
                <w:szCs w:val="24"/>
              </w:rPr>
              <w:t>%</w:t>
            </w:r>
          </w:p>
        </w:tc>
      </w:tr>
      <w:tr w:rsidR="003F4CFF" w:rsidRPr="009660AD" w14:paraId="2625ADA0" w14:textId="77777777" w:rsidTr="001130F2">
        <w:trPr>
          <w:trHeight w:val="20"/>
        </w:trPr>
        <w:tc>
          <w:tcPr>
            <w:tcW w:w="357" w:type="pct"/>
            <w:tcBorders>
              <w:top w:val="nil"/>
              <w:left w:val="single" w:sz="4" w:space="0" w:color="auto"/>
              <w:bottom w:val="single" w:sz="4" w:space="0" w:color="auto"/>
              <w:right w:val="single" w:sz="4" w:space="0" w:color="auto"/>
            </w:tcBorders>
          </w:tcPr>
          <w:p w14:paraId="3677D931" w14:textId="77777777" w:rsidR="003F4CFF" w:rsidRPr="009660AD"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A23381">
              <w:rPr>
                <w:rFonts w:ascii="Times New Roman" w:eastAsia="Times New Roman" w:hAnsi="Times New Roman" w:cs="Times New Roman"/>
                <w:sz w:val="24"/>
                <w:szCs w:val="24"/>
              </w:rPr>
              <w:t>.</w:t>
            </w:r>
          </w:p>
        </w:tc>
        <w:tc>
          <w:tcPr>
            <w:tcW w:w="1573" w:type="pct"/>
            <w:tcBorders>
              <w:top w:val="nil"/>
              <w:left w:val="single" w:sz="4" w:space="0" w:color="auto"/>
              <w:bottom w:val="single" w:sz="4" w:space="0" w:color="auto"/>
              <w:right w:val="single" w:sz="4" w:space="0" w:color="auto"/>
            </w:tcBorders>
            <w:shd w:val="clear" w:color="auto" w:fill="auto"/>
            <w:hideMark/>
          </w:tcPr>
          <w:p w14:paraId="2ED3F69B"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Государственная п</w:t>
            </w:r>
            <w:r>
              <w:rPr>
                <w:rFonts w:ascii="Times New Roman" w:eastAsia="Times New Roman" w:hAnsi="Times New Roman" w:cs="Times New Roman"/>
                <w:sz w:val="24"/>
                <w:szCs w:val="24"/>
              </w:rPr>
              <w:t>рограмма Новосибирской области «</w:t>
            </w:r>
            <w:r w:rsidRPr="009660AD">
              <w:rPr>
                <w:rFonts w:ascii="Times New Roman" w:eastAsia="Times New Roman" w:hAnsi="Times New Roman" w:cs="Times New Roman"/>
                <w:sz w:val="24"/>
                <w:szCs w:val="24"/>
              </w:rPr>
              <w:t xml:space="preserve">Обеспечение доступности услуг общественного пассажирского транспорта, в том числе Новосибирского метрополитена, для </w:t>
            </w:r>
            <w:r>
              <w:rPr>
                <w:rFonts w:ascii="Times New Roman" w:eastAsia="Times New Roman" w:hAnsi="Times New Roman" w:cs="Times New Roman"/>
                <w:sz w:val="24"/>
                <w:szCs w:val="24"/>
              </w:rPr>
              <w:t>населения Новосибирской области»</w:t>
            </w:r>
          </w:p>
        </w:tc>
        <w:tc>
          <w:tcPr>
            <w:tcW w:w="824" w:type="pct"/>
            <w:tcBorders>
              <w:top w:val="nil"/>
              <w:left w:val="nil"/>
              <w:bottom w:val="single" w:sz="4" w:space="0" w:color="auto"/>
              <w:right w:val="single" w:sz="4" w:space="0" w:color="auto"/>
            </w:tcBorders>
            <w:shd w:val="clear" w:color="auto" w:fill="auto"/>
            <w:noWrap/>
            <w:hideMark/>
          </w:tcPr>
          <w:p w14:paraId="14A86EEE"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2 682 316,9</w:t>
            </w:r>
          </w:p>
        </w:tc>
        <w:tc>
          <w:tcPr>
            <w:tcW w:w="1049" w:type="pct"/>
            <w:tcBorders>
              <w:top w:val="nil"/>
              <w:left w:val="nil"/>
              <w:bottom w:val="single" w:sz="4" w:space="0" w:color="auto"/>
              <w:right w:val="single" w:sz="4" w:space="0" w:color="auto"/>
            </w:tcBorders>
            <w:shd w:val="clear" w:color="auto" w:fill="auto"/>
            <w:noWrap/>
            <w:hideMark/>
          </w:tcPr>
          <w:p w14:paraId="1CB4530A"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3 390 038,7</w:t>
            </w:r>
          </w:p>
        </w:tc>
        <w:tc>
          <w:tcPr>
            <w:tcW w:w="1198" w:type="pct"/>
            <w:tcBorders>
              <w:top w:val="nil"/>
              <w:left w:val="nil"/>
              <w:bottom w:val="single" w:sz="4" w:space="0" w:color="auto"/>
              <w:right w:val="single" w:sz="4" w:space="0" w:color="auto"/>
            </w:tcBorders>
            <w:shd w:val="clear" w:color="auto" w:fill="auto"/>
            <w:noWrap/>
            <w:hideMark/>
          </w:tcPr>
          <w:p w14:paraId="4CE27169"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126,4</w:t>
            </w:r>
            <w:r w:rsidRPr="00DB06B9">
              <w:rPr>
                <w:rFonts w:ascii="Times New Roman" w:eastAsia="Times New Roman" w:hAnsi="Times New Roman" w:cs="Times New Roman"/>
                <w:bCs/>
                <w:sz w:val="24"/>
                <w:szCs w:val="24"/>
              </w:rPr>
              <w:t>%</w:t>
            </w:r>
          </w:p>
        </w:tc>
      </w:tr>
      <w:tr w:rsidR="003F4CFF" w:rsidRPr="009660AD" w14:paraId="3C5E28A9" w14:textId="77777777" w:rsidTr="001130F2">
        <w:trPr>
          <w:trHeight w:val="20"/>
        </w:trPr>
        <w:tc>
          <w:tcPr>
            <w:tcW w:w="357" w:type="pct"/>
            <w:tcBorders>
              <w:top w:val="nil"/>
              <w:left w:val="single" w:sz="4" w:space="0" w:color="auto"/>
              <w:bottom w:val="single" w:sz="4" w:space="0" w:color="auto"/>
              <w:right w:val="single" w:sz="4" w:space="0" w:color="auto"/>
            </w:tcBorders>
          </w:tcPr>
          <w:p w14:paraId="0E829CDC" w14:textId="77777777" w:rsidR="003F4CFF" w:rsidRPr="009660AD"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A23381">
              <w:rPr>
                <w:rFonts w:ascii="Times New Roman" w:eastAsia="Times New Roman" w:hAnsi="Times New Roman" w:cs="Times New Roman"/>
                <w:sz w:val="24"/>
                <w:szCs w:val="24"/>
              </w:rPr>
              <w:t>.</w:t>
            </w:r>
          </w:p>
        </w:tc>
        <w:tc>
          <w:tcPr>
            <w:tcW w:w="1573" w:type="pct"/>
            <w:tcBorders>
              <w:top w:val="nil"/>
              <w:left w:val="single" w:sz="4" w:space="0" w:color="auto"/>
              <w:bottom w:val="single" w:sz="4" w:space="0" w:color="auto"/>
              <w:right w:val="single" w:sz="4" w:space="0" w:color="auto"/>
            </w:tcBorders>
            <w:shd w:val="clear" w:color="auto" w:fill="auto"/>
            <w:hideMark/>
          </w:tcPr>
          <w:p w14:paraId="43C84D35"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Государственная программа Новос</w:t>
            </w:r>
            <w:r>
              <w:rPr>
                <w:rFonts w:ascii="Times New Roman" w:eastAsia="Times New Roman" w:hAnsi="Times New Roman" w:cs="Times New Roman"/>
                <w:sz w:val="24"/>
                <w:szCs w:val="24"/>
              </w:rPr>
              <w:t>ибирской области «</w:t>
            </w:r>
            <w:r w:rsidRPr="009660AD">
              <w:rPr>
                <w:rFonts w:ascii="Times New Roman" w:eastAsia="Times New Roman" w:hAnsi="Times New Roman" w:cs="Times New Roman"/>
                <w:sz w:val="24"/>
                <w:szCs w:val="24"/>
              </w:rPr>
              <w:t>Развитие государственной молодежной</w:t>
            </w:r>
            <w:r>
              <w:rPr>
                <w:rFonts w:ascii="Times New Roman" w:eastAsia="Times New Roman" w:hAnsi="Times New Roman" w:cs="Times New Roman"/>
                <w:sz w:val="24"/>
                <w:szCs w:val="24"/>
              </w:rPr>
              <w:t xml:space="preserve"> политики Новосибирской области»</w:t>
            </w:r>
          </w:p>
        </w:tc>
        <w:tc>
          <w:tcPr>
            <w:tcW w:w="824" w:type="pct"/>
            <w:tcBorders>
              <w:top w:val="nil"/>
              <w:left w:val="nil"/>
              <w:bottom w:val="single" w:sz="4" w:space="0" w:color="auto"/>
              <w:right w:val="single" w:sz="4" w:space="0" w:color="auto"/>
            </w:tcBorders>
            <w:shd w:val="clear" w:color="auto" w:fill="auto"/>
            <w:noWrap/>
            <w:hideMark/>
          </w:tcPr>
          <w:p w14:paraId="7646C750"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105 968,6</w:t>
            </w:r>
          </w:p>
        </w:tc>
        <w:tc>
          <w:tcPr>
            <w:tcW w:w="1049" w:type="pct"/>
            <w:tcBorders>
              <w:top w:val="nil"/>
              <w:left w:val="nil"/>
              <w:bottom w:val="single" w:sz="4" w:space="0" w:color="auto"/>
              <w:right w:val="single" w:sz="4" w:space="0" w:color="auto"/>
            </w:tcBorders>
            <w:shd w:val="clear" w:color="auto" w:fill="auto"/>
            <w:noWrap/>
            <w:hideMark/>
          </w:tcPr>
          <w:p w14:paraId="145938D5"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133 544,1</w:t>
            </w:r>
          </w:p>
        </w:tc>
        <w:tc>
          <w:tcPr>
            <w:tcW w:w="1198" w:type="pct"/>
            <w:tcBorders>
              <w:top w:val="nil"/>
              <w:left w:val="nil"/>
              <w:bottom w:val="single" w:sz="4" w:space="0" w:color="auto"/>
              <w:right w:val="single" w:sz="4" w:space="0" w:color="auto"/>
            </w:tcBorders>
            <w:shd w:val="clear" w:color="auto" w:fill="auto"/>
            <w:noWrap/>
            <w:hideMark/>
          </w:tcPr>
          <w:p w14:paraId="3DE60517"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126,0</w:t>
            </w:r>
            <w:r w:rsidRPr="00DB06B9">
              <w:rPr>
                <w:rFonts w:ascii="Times New Roman" w:eastAsia="Times New Roman" w:hAnsi="Times New Roman" w:cs="Times New Roman"/>
                <w:bCs/>
                <w:sz w:val="24"/>
                <w:szCs w:val="24"/>
              </w:rPr>
              <w:t>%</w:t>
            </w:r>
          </w:p>
        </w:tc>
      </w:tr>
      <w:tr w:rsidR="003F4CFF" w:rsidRPr="009660AD" w14:paraId="59913610" w14:textId="77777777" w:rsidTr="001130F2">
        <w:trPr>
          <w:trHeight w:val="20"/>
        </w:trPr>
        <w:tc>
          <w:tcPr>
            <w:tcW w:w="357" w:type="pct"/>
            <w:tcBorders>
              <w:top w:val="nil"/>
              <w:left w:val="single" w:sz="4" w:space="0" w:color="auto"/>
              <w:bottom w:val="single" w:sz="4" w:space="0" w:color="auto"/>
              <w:right w:val="single" w:sz="4" w:space="0" w:color="auto"/>
            </w:tcBorders>
          </w:tcPr>
          <w:p w14:paraId="034AA50E" w14:textId="77777777" w:rsidR="003F4CFF" w:rsidRPr="009660AD"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A23381">
              <w:rPr>
                <w:rFonts w:ascii="Times New Roman" w:eastAsia="Times New Roman" w:hAnsi="Times New Roman" w:cs="Times New Roman"/>
                <w:sz w:val="24"/>
                <w:szCs w:val="24"/>
              </w:rPr>
              <w:t>.</w:t>
            </w:r>
          </w:p>
        </w:tc>
        <w:tc>
          <w:tcPr>
            <w:tcW w:w="1573" w:type="pct"/>
            <w:tcBorders>
              <w:top w:val="nil"/>
              <w:left w:val="single" w:sz="4" w:space="0" w:color="auto"/>
              <w:bottom w:val="single" w:sz="4" w:space="0" w:color="auto"/>
              <w:right w:val="single" w:sz="4" w:space="0" w:color="auto"/>
            </w:tcBorders>
            <w:shd w:val="clear" w:color="auto" w:fill="auto"/>
            <w:hideMark/>
          </w:tcPr>
          <w:p w14:paraId="61AAAC67"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Ве</w:t>
            </w:r>
            <w:r>
              <w:rPr>
                <w:rFonts w:ascii="Times New Roman" w:eastAsia="Times New Roman" w:hAnsi="Times New Roman" w:cs="Times New Roman"/>
                <w:sz w:val="24"/>
                <w:szCs w:val="24"/>
              </w:rPr>
              <w:t>домственная целевая программа «</w:t>
            </w:r>
            <w:r w:rsidRPr="009660AD">
              <w:rPr>
                <w:rFonts w:ascii="Times New Roman" w:eastAsia="Times New Roman" w:hAnsi="Times New Roman" w:cs="Times New Roman"/>
                <w:sz w:val="24"/>
                <w:szCs w:val="24"/>
              </w:rPr>
              <w:t>Развитие торговли на территории Новосиби</w:t>
            </w:r>
            <w:r>
              <w:rPr>
                <w:rFonts w:ascii="Times New Roman" w:eastAsia="Times New Roman" w:hAnsi="Times New Roman" w:cs="Times New Roman"/>
                <w:sz w:val="24"/>
                <w:szCs w:val="24"/>
              </w:rPr>
              <w:t>рской области на 2015-2019 годы»</w:t>
            </w:r>
          </w:p>
        </w:tc>
        <w:tc>
          <w:tcPr>
            <w:tcW w:w="824" w:type="pct"/>
            <w:tcBorders>
              <w:top w:val="nil"/>
              <w:left w:val="nil"/>
              <w:bottom w:val="single" w:sz="4" w:space="0" w:color="auto"/>
              <w:right w:val="single" w:sz="4" w:space="0" w:color="auto"/>
            </w:tcBorders>
            <w:shd w:val="clear" w:color="auto" w:fill="auto"/>
            <w:noWrap/>
            <w:hideMark/>
          </w:tcPr>
          <w:p w14:paraId="6BA4CC9A"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40 935,0</w:t>
            </w:r>
          </w:p>
        </w:tc>
        <w:tc>
          <w:tcPr>
            <w:tcW w:w="1049" w:type="pct"/>
            <w:tcBorders>
              <w:top w:val="nil"/>
              <w:left w:val="nil"/>
              <w:bottom w:val="single" w:sz="4" w:space="0" w:color="auto"/>
              <w:right w:val="single" w:sz="4" w:space="0" w:color="auto"/>
            </w:tcBorders>
            <w:shd w:val="clear" w:color="auto" w:fill="auto"/>
            <w:noWrap/>
            <w:hideMark/>
          </w:tcPr>
          <w:p w14:paraId="2C4A10FB"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50 807,1</w:t>
            </w:r>
          </w:p>
        </w:tc>
        <w:tc>
          <w:tcPr>
            <w:tcW w:w="1198" w:type="pct"/>
            <w:tcBorders>
              <w:top w:val="nil"/>
              <w:left w:val="nil"/>
              <w:bottom w:val="single" w:sz="4" w:space="0" w:color="auto"/>
              <w:right w:val="single" w:sz="4" w:space="0" w:color="auto"/>
            </w:tcBorders>
            <w:shd w:val="clear" w:color="auto" w:fill="auto"/>
            <w:noWrap/>
            <w:hideMark/>
          </w:tcPr>
          <w:p w14:paraId="307A295A"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124,1</w:t>
            </w:r>
            <w:r w:rsidRPr="00DB06B9">
              <w:rPr>
                <w:rFonts w:ascii="Times New Roman" w:eastAsia="Times New Roman" w:hAnsi="Times New Roman" w:cs="Times New Roman"/>
                <w:bCs/>
                <w:sz w:val="24"/>
                <w:szCs w:val="24"/>
              </w:rPr>
              <w:t>%</w:t>
            </w:r>
          </w:p>
        </w:tc>
      </w:tr>
      <w:tr w:rsidR="003F4CFF" w:rsidRPr="009660AD" w14:paraId="6CA35D59" w14:textId="77777777" w:rsidTr="001130F2">
        <w:trPr>
          <w:trHeight w:val="20"/>
        </w:trPr>
        <w:tc>
          <w:tcPr>
            <w:tcW w:w="357" w:type="pct"/>
            <w:tcBorders>
              <w:top w:val="nil"/>
              <w:left w:val="single" w:sz="4" w:space="0" w:color="auto"/>
              <w:bottom w:val="single" w:sz="4" w:space="0" w:color="auto"/>
              <w:right w:val="single" w:sz="4" w:space="0" w:color="auto"/>
            </w:tcBorders>
          </w:tcPr>
          <w:p w14:paraId="32D3F1E2" w14:textId="77777777" w:rsidR="003F4CFF" w:rsidRPr="009660AD"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A23381">
              <w:rPr>
                <w:rFonts w:ascii="Times New Roman" w:eastAsia="Times New Roman" w:hAnsi="Times New Roman" w:cs="Times New Roman"/>
                <w:sz w:val="24"/>
                <w:szCs w:val="24"/>
              </w:rPr>
              <w:t>.</w:t>
            </w:r>
          </w:p>
        </w:tc>
        <w:tc>
          <w:tcPr>
            <w:tcW w:w="1573" w:type="pct"/>
            <w:tcBorders>
              <w:top w:val="nil"/>
              <w:left w:val="single" w:sz="4" w:space="0" w:color="auto"/>
              <w:bottom w:val="single" w:sz="4" w:space="0" w:color="auto"/>
              <w:right w:val="single" w:sz="4" w:space="0" w:color="auto"/>
            </w:tcBorders>
            <w:shd w:val="clear" w:color="auto" w:fill="auto"/>
            <w:hideMark/>
          </w:tcPr>
          <w:p w14:paraId="07F33E6D"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Государственная п</w:t>
            </w:r>
            <w:r>
              <w:rPr>
                <w:rFonts w:ascii="Times New Roman" w:eastAsia="Times New Roman" w:hAnsi="Times New Roman" w:cs="Times New Roman"/>
                <w:sz w:val="24"/>
                <w:szCs w:val="24"/>
              </w:rPr>
              <w:t>рограмма Новосибирской области «</w:t>
            </w:r>
            <w:r w:rsidRPr="009660AD">
              <w:rPr>
                <w:rFonts w:ascii="Times New Roman" w:eastAsia="Times New Roman" w:hAnsi="Times New Roman" w:cs="Times New Roman"/>
                <w:sz w:val="24"/>
                <w:szCs w:val="24"/>
              </w:rPr>
              <w:t>Развитие здраво</w:t>
            </w:r>
            <w:r>
              <w:rPr>
                <w:rFonts w:ascii="Times New Roman" w:eastAsia="Times New Roman" w:hAnsi="Times New Roman" w:cs="Times New Roman"/>
                <w:sz w:val="24"/>
                <w:szCs w:val="24"/>
              </w:rPr>
              <w:t>охранения Новосибирской области»</w:t>
            </w:r>
          </w:p>
        </w:tc>
        <w:tc>
          <w:tcPr>
            <w:tcW w:w="824" w:type="pct"/>
            <w:tcBorders>
              <w:top w:val="nil"/>
              <w:left w:val="nil"/>
              <w:bottom w:val="single" w:sz="4" w:space="0" w:color="auto"/>
              <w:right w:val="single" w:sz="4" w:space="0" w:color="auto"/>
            </w:tcBorders>
            <w:shd w:val="clear" w:color="auto" w:fill="auto"/>
            <w:noWrap/>
            <w:hideMark/>
          </w:tcPr>
          <w:p w14:paraId="19AE8E7A"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24 968 864,1</w:t>
            </w:r>
          </w:p>
        </w:tc>
        <w:tc>
          <w:tcPr>
            <w:tcW w:w="1049" w:type="pct"/>
            <w:tcBorders>
              <w:top w:val="nil"/>
              <w:left w:val="nil"/>
              <w:bottom w:val="single" w:sz="4" w:space="0" w:color="auto"/>
              <w:right w:val="single" w:sz="4" w:space="0" w:color="auto"/>
            </w:tcBorders>
            <w:shd w:val="clear" w:color="auto" w:fill="auto"/>
            <w:noWrap/>
            <w:hideMark/>
          </w:tcPr>
          <w:p w14:paraId="589C9E9C"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29 393 609,8</w:t>
            </w:r>
          </w:p>
        </w:tc>
        <w:tc>
          <w:tcPr>
            <w:tcW w:w="1198" w:type="pct"/>
            <w:tcBorders>
              <w:top w:val="nil"/>
              <w:left w:val="nil"/>
              <w:bottom w:val="single" w:sz="4" w:space="0" w:color="auto"/>
              <w:right w:val="single" w:sz="4" w:space="0" w:color="auto"/>
            </w:tcBorders>
            <w:shd w:val="clear" w:color="auto" w:fill="auto"/>
            <w:noWrap/>
            <w:hideMark/>
          </w:tcPr>
          <w:p w14:paraId="0B7D9AAC"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117,7</w:t>
            </w:r>
            <w:r w:rsidRPr="00DB06B9">
              <w:rPr>
                <w:rFonts w:ascii="Times New Roman" w:eastAsia="Times New Roman" w:hAnsi="Times New Roman" w:cs="Times New Roman"/>
                <w:bCs/>
                <w:sz w:val="24"/>
                <w:szCs w:val="24"/>
              </w:rPr>
              <w:t>%</w:t>
            </w:r>
          </w:p>
        </w:tc>
      </w:tr>
      <w:tr w:rsidR="003F4CFF" w:rsidRPr="009660AD" w14:paraId="7420EC84" w14:textId="77777777" w:rsidTr="001130F2">
        <w:trPr>
          <w:trHeight w:val="20"/>
        </w:trPr>
        <w:tc>
          <w:tcPr>
            <w:tcW w:w="357" w:type="pct"/>
            <w:tcBorders>
              <w:top w:val="nil"/>
              <w:left w:val="single" w:sz="4" w:space="0" w:color="auto"/>
              <w:bottom w:val="single" w:sz="4" w:space="0" w:color="auto"/>
              <w:right w:val="single" w:sz="4" w:space="0" w:color="auto"/>
            </w:tcBorders>
          </w:tcPr>
          <w:p w14:paraId="52410742" w14:textId="77777777" w:rsidR="003F4CFF" w:rsidRPr="009660AD"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A23381">
              <w:rPr>
                <w:rFonts w:ascii="Times New Roman" w:eastAsia="Times New Roman" w:hAnsi="Times New Roman" w:cs="Times New Roman"/>
                <w:sz w:val="24"/>
                <w:szCs w:val="24"/>
              </w:rPr>
              <w:t>.</w:t>
            </w:r>
          </w:p>
        </w:tc>
        <w:tc>
          <w:tcPr>
            <w:tcW w:w="1573" w:type="pct"/>
            <w:tcBorders>
              <w:top w:val="nil"/>
              <w:left w:val="single" w:sz="4" w:space="0" w:color="auto"/>
              <w:bottom w:val="single" w:sz="4" w:space="0" w:color="auto"/>
              <w:right w:val="single" w:sz="4" w:space="0" w:color="auto"/>
            </w:tcBorders>
            <w:shd w:val="clear" w:color="auto" w:fill="auto"/>
            <w:hideMark/>
          </w:tcPr>
          <w:p w14:paraId="23C0466C"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Государственная п</w:t>
            </w:r>
            <w:r>
              <w:rPr>
                <w:rFonts w:ascii="Times New Roman" w:eastAsia="Times New Roman" w:hAnsi="Times New Roman" w:cs="Times New Roman"/>
                <w:sz w:val="24"/>
                <w:szCs w:val="24"/>
              </w:rPr>
              <w:t>рограмма Новосибирской области «</w:t>
            </w:r>
            <w:r w:rsidRPr="009660AD">
              <w:rPr>
                <w:rFonts w:ascii="Times New Roman" w:eastAsia="Times New Roman" w:hAnsi="Times New Roman" w:cs="Times New Roman"/>
                <w:sz w:val="24"/>
                <w:szCs w:val="24"/>
              </w:rPr>
              <w:t>Стимулирование инвестиционной и инновационной активности в Новосибирской об</w:t>
            </w:r>
            <w:r>
              <w:rPr>
                <w:rFonts w:ascii="Times New Roman" w:eastAsia="Times New Roman" w:hAnsi="Times New Roman" w:cs="Times New Roman"/>
                <w:sz w:val="24"/>
                <w:szCs w:val="24"/>
              </w:rPr>
              <w:t>ласти»</w:t>
            </w:r>
          </w:p>
        </w:tc>
        <w:tc>
          <w:tcPr>
            <w:tcW w:w="824" w:type="pct"/>
            <w:tcBorders>
              <w:top w:val="nil"/>
              <w:left w:val="nil"/>
              <w:bottom w:val="single" w:sz="4" w:space="0" w:color="auto"/>
              <w:right w:val="single" w:sz="4" w:space="0" w:color="auto"/>
            </w:tcBorders>
            <w:shd w:val="clear" w:color="auto" w:fill="auto"/>
            <w:noWrap/>
            <w:hideMark/>
          </w:tcPr>
          <w:p w14:paraId="225A4FBD"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614 224,0</w:t>
            </w:r>
          </w:p>
        </w:tc>
        <w:tc>
          <w:tcPr>
            <w:tcW w:w="1049" w:type="pct"/>
            <w:tcBorders>
              <w:top w:val="nil"/>
              <w:left w:val="nil"/>
              <w:bottom w:val="single" w:sz="4" w:space="0" w:color="auto"/>
              <w:right w:val="single" w:sz="4" w:space="0" w:color="auto"/>
            </w:tcBorders>
            <w:shd w:val="clear" w:color="auto" w:fill="auto"/>
            <w:noWrap/>
            <w:hideMark/>
          </w:tcPr>
          <w:p w14:paraId="7DB1C978"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698 445,3</w:t>
            </w:r>
          </w:p>
        </w:tc>
        <w:tc>
          <w:tcPr>
            <w:tcW w:w="1198" w:type="pct"/>
            <w:tcBorders>
              <w:top w:val="nil"/>
              <w:left w:val="nil"/>
              <w:bottom w:val="single" w:sz="4" w:space="0" w:color="auto"/>
              <w:right w:val="single" w:sz="4" w:space="0" w:color="auto"/>
            </w:tcBorders>
            <w:shd w:val="clear" w:color="auto" w:fill="auto"/>
            <w:noWrap/>
            <w:hideMark/>
          </w:tcPr>
          <w:p w14:paraId="288AE932"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113,7</w:t>
            </w:r>
            <w:r w:rsidRPr="00DB06B9">
              <w:rPr>
                <w:rFonts w:ascii="Times New Roman" w:eastAsia="Times New Roman" w:hAnsi="Times New Roman" w:cs="Times New Roman"/>
                <w:bCs/>
                <w:sz w:val="24"/>
                <w:szCs w:val="24"/>
              </w:rPr>
              <w:t>%</w:t>
            </w:r>
          </w:p>
        </w:tc>
      </w:tr>
      <w:tr w:rsidR="003F4CFF" w:rsidRPr="009660AD" w14:paraId="558E1A1A" w14:textId="77777777" w:rsidTr="001130F2">
        <w:trPr>
          <w:trHeight w:val="20"/>
        </w:trPr>
        <w:tc>
          <w:tcPr>
            <w:tcW w:w="357" w:type="pct"/>
            <w:tcBorders>
              <w:top w:val="nil"/>
              <w:left w:val="single" w:sz="4" w:space="0" w:color="auto"/>
              <w:bottom w:val="single" w:sz="4" w:space="0" w:color="auto"/>
              <w:right w:val="single" w:sz="4" w:space="0" w:color="auto"/>
            </w:tcBorders>
          </w:tcPr>
          <w:p w14:paraId="2E1E7D7D" w14:textId="77777777" w:rsidR="003F4CFF" w:rsidRPr="009660AD"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A23381">
              <w:rPr>
                <w:rFonts w:ascii="Times New Roman" w:eastAsia="Times New Roman" w:hAnsi="Times New Roman" w:cs="Times New Roman"/>
                <w:sz w:val="24"/>
                <w:szCs w:val="24"/>
              </w:rPr>
              <w:t>.</w:t>
            </w:r>
          </w:p>
        </w:tc>
        <w:tc>
          <w:tcPr>
            <w:tcW w:w="1573" w:type="pct"/>
            <w:tcBorders>
              <w:top w:val="nil"/>
              <w:left w:val="single" w:sz="4" w:space="0" w:color="auto"/>
              <w:bottom w:val="single" w:sz="4" w:space="0" w:color="auto"/>
              <w:right w:val="single" w:sz="4" w:space="0" w:color="auto"/>
            </w:tcBorders>
            <w:shd w:val="clear" w:color="auto" w:fill="auto"/>
            <w:hideMark/>
          </w:tcPr>
          <w:p w14:paraId="62C0EFDC"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Государственная п</w:t>
            </w:r>
            <w:r>
              <w:rPr>
                <w:rFonts w:ascii="Times New Roman" w:eastAsia="Times New Roman" w:hAnsi="Times New Roman" w:cs="Times New Roman"/>
                <w:sz w:val="24"/>
                <w:szCs w:val="24"/>
              </w:rPr>
              <w:t>рограмма Новосибирской области «</w:t>
            </w:r>
            <w:r w:rsidRPr="009660AD">
              <w:rPr>
                <w:rFonts w:ascii="Times New Roman" w:eastAsia="Times New Roman" w:hAnsi="Times New Roman" w:cs="Times New Roman"/>
                <w:sz w:val="24"/>
                <w:szCs w:val="24"/>
              </w:rPr>
              <w:t>Региональная программа развития среднего профессионального об</w:t>
            </w:r>
            <w:r>
              <w:rPr>
                <w:rFonts w:ascii="Times New Roman" w:eastAsia="Times New Roman" w:hAnsi="Times New Roman" w:cs="Times New Roman"/>
                <w:sz w:val="24"/>
                <w:szCs w:val="24"/>
              </w:rPr>
              <w:t>разования Новосибирской области»</w:t>
            </w:r>
          </w:p>
        </w:tc>
        <w:tc>
          <w:tcPr>
            <w:tcW w:w="824" w:type="pct"/>
            <w:tcBorders>
              <w:top w:val="nil"/>
              <w:left w:val="nil"/>
              <w:bottom w:val="single" w:sz="4" w:space="0" w:color="auto"/>
              <w:right w:val="single" w:sz="4" w:space="0" w:color="auto"/>
            </w:tcBorders>
            <w:shd w:val="clear" w:color="auto" w:fill="auto"/>
            <w:noWrap/>
            <w:hideMark/>
          </w:tcPr>
          <w:p w14:paraId="1EBEC7C1"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2 952 320,3</w:t>
            </w:r>
          </w:p>
        </w:tc>
        <w:tc>
          <w:tcPr>
            <w:tcW w:w="1049" w:type="pct"/>
            <w:tcBorders>
              <w:top w:val="nil"/>
              <w:left w:val="nil"/>
              <w:bottom w:val="single" w:sz="4" w:space="0" w:color="auto"/>
              <w:right w:val="single" w:sz="4" w:space="0" w:color="auto"/>
            </w:tcBorders>
            <w:shd w:val="clear" w:color="auto" w:fill="auto"/>
            <w:noWrap/>
            <w:hideMark/>
          </w:tcPr>
          <w:p w14:paraId="1802021F"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3 322 353,8</w:t>
            </w:r>
          </w:p>
        </w:tc>
        <w:tc>
          <w:tcPr>
            <w:tcW w:w="1198" w:type="pct"/>
            <w:tcBorders>
              <w:top w:val="nil"/>
              <w:left w:val="nil"/>
              <w:bottom w:val="single" w:sz="4" w:space="0" w:color="auto"/>
              <w:right w:val="single" w:sz="4" w:space="0" w:color="auto"/>
            </w:tcBorders>
            <w:shd w:val="clear" w:color="auto" w:fill="auto"/>
            <w:noWrap/>
            <w:hideMark/>
          </w:tcPr>
          <w:p w14:paraId="20180BEC"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112,5</w:t>
            </w:r>
            <w:r w:rsidRPr="00DB06B9">
              <w:rPr>
                <w:rFonts w:ascii="Times New Roman" w:eastAsia="Times New Roman" w:hAnsi="Times New Roman" w:cs="Times New Roman"/>
                <w:bCs/>
                <w:sz w:val="24"/>
                <w:szCs w:val="24"/>
              </w:rPr>
              <w:t>%</w:t>
            </w:r>
          </w:p>
        </w:tc>
      </w:tr>
      <w:tr w:rsidR="003F4CFF" w:rsidRPr="009660AD" w14:paraId="5E9F91E8" w14:textId="77777777" w:rsidTr="001130F2">
        <w:trPr>
          <w:trHeight w:val="20"/>
        </w:trPr>
        <w:tc>
          <w:tcPr>
            <w:tcW w:w="357" w:type="pct"/>
            <w:tcBorders>
              <w:top w:val="nil"/>
              <w:left w:val="single" w:sz="4" w:space="0" w:color="auto"/>
              <w:bottom w:val="single" w:sz="4" w:space="0" w:color="auto"/>
              <w:right w:val="single" w:sz="4" w:space="0" w:color="auto"/>
            </w:tcBorders>
          </w:tcPr>
          <w:p w14:paraId="478C2838" w14:textId="77777777" w:rsidR="003F4CFF" w:rsidRPr="009660AD"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A23381">
              <w:rPr>
                <w:rFonts w:ascii="Times New Roman" w:eastAsia="Times New Roman" w:hAnsi="Times New Roman" w:cs="Times New Roman"/>
                <w:sz w:val="24"/>
                <w:szCs w:val="24"/>
              </w:rPr>
              <w:t>.</w:t>
            </w:r>
          </w:p>
        </w:tc>
        <w:tc>
          <w:tcPr>
            <w:tcW w:w="1573" w:type="pct"/>
            <w:tcBorders>
              <w:top w:val="nil"/>
              <w:left w:val="single" w:sz="4" w:space="0" w:color="auto"/>
              <w:bottom w:val="single" w:sz="4" w:space="0" w:color="auto"/>
              <w:right w:val="single" w:sz="4" w:space="0" w:color="auto"/>
            </w:tcBorders>
            <w:shd w:val="clear" w:color="auto" w:fill="auto"/>
            <w:hideMark/>
          </w:tcPr>
          <w:p w14:paraId="66EFBED6"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 xml:space="preserve">Государственная программа Новосибирской области </w:t>
            </w:r>
            <w:r>
              <w:rPr>
                <w:rFonts w:ascii="Times New Roman" w:eastAsia="Times New Roman" w:hAnsi="Times New Roman" w:cs="Times New Roman"/>
                <w:sz w:val="24"/>
                <w:szCs w:val="24"/>
              </w:rPr>
              <w:t>«</w:t>
            </w:r>
            <w:r w:rsidRPr="009660AD">
              <w:rPr>
                <w:rFonts w:ascii="Times New Roman" w:eastAsia="Times New Roman" w:hAnsi="Times New Roman" w:cs="Times New Roman"/>
                <w:sz w:val="24"/>
                <w:szCs w:val="24"/>
              </w:rPr>
              <w:t>Развитие системы социальной поддержки населения и улучшение социального положения семей с</w:t>
            </w:r>
            <w:r>
              <w:rPr>
                <w:rFonts w:ascii="Times New Roman" w:eastAsia="Times New Roman" w:hAnsi="Times New Roman" w:cs="Times New Roman"/>
                <w:sz w:val="24"/>
                <w:szCs w:val="24"/>
              </w:rPr>
              <w:t xml:space="preserve"> детьми в Новосибирской области»</w:t>
            </w:r>
          </w:p>
        </w:tc>
        <w:tc>
          <w:tcPr>
            <w:tcW w:w="824" w:type="pct"/>
            <w:tcBorders>
              <w:top w:val="nil"/>
              <w:left w:val="nil"/>
              <w:bottom w:val="single" w:sz="4" w:space="0" w:color="auto"/>
              <w:right w:val="single" w:sz="4" w:space="0" w:color="auto"/>
            </w:tcBorders>
            <w:shd w:val="clear" w:color="auto" w:fill="auto"/>
            <w:noWrap/>
            <w:hideMark/>
          </w:tcPr>
          <w:p w14:paraId="1679176C"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20 478 595,6</w:t>
            </w:r>
          </w:p>
        </w:tc>
        <w:tc>
          <w:tcPr>
            <w:tcW w:w="1049" w:type="pct"/>
            <w:tcBorders>
              <w:top w:val="nil"/>
              <w:left w:val="nil"/>
              <w:bottom w:val="single" w:sz="4" w:space="0" w:color="auto"/>
              <w:right w:val="single" w:sz="4" w:space="0" w:color="auto"/>
            </w:tcBorders>
            <w:shd w:val="clear" w:color="auto" w:fill="auto"/>
            <w:noWrap/>
            <w:hideMark/>
          </w:tcPr>
          <w:p w14:paraId="3E84517E" w14:textId="77777777" w:rsidR="003F4CFF" w:rsidRPr="009660AD" w:rsidRDefault="003F4CFF" w:rsidP="003F4CFF">
            <w:pPr>
              <w:rPr>
                <w:rFonts w:ascii="Times New Roman" w:eastAsia="Times New Roman" w:hAnsi="Times New Roman" w:cs="Times New Roman"/>
                <w:sz w:val="24"/>
                <w:szCs w:val="24"/>
              </w:rPr>
            </w:pPr>
            <w:r w:rsidRPr="009660AD">
              <w:rPr>
                <w:rFonts w:ascii="Times New Roman" w:eastAsia="Times New Roman" w:hAnsi="Times New Roman" w:cs="Times New Roman"/>
                <w:sz w:val="24"/>
                <w:szCs w:val="24"/>
              </w:rPr>
              <w:t>22 261 729,8</w:t>
            </w:r>
          </w:p>
        </w:tc>
        <w:tc>
          <w:tcPr>
            <w:tcW w:w="1198" w:type="pct"/>
            <w:tcBorders>
              <w:top w:val="nil"/>
              <w:left w:val="nil"/>
              <w:bottom w:val="single" w:sz="4" w:space="0" w:color="auto"/>
              <w:right w:val="single" w:sz="4" w:space="0" w:color="auto"/>
            </w:tcBorders>
            <w:shd w:val="clear" w:color="auto" w:fill="auto"/>
            <w:noWrap/>
            <w:hideMark/>
          </w:tcPr>
          <w:p w14:paraId="75371EA5" w14:textId="77777777" w:rsidR="003F4CFF" w:rsidRPr="009660AD" w:rsidRDefault="003F4CFF" w:rsidP="003F4CFF">
            <w:pPr>
              <w:rPr>
                <w:rFonts w:ascii="Times New Roman" w:eastAsia="Times New Roman" w:hAnsi="Times New Roman" w:cs="Times New Roman"/>
                <w:bCs/>
                <w:sz w:val="24"/>
                <w:szCs w:val="24"/>
              </w:rPr>
            </w:pPr>
            <w:r w:rsidRPr="009660AD">
              <w:rPr>
                <w:rFonts w:ascii="Times New Roman" w:eastAsia="Times New Roman" w:hAnsi="Times New Roman" w:cs="Times New Roman"/>
                <w:bCs/>
                <w:sz w:val="24"/>
                <w:szCs w:val="24"/>
              </w:rPr>
              <w:t>108,7</w:t>
            </w:r>
            <w:r w:rsidRPr="00DB06B9">
              <w:rPr>
                <w:rFonts w:ascii="Times New Roman" w:eastAsia="Times New Roman" w:hAnsi="Times New Roman" w:cs="Times New Roman"/>
                <w:bCs/>
                <w:sz w:val="24"/>
                <w:szCs w:val="24"/>
              </w:rPr>
              <w:t>%</w:t>
            </w:r>
          </w:p>
        </w:tc>
      </w:tr>
    </w:tbl>
    <w:p w14:paraId="2AAD55C3" w14:textId="77777777" w:rsidR="003F4CFF" w:rsidRDefault="003F4CFF" w:rsidP="003F4CFF">
      <w:pPr>
        <w:tabs>
          <w:tab w:val="left" w:pos="1044"/>
        </w:tabs>
        <w:ind w:firstLine="567"/>
        <w:jc w:val="both"/>
        <w:rPr>
          <w:rFonts w:ascii="Times New Roman" w:hAnsi="Times New Roman" w:cs="Times New Roman"/>
          <w:sz w:val="28"/>
          <w:szCs w:val="28"/>
        </w:rPr>
      </w:pPr>
    </w:p>
    <w:p w14:paraId="56BFE391" w14:textId="1EE7E2E6" w:rsidR="003F4CFF" w:rsidRDefault="003F4CFF" w:rsidP="003F4CFF">
      <w:pPr>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Финансирование по государственным программам Новосибирской области было направлено не только на развитие товарных рынков в целом, но и на поддержку негосударственных организаций.</w:t>
      </w:r>
    </w:p>
    <w:p w14:paraId="1A8A27B1" w14:textId="77777777" w:rsidR="003F4CFF" w:rsidRPr="00FB0A75" w:rsidRDefault="003F4CFF" w:rsidP="00DD6A87">
      <w:pPr>
        <w:autoSpaceDE w:val="0"/>
        <w:autoSpaceDN w:val="0"/>
        <w:adjustRightInd w:val="0"/>
        <w:ind w:firstLine="567"/>
        <w:jc w:val="both"/>
        <w:rPr>
          <w:rFonts w:ascii="Times New Roman" w:eastAsiaTheme="minorHAnsi" w:hAnsi="Times New Roman" w:cs="Times New Roman"/>
          <w:sz w:val="28"/>
          <w:szCs w:val="28"/>
        </w:rPr>
      </w:pPr>
      <w:r w:rsidRPr="00334C54">
        <w:rPr>
          <w:rFonts w:ascii="Times New Roman" w:hAnsi="Times New Roman" w:cs="Times New Roman"/>
          <w:b/>
          <w:sz w:val="28"/>
          <w:szCs w:val="28"/>
        </w:rPr>
        <w:t>Транспортное обслуживание населения.</w:t>
      </w:r>
      <w:r w:rsidR="000821EE" w:rsidRPr="000821EE">
        <w:rPr>
          <w:rFonts w:ascii="Times New Roman" w:hAnsi="Times New Roman" w:cs="Times New Roman"/>
          <w:sz w:val="28"/>
          <w:szCs w:val="28"/>
        </w:rPr>
        <w:t> </w:t>
      </w:r>
      <w:r>
        <w:rPr>
          <w:rFonts w:ascii="Times New Roman" w:hAnsi="Times New Roman" w:cs="Times New Roman"/>
          <w:sz w:val="28"/>
          <w:szCs w:val="28"/>
        </w:rPr>
        <w:t>В</w:t>
      </w:r>
      <w:r w:rsidRPr="00334C54">
        <w:rPr>
          <w:rFonts w:ascii="Times New Roman" w:hAnsi="Times New Roman" w:cs="Times New Roman"/>
          <w:sz w:val="28"/>
          <w:szCs w:val="28"/>
        </w:rPr>
        <w:t xml:space="preserve"> рамках государственной программы «Обеспечение доступности услуг общественного пассажирского транспорта, в том числе Новосибирского метрополитена, для населения Новосибирской области», у</w:t>
      </w:r>
      <w:r w:rsidR="00FB0A75">
        <w:rPr>
          <w:rFonts w:ascii="Times New Roman" w:hAnsi="Times New Roman" w:cs="Times New Roman"/>
          <w:sz w:val="28"/>
          <w:szCs w:val="28"/>
        </w:rPr>
        <w:t>твержденной</w:t>
      </w:r>
      <w:r w:rsidRPr="00334C54">
        <w:rPr>
          <w:rFonts w:ascii="Times New Roman" w:hAnsi="Times New Roman" w:cs="Times New Roman"/>
          <w:sz w:val="28"/>
          <w:szCs w:val="28"/>
        </w:rPr>
        <w:t xml:space="preserve"> постановлением Правите</w:t>
      </w:r>
      <w:r w:rsidR="000821EE">
        <w:rPr>
          <w:rFonts w:ascii="Times New Roman" w:hAnsi="Times New Roman" w:cs="Times New Roman"/>
          <w:sz w:val="28"/>
          <w:szCs w:val="28"/>
        </w:rPr>
        <w:t>льства Новосибирской области от 24.02.2014 № </w:t>
      </w:r>
      <w:r w:rsidRPr="00334C54">
        <w:rPr>
          <w:rFonts w:ascii="Times New Roman" w:hAnsi="Times New Roman" w:cs="Times New Roman"/>
          <w:sz w:val="28"/>
          <w:szCs w:val="28"/>
        </w:rPr>
        <w:t xml:space="preserve">83-п </w:t>
      </w:r>
      <w:r w:rsidR="00FB0A75">
        <w:rPr>
          <w:rFonts w:ascii="Times New Roman" w:eastAsiaTheme="minorHAnsi" w:hAnsi="Times New Roman" w:cs="Times New Roman"/>
          <w:sz w:val="28"/>
          <w:szCs w:val="28"/>
        </w:rPr>
        <w:t xml:space="preserve">«Об утверждении государственной программы Новосибирской области «Обеспечение доступности услуг </w:t>
      </w:r>
      <w:r w:rsidR="00FB0A75">
        <w:rPr>
          <w:rFonts w:ascii="Times New Roman" w:eastAsiaTheme="minorHAnsi" w:hAnsi="Times New Roman" w:cs="Times New Roman"/>
          <w:sz w:val="28"/>
          <w:szCs w:val="28"/>
        </w:rPr>
        <w:lastRenderedPageBreak/>
        <w:t>общественного пассажирского транспорта, в том числе Новосибирского метрополитена, для населения Новосибирской области»</w:t>
      </w:r>
      <w:r w:rsidRPr="00334C54">
        <w:rPr>
          <w:rFonts w:ascii="Times New Roman" w:hAnsi="Times New Roman" w:cs="Times New Roman"/>
          <w:sz w:val="28"/>
          <w:szCs w:val="28"/>
        </w:rPr>
        <w:t>:</w:t>
      </w:r>
    </w:p>
    <w:p w14:paraId="41216800" w14:textId="77777777" w:rsidR="003F4CFF" w:rsidRPr="00334C54" w:rsidRDefault="000821EE" w:rsidP="003F4CFF">
      <w:pPr>
        <w:tabs>
          <w:tab w:val="left" w:pos="0"/>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с </w:t>
      </w:r>
      <w:r w:rsidR="003F4CFF" w:rsidRPr="00334C54">
        <w:rPr>
          <w:rFonts w:ascii="Times New Roman" w:hAnsi="Times New Roman" w:cs="Times New Roman"/>
          <w:sz w:val="28"/>
          <w:szCs w:val="28"/>
        </w:rPr>
        <w:t>01.01.2019 на 8,6% увеличен норматив удельных затрат на пассажирские перевозки автомобильным транспортом с учетом дорожных условий по районам Новосибирской области и пригородным зонам городских округов, в соответствии с предельным максима</w:t>
      </w:r>
      <w:r w:rsidR="00584796">
        <w:rPr>
          <w:rFonts w:ascii="Times New Roman" w:hAnsi="Times New Roman" w:cs="Times New Roman"/>
          <w:sz w:val="28"/>
          <w:szCs w:val="28"/>
        </w:rPr>
        <w:t>льным тарифом в размере 2,2 рублей</w:t>
      </w:r>
      <w:r>
        <w:rPr>
          <w:rFonts w:ascii="Times New Roman" w:hAnsi="Times New Roman" w:cs="Times New Roman"/>
          <w:sz w:val="28"/>
          <w:szCs w:val="28"/>
        </w:rPr>
        <w:t>/1 </w:t>
      </w:r>
      <w:r w:rsidR="003F4CFF" w:rsidRPr="00334C54">
        <w:rPr>
          <w:rFonts w:ascii="Times New Roman" w:hAnsi="Times New Roman" w:cs="Times New Roman"/>
          <w:sz w:val="28"/>
          <w:szCs w:val="28"/>
        </w:rPr>
        <w:t>пасс-км, установленным приказом департамента по т</w:t>
      </w:r>
      <w:r>
        <w:rPr>
          <w:rFonts w:ascii="Times New Roman" w:hAnsi="Times New Roman" w:cs="Times New Roman"/>
          <w:sz w:val="28"/>
          <w:szCs w:val="28"/>
        </w:rPr>
        <w:t>арифам Новосибирской области от 13.11.2018 № </w:t>
      </w:r>
      <w:r w:rsidR="003F4CFF" w:rsidRPr="00334C54">
        <w:rPr>
          <w:rFonts w:ascii="Times New Roman" w:hAnsi="Times New Roman" w:cs="Times New Roman"/>
          <w:sz w:val="28"/>
          <w:szCs w:val="28"/>
        </w:rPr>
        <w:t>346-ТС «Об установлении регулируемых тарифов на перевозки по муниципальным и межмуниципальным маршрутам регулярных перевозок пассажиров и багажа автомобильным и городским наземным электрическим транспортом, тарифов на перевозки пассажиров и багажа метрополитеном на территории Новосибирской области»;</w:t>
      </w:r>
    </w:p>
    <w:p w14:paraId="399F9268" w14:textId="77777777" w:rsidR="003F4CFF" w:rsidRPr="00334C54" w:rsidRDefault="000821EE" w:rsidP="003F4CFF">
      <w:pPr>
        <w:tabs>
          <w:tab w:val="left" w:pos="0"/>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с </w:t>
      </w:r>
      <w:r w:rsidR="003F4CFF" w:rsidRPr="00334C54">
        <w:rPr>
          <w:rFonts w:ascii="Times New Roman" w:hAnsi="Times New Roman" w:cs="Times New Roman"/>
          <w:sz w:val="28"/>
          <w:szCs w:val="28"/>
        </w:rPr>
        <w:t>01.12.2018 на 15,8% увеличен размер возмещения перевозчикам суммы сверх стоимости специального проездного билета, применяемой для расчета субсидий, в соответствии с ростом регулируемых тарифов на перевозки по муниципальным и межмуниципальным маршрутам регулярных перевозок пассажиров и багажа автомобильным и городским наземным электрическим транспортом и тарифов на перевозки пассажиров и багажа метрополитеном на территории Новосибирской области;</w:t>
      </w:r>
    </w:p>
    <w:p w14:paraId="39C0616B" w14:textId="77777777" w:rsidR="003F4CFF" w:rsidRPr="00334C54" w:rsidRDefault="000821EE" w:rsidP="003F4CFF">
      <w:pPr>
        <w:tabs>
          <w:tab w:val="left" w:pos="0"/>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с </w:t>
      </w:r>
      <w:r w:rsidR="003F4CFF" w:rsidRPr="00334C54">
        <w:rPr>
          <w:rFonts w:ascii="Times New Roman" w:hAnsi="Times New Roman" w:cs="Times New Roman"/>
          <w:sz w:val="28"/>
          <w:szCs w:val="28"/>
        </w:rPr>
        <w:t>22.02.2019 на 15,8% ув</w:t>
      </w:r>
      <w:r w:rsidR="00053A40">
        <w:rPr>
          <w:rFonts w:ascii="Times New Roman" w:hAnsi="Times New Roman" w:cs="Times New Roman"/>
          <w:sz w:val="28"/>
          <w:szCs w:val="28"/>
        </w:rPr>
        <w:t>еличен размер суммы стоимости 1 </w:t>
      </w:r>
      <w:r w:rsidR="003F4CFF" w:rsidRPr="00334C54">
        <w:rPr>
          <w:rFonts w:ascii="Times New Roman" w:hAnsi="Times New Roman" w:cs="Times New Roman"/>
          <w:sz w:val="28"/>
          <w:szCs w:val="28"/>
        </w:rPr>
        <w:t xml:space="preserve">пассажиро-километра, применяемой для расчета субсидии в целях возмещения недополученных доходов перевозчиков за совершенные поездки гражданами, имеющими право льготного проезда по предъявлении </w:t>
      </w:r>
      <w:r w:rsidR="00E50ED4">
        <w:rPr>
          <w:rFonts w:ascii="Times New Roman" w:hAnsi="Times New Roman" w:cs="Times New Roman"/>
          <w:sz w:val="28"/>
          <w:szCs w:val="28"/>
        </w:rPr>
        <w:t>единого социального проездного билета (</w:t>
      </w:r>
      <w:r w:rsidR="00AA357F">
        <w:rPr>
          <w:rFonts w:ascii="Times New Roman" w:hAnsi="Times New Roman" w:cs="Times New Roman"/>
          <w:sz w:val="28"/>
          <w:szCs w:val="28"/>
        </w:rPr>
        <w:t xml:space="preserve">далее – </w:t>
      </w:r>
      <w:r w:rsidR="00E50ED4">
        <w:rPr>
          <w:rFonts w:ascii="Times New Roman" w:hAnsi="Times New Roman" w:cs="Times New Roman"/>
          <w:sz w:val="28"/>
          <w:szCs w:val="28"/>
        </w:rPr>
        <w:t>ЕСПБ)</w:t>
      </w:r>
      <w:r w:rsidR="003F4CFF" w:rsidRPr="00334C54">
        <w:rPr>
          <w:rFonts w:ascii="Times New Roman" w:hAnsi="Times New Roman" w:cs="Times New Roman"/>
          <w:sz w:val="28"/>
          <w:szCs w:val="28"/>
        </w:rPr>
        <w:t xml:space="preserve"> либо </w:t>
      </w:r>
      <w:r w:rsidR="00E50ED4">
        <w:rPr>
          <w:rFonts w:ascii="Times New Roman" w:hAnsi="Times New Roman" w:cs="Times New Roman"/>
          <w:sz w:val="28"/>
          <w:szCs w:val="28"/>
        </w:rPr>
        <w:t>муниципальной проездной карты</w:t>
      </w:r>
      <w:r w:rsidR="00AB54F7">
        <w:rPr>
          <w:rFonts w:ascii="Times New Roman" w:hAnsi="Times New Roman" w:cs="Times New Roman"/>
          <w:sz w:val="28"/>
          <w:szCs w:val="28"/>
        </w:rPr>
        <w:t xml:space="preserve"> (</w:t>
      </w:r>
      <w:r w:rsidR="00AA357F">
        <w:rPr>
          <w:rFonts w:ascii="Times New Roman" w:hAnsi="Times New Roman" w:cs="Times New Roman"/>
          <w:sz w:val="28"/>
          <w:szCs w:val="28"/>
        </w:rPr>
        <w:t xml:space="preserve">далее – </w:t>
      </w:r>
      <w:r w:rsidR="00AB54F7">
        <w:rPr>
          <w:rFonts w:ascii="Times New Roman" w:hAnsi="Times New Roman" w:cs="Times New Roman"/>
          <w:sz w:val="28"/>
          <w:szCs w:val="28"/>
        </w:rPr>
        <w:t>МПК)</w:t>
      </w:r>
      <w:r w:rsidR="003F4CFF" w:rsidRPr="00334C54">
        <w:rPr>
          <w:rFonts w:ascii="Times New Roman" w:hAnsi="Times New Roman" w:cs="Times New Roman"/>
          <w:sz w:val="28"/>
          <w:szCs w:val="28"/>
        </w:rPr>
        <w:t xml:space="preserve"> автомобильным транспортом по межмуниципальным маршрутам регулярных перевозок во внутриобластном сообщении на территории Новосибирской области;</w:t>
      </w:r>
    </w:p>
    <w:p w14:paraId="24662435" w14:textId="77777777" w:rsidR="003F4CFF" w:rsidRPr="00334C54" w:rsidRDefault="003F4CFF" w:rsidP="003F4CFF">
      <w:pPr>
        <w:tabs>
          <w:tab w:val="left" w:pos="0"/>
        </w:tabs>
        <w:autoSpaceDE w:val="0"/>
        <w:autoSpaceDN w:val="0"/>
        <w:adjustRightInd w:val="0"/>
        <w:ind w:firstLine="567"/>
        <w:jc w:val="both"/>
        <w:rPr>
          <w:rFonts w:ascii="Times New Roman" w:hAnsi="Times New Roman" w:cs="Times New Roman"/>
          <w:sz w:val="28"/>
          <w:szCs w:val="28"/>
        </w:rPr>
      </w:pPr>
      <w:r w:rsidRPr="00334C54">
        <w:rPr>
          <w:rFonts w:ascii="Times New Roman" w:hAnsi="Times New Roman" w:cs="Times New Roman"/>
          <w:sz w:val="28"/>
          <w:szCs w:val="28"/>
        </w:rPr>
        <w:t>повышен с 10% до 20% коэффициент увеличения субсидии в целях возмещения стоимости приобретения одной единицы автобуса, на котором в качестве топлива применяется компримированный природный газ (метан)</w:t>
      </w:r>
      <w:r w:rsidR="00261CB1">
        <w:rPr>
          <w:rFonts w:ascii="Times New Roman" w:hAnsi="Times New Roman" w:cs="Times New Roman"/>
          <w:sz w:val="28"/>
          <w:szCs w:val="28"/>
        </w:rPr>
        <w:t>,</w:t>
      </w:r>
      <w:r w:rsidRPr="00334C54">
        <w:rPr>
          <w:rFonts w:ascii="Times New Roman" w:hAnsi="Times New Roman" w:cs="Times New Roman"/>
          <w:sz w:val="28"/>
          <w:szCs w:val="28"/>
        </w:rPr>
        <w:t xml:space="preserve"> для расчета размера субсидии, предоставляемой из областного бюджета Новосибирской области местному бюджету на софинансирование расходных обязательств по приобретению автобусов – максимальный размер софинансирования из областного бюджета приобретения муниципальным образованием низкопольного автобуса на компримированном газе – 80%;</w:t>
      </w:r>
    </w:p>
    <w:p w14:paraId="7D87D307" w14:textId="77777777" w:rsidR="003F4CFF" w:rsidRPr="00334C54" w:rsidRDefault="003F4CFF" w:rsidP="003F4CFF">
      <w:pPr>
        <w:tabs>
          <w:tab w:val="left" w:pos="0"/>
        </w:tabs>
        <w:autoSpaceDE w:val="0"/>
        <w:autoSpaceDN w:val="0"/>
        <w:adjustRightInd w:val="0"/>
        <w:ind w:firstLine="567"/>
        <w:jc w:val="both"/>
        <w:rPr>
          <w:rFonts w:ascii="Times New Roman" w:hAnsi="Times New Roman" w:cs="Times New Roman"/>
          <w:sz w:val="28"/>
          <w:szCs w:val="28"/>
        </w:rPr>
      </w:pPr>
      <w:r w:rsidRPr="00334C54">
        <w:rPr>
          <w:rFonts w:ascii="Times New Roman" w:hAnsi="Times New Roman" w:cs="Times New Roman"/>
          <w:sz w:val="28"/>
          <w:szCs w:val="28"/>
        </w:rPr>
        <w:t>введены мероприятия по созданию условий организациями пассажирского автомобильного транспорта (юридическими лицами или индивидуальными предпринимателями) и местным бюджетам для обновления (пополнения) автобусов для работы на межмуниципальных маршрутах регулярных перевозок по нерегулируемым тарифам (межгород) с перевозкой льготников;</w:t>
      </w:r>
    </w:p>
    <w:p w14:paraId="5EB7A236" w14:textId="77777777" w:rsidR="003F4CFF" w:rsidRPr="00334C54" w:rsidRDefault="003F4CFF" w:rsidP="003F4CFF">
      <w:pPr>
        <w:tabs>
          <w:tab w:val="left" w:pos="0"/>
        </w:tabs>
        <w:autoSpaceDE w:val="0"/>
        <w:autoSpaceDN w:val="0"/>
        <w:adjustRightInd w:val="0"/>
        <w:ind w:firstLine="567"/>
        <w:jc w:val="both"/>
        <w:rPr>
          <w:rFonts w:ascii="Times New Roman" w:hAnsi="Times New Roman" w:cs="Times New Roman"/>
          <w:sz w:val="28"/>
          <w:szCs w:val="28"/>
        </w:rPr>
      </w:pPr>
      <w:r w:rsidRPr="00334C54">
        <w:rPr>
          <w:rFonts w:ascii="Times New Roman" w:hAnsi="Times New Roman" w:cs="Times New Roman"/>
          <w:sz w:val="28"/>
          <w:szCs w:val="28"/>
        </w:rPr>
        <w:t xml:space="preserve">под контролем министерства </w:t>
      </w:r>
      <w:r w:rsidR="00261CB1" w:rsidRPr="00E77388">
        <w:rPr>
          <w:rFonts w:ascii="Times New Roman" w:hAnsi="Times New Roman" w:cs="Times New Roman"/>
          <w:sz w:val="28"/>
          <w:szCs w:val="28"/>
        </w:rPr>
        <w:t>транспорта и дорожного хозяйства Новосибирской области</w:t>
      </w:r>
      <w:r w:rsidR="00261CB1">
        <w:rPr>
          <w:rFonts w:ascii="Times New Roman" w:hAnsi="Times New Roman" w:cs="Times New Roman"/>
          <w:sz w:val="28"/>
          <w:szCs w:val="28"/>
        </w:rPr>
        <w:t xml:space="preserve"> </w:t>
      </w:r>
      <w:r w:rsidRPr="00334C54">
        <w:rPr>
          <w:rFonts w:ascii="Times New Roman" w:hAnsi="Times New Roman" w:cs="Times New Roman"/>
          <w:sz w:val="28"/>
          <w:szCs w:val="28"/>
        </w:rPr>
        <w:t>по состоянию на 31.12.2019 ликвидирована задолженность перевозчиков по уплате налогов и сборов, (основное условие предоставления субсидий из областного бюджета по субсидируе</w:t>
      </w:r>
      <w:r w:rsidR="00584796">
        <w:rPr>
          <w:rFonts w:ascii="Times New Roman" w:hAnsi="Times New Roman" w:cs="Times New Roman"/>
          <w:sz w:val="28"/>
          <w:szCs w:val="28"/>
        </w:rPr>
        <w:t xml:space="preserve">мым маршрутам), заключивших </w:t>
      </w:r>
      <w:r w:rsidR="00584796">
        <w:rPr>
          <w:rFonts w:ascii="Times New Roman" w:hAnsi="Times New Roman" w:cs="Times New Roman"/>
          <w:sz w:val="28"/>
          <w:szCs w:val="28"/>
        </w:rPr>
        <w:lastRenderedPageBreak/>
        <w:t>171 </w:t>
      </w:r>
      <w:r w:rsidRPr="00334C54">
        <w:rPr>
          <w:rFonts w:ascii="Times New Roman" w:hAnsi="Times New Roman" w:cs="Times New Roman"/>
          <w:sz w:val="28"/>
          <w:szCs w:val="28"/>
        </w:rPr>
        <w:t>договор о предоставлении субсидий в целях возмещения затрат и недополученных доходов;</w:t>
      </w:r>
    </w:p>
    <w:p w14:paraId="45D6D665" w14:textId="77777777" w:rsidR="003F4CFF" w:rsidRPr="00334C54" w:rsidRDefault="003F4CFF" w:rsidP="003F4CFF">
      <w:pPr>
        <w:tabs>
          <w:tab w:val="left" w:pos="0"/>
        </w:tabs>
        <w:autoSpaceDE w:val="0"/>
        <w:autoSpaceDN w:val="0"/>
        <w:adjustRightInd w:val="0"/>
        <w:ind w:firstLine="567"/>
        <w:jc w:val="both"/>
        <w:rPr>
          <w:rFonts w:ascii="Times New Roman" w:hAnsi="Times New Roman" w:cs="Times New Roman"/>
          <w:sz w:val="28"/>
          <w:szCs w:val="28"/>
        </w:rPr>
      </w:pPr>
      <w:r w:rsidRPr="00334C54">
        <w:rPr>
          <w:rFonts w:ascii="Times New Roman" w:hAnsi="Times New Roman" w:cs="Times New Roman"/>
          <w:sz w:val="28"/>
          <w:szCs w:val="28"/>
        </w:rPr>
        <w:t xml:space="preserve">под контролем министерства </w:t>
      </w:r>
      <w:r w:rsidR="00261CB1" w:rsidRPr="006B273C">
        <w:rPr>
          <w:rFonts w:ascii="Times New Roman" w:hAnsi="Times New Roman" w:cs="Times New Roman"/>
          <w:sz w:val="28"/>
          <w:szCs w:val="28"/>
        </w:rPr>
        <w:t>транспорта и дорожного хозяйства Новосибирской области</w:t>
      </w:r>
      <w:r w:rsidR="00261CB1" w:rsidRPr="00334C54">
        <w:rPr>
          <w:rFonts w:ascii="Times New Roman" w:hAnsi="Times New Roman" w:cs="Times New Roman"/>
          <w:sz w:val="28"/>
          <w:szCs w:val="28"/>
        </w:rPr>
        <w:t xml:space="preserve"> </w:t>
      </w:r>
      <w:r w:rsidRPr="00334C54">
        <w:rPr>
          <w:rFonts w:ascii="Times New Roman" w:hAnsi="Times New Roman" w:cs="Times New Roman"/>
          <w:sz w:val="28"/>
          <w:szCs w:val="28"/>
        </w:rPr>
        <w:t>перевозчиками по субсидируемым маршрутам соблюдено установление и выплата среднемесячного размера заработной платы водителей в 2019 году – не менее 24 050,0 рублей (установлено департаментом по тарифам Новосибирской области на 2019 год в плановых параметрах расчета предельных максимальных тарифов на перевозку пассажиров автомобильным транспортом в Новосибирской области).</w:t>
      </w:r>
    </w:p>
    <w:p w14:paraId="5DEBC64B" w14:textId="77777777" w:rsidR="003F4CFF" w:rsidRDefault="003F4CFF" w:rsidP="003F4CFF">
      <w:pPr>
        <w:tabs>
          <w:tab w:val="left" w:pos="0"/>
        </w:tabs>
        <w:autoSpaceDE w:val="0"/>
        <w:autoSpaceDN w:val="0"/>
        <w:adjustRightInd w:val="0"/>
        <w:ind w:firstLine="567"/>
        <w:jc w:val="both"/>
        <w:rPr>
          <w:rFonts w:ascii="Times New Roman" w:hAnsi="Times New Roman" w:cs="Times New Roman"/>
          <w:sz w:val="28"/>
          <w:szCs w:val="28"/>
        </w:rPr>
      </w:pPr>
      <w:r w:rsidRPr="00334C54">
        <w:rPr>
          <w:rFonts w:ascii="Times New Roman" w:hAnsi="Times New Roman" w:cs="Times New Roman"/>
          <w:sz w:val="28"/>
          <w:szCs w:val="28"/>
        </w:rPr>
        <w:t>За счет средств областного бюджета Новосибирской области в 2019 году по гос</w:t>
      </w:r>
      <w:r w:rsidR="00584796">
        <w:rPr>
          <w:rFonts w:ascii="Times New Roman" w:hAnsi="Times New Roman" w:cs="Times New Roman"/>
          <w:sz w:val="28"/>
          <w:szCs w:val="28"/>
        </w:rPr>
        <w:t xml:space="preserve">ударственной </w:t>
      </w:r>
      <w:r w:rsidRPr="00334C54">
        <w:rPr>
          <w:rFonts w:ascii="Times New Roman" w:hAnsi="Times New Roman" w:cs="Times New Roman"/>
          <w:sz w:val="28"/>
          <w:szCs w:val="28"/>
        </w:rPr>
        <w:t>пр</w:t>
      </w:r>
      <w:r>
        <w:rPr>
          <w:rFonts w:ascii="Times New Roman" w:hAnsi="Times New Roman" w:cs="Times New Roman"/>
          <w:sz w:val="28"/>
          <w:szCs w:val="28"/>
        </w:rPr>
        <w:t>ограмме осуществлено расходов 3 </w:t>
      </w:r>
      <w:r w:rsidR="000821EE">
        <w:rPr>
          <w:rFonts w:ascii="Times New Roman" w:hAnsi="Times New Roman" w:cs="Times New Roman"/>
          <w:sz w:val="28"/>
          <w:szCs w:val="28"/>
        </w:rPr>
        <w:t>390,0 </w:t>
      </w:r>
      <w:r w:rsidR="00584796">
        <w:rPr>
          <w:rFonts w:ascii="Times New Roman" w:hAnsi="Times New Roman" w:cs="Times New Roman"/>
          <w:sz w:val="28"/>
          <w:szCs w:val="28"/>
        </w:rPr>
        <w:t>млн. рублей (к </w:t>
      </w:r>
      <w:r w:rsidRPr="00334C54">
        <w:rPr>
          <w:rFonts w:ascii="Times New Roman" w:hAnsi="Times New Roman" w:cs="Times New Roman"/>
          <w:sz w:val="28"/>
          <w:szCs w:val="28"/>
        </w:rPr>
        <w:t>расход</w:t>
      </w:r>
      <w:r>
        <w:rPr>
          <w:rFonts w:ascii="Times New Roman" w:hAnsi="Times New Roman" w:cs="Times New Roman"/>
          <w:sz w:val="28"/>
          <w:szCs w:val="28"/>
        </w:rPr>
        <w:t>ам 2018 года</w:t>
      </w:r>
      <w:r w:rsidRPr="00334C54">
        <w:rPr>
          <w:rFonts w:ascii="Times New Roman" w:hAnsi="Times New Roman" w:cs="Times New Roman"/>
          <w:sz w:val="28"/>
          <w:szCs w:val="28"/>
        </w:rPr>
        <w:t xml:space="preserve"> темп роста составил 126%</w:t>
      </w:r>
      <w:r w:rsidR="000821EE">
        <w:rPr>
          <w:rFonts w:ascii="Times New Roman" w:hAnsi="Times New Roman" w:cs="Times New Roman"/>
          <w:sz w:val="28"/>
          <w:szCs w:val="28"/>
        </w:rPr>
        <w:t>)</w:t>
      </w:r>
      <w:r>
        <w:rPr>
          <w:rFonts w:ascii="Times New Roman" w:hAnsi="Times New Roman" w:cs="Times New Roman"/>
          <w:sz w:val="28"/>
          <w:szCs w:val="28"/>
        </w:rPr>
        <w:t>.</w:t>
      </w:r>
    </w:p>
    <w:p w14:paraId="392310C6" w14:textId="77777777" w:rsidR="003F4CFF" w:rsidRDefault="003F4CFF" w:rsidP="003F4CFF">
      <w:pPr>
        <w:tabs>
          <w:tab w:val="left" w:pos="0"/>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Финансирование было направлено</w:t>
      </w:r>
      <w:r w:rsidRPr="00334C54">
        <w:rPr>
          <w:rFonts w:ascii="Times New Roman" w:hAnsi="Times New Roman" w:cs="Times New Roman"/>
          <w:sz w:val="28"/>
          <w:szCs w:val="28"/>
        </w:rPr>
        <w:t xml:space="preserve"> </w:t>
      </w:r>
      <w:r>
        <w:rPr>
          <w:rFonts w:ascii="Times New Roman" w:hAnsi="Times New Roman" w:cs="Times New Roman"/>
          <w:sz w:val="28"/>
          <w:szCs w:val="28"/>
        </w:rPr>
        <w:t>на</w:t>
      </w:r>
      <w:r w:rsidRPr="00334C54">
        <w:rPr>
          <w:rFonts w:ascii="Times New Roman" w:hAnsi="Times New Roman" w:cs="Times New Roman"/>
          <w:sz w:val="28"/>
          <w:szCs w:val="28"/>
        </w:rPr>
        <w:t>:</w:t>
      </w:r>
    </w:p>
    <w:p w14:paraId="11475A7E" w14:textId="77777777" w:rsidR="003F4CFF" w:rsidRPr="00334C54" w:rsidRDefault="003F4CFF" w:rsidP="003F4CFF">
      <w:pPr>
        <w:tabs>
          <w:tab w:val="left" w:pos="0"/>
        </w:tabs>
        <w:autoSpaceDE w:val="0"/>
        <w:autoSpaceDN w:val="0"/>
        <w:adjustRightInd w:val="0"/>
        <w:ind w:firstLine="567"/>
        <w:jc w:val="both"/>
        <w:rPr>
          <w:rFonts w:ascii="Times New Roman" w:hAnsi="Times New Roman" w:cs="Times New Roman"/>
          <w:sz w:val="28"/>
          <w:szCs w:val="28"/>
        </w:rPr>
      </w:pPr>
      <w:r w:rsidRPr="00334C54">
        <w:rPr>
          <w:rFonts w:ascii="Times New Roman" w:hAnsi="Times New Roman" w:cs="Times New Roman"/>
          <w:sz w:val="28"/>
          <w:szCs w:val="28"/>
        </w:rPr>
        <w:t xml:space="preserve">оказание государственной поддержки перевозчиков пассажирского автомобильного, внутреннего водного, пригородного железнодорожного и воздушного транспорта в Новосибирской области для обеспечения перевозки пассажиров до отдаленных сельских населенных пунктов и развитие </w:t>
      </w:r>
      <w:r>
        <w:rPr>
          <w:rFonts w:ascii="Times New Roman" w:hAnsi="Times New Roman" w:cs="Times New Roman"/>
          <w:sz w:val="28"/>
          <w:szCs w:val="28"/>
        </w:rPr>
        <w:t>региональных авиаперевозок – 1 </w:t>
      </w:r>
      <w:r w:rsidRPr="00334C54">
        <w:rPr>
          <w:rFonts w:ascii="Times New Roman" w:hAnsi="Times New Roman" w:cs="Times New Roman"/>
          <w:sz w:val="28"/>
          <w:szCs w:val="28"/>
        </w:rPr>
        <w:t>092,1 млн. рублей (государственное регулирование тарифов);</w:t>
      </w:r>
    </w:p>
    <w:p w14:paraId="79675016" w14:textId="77777777" w:rsidR="003F4CFF" w:rsidRPr="00334C54" w:rsidRDefault="003F4CFF" w:rsidP="003F4CFF">
      <w:pPr>
        <w:tabs>
          <w:tab w:val="left" w:pos="0"/>
        </w:tabs>
        <w:autoSpaceDE w:val="0"/>
        <w:autoSpaceDN w:val="0"/>
        <w:adjustRightInd w:val="0"/>
        <w:ind w:firstLine="567"/>
        <w:jc w:val="both"/>
        <w:rPr>
          <w:rFonts w:ascii="Times New Roman" w:hAnsi="Times New Roman" w:cs="Times New Roman"/>
          <w:sz w:val="28"/>
          <w:szCs w:val="28"/>
        </w:rPr>
      </w:pPr>
      <w:r w:rsidRPr="00334C54">
        <w:rPr>
          <w:rFonts w:ascii="Times New Roman" w:hAnsi="Times New Roman" w:cs="Times New Roman"/>
          <w:sz w:val="28"/>
          <w:szCs w:val="28"/>
        </w:rPr>
        <w:t>оказание государственной поддержки перевозчиков, осуществляющих перевозку граждан, имеющих право на меры социальной поддержки при проезде на транспорте по предъявлению специального про</w:t>
      </w:r>
      <w:r>
        <w:rPr>
          <w:rFonts w:ascii="Times New Roman" w:hAnsi="Times New Roman" w:cs="Times New Roman"/>
          <w:sz w:val="28"/>
          <w:szCs w:val="28"/>
        </w:rPr>
        <w:t xml:space="preserve">ездного билета </w:t>
      </w:r>
      <w:r w:rsidRPr="00AB54F7">
        <w:rPr>
          <w:rFonts w:ascii="Times New Roman" w:hAnsi="Times New Roman" w:cs="Times New Roman"/>
          <w:sz w:val="28"/>
          <w:szCs w:val="28"/>
        </w:rPr>
        <w:t>(ЕСПБ и МПК</w:t>
      </w:r>
      <w:r>
        <w:rPr>
          <w:rFonts w:ascii="Times New Roman" w:hAnsi="Times New Roman" w:cs="Times New Roman"/>
          <w:sz w:val="28"/>
          <w:szCs w:val="28"/>
        </w:rPr>
        <w:t>) – 1 </w:t>
      </w:r>
      <w:r w:rsidRPr="00334C54">
        <w:rPr>
          <w:rFonts w:ascii="Times New Roman" w:hAnsi="Times New Roman" w:cs="Times New Roman"/>
          <w:sz w:val="28"/>
          <w:szCs w:val="28"/>
        </w:rPr>
        <w:t>711,8 млн. рублей (оплата поездок пассажиров льготных категорий);</w:t>
      </w:r>
    </w:p>
    <w:p w14:paraId="0B7864AA" w14:textId="77777777" w:rsidR="003F4CFF" w:rsidRPr="00334C54" w:rsidRDefault="003F4CFF" w:rsidP="003F4CFF">
      <w:pPr>
        <w:autoSpaceDE w:val="0"/>
        <w:autoSpaceDN w:val="0"/>
        <w:adjustRightInd w:val="0"/>
        <w:ind w:firstLine="567"/>
        <w:jc w:val="both"/>
        <w:rPr>
          <w:rFonts w:ascii="Times New Roman" w:hAnsi="Times New Roman" w:cs="Times New Roman"/>
          <w:sz w:val="28"/>
          <w:szCs w:val="28"/>
        </w:rPr>
      </w:pPr>
      <w:r w:rsidRPr="00334C54">
        <w:rPr>
          <w:rFonts w:ascii="Times New Roman" w:hAnsi="Times New Roman" w:cs="Times New Roman"/>
          <w:sz w:val="28"/>
          <w:szCs w:val="28"/>
        </w:rPr>
        <w:t xml:space="preserve">софинансирование приобретения подвижного состава общественного пассажирского транспорта для </w:t>
      </w:r>
      <w:r>
        <w:rPr>
          <w:rFonts w:ascii="Times New Roman" w:hAnsi="Times New Roman" w:cs="Times New Roman"/>
          <w:sz w:val="28"/>
          <w:szCs w:val="28"/>
        </w:rPr>
        <w:t xml:space="preserve">работы по регулируемым тарифам: </w:t>
      </w:r>
      <w:r w:rsidRPr="00334C54">
        <w:rPr>
          <w:rFonts w:ascii="Times New Roman" w:hAnsi="Times New Roman" w:cs="Times New Roman"/>
          <w:sz w:val="28"/>
          <w:szCs w:val="28"/>
        </w:rPr>
        <w:t xml:space="preserve">оказание государственной поддержки организаций пассажирского автомобильного транспорта </w:t>
      </w:r>
      <w:r w:rsidR="000821EE">
        <w:rPr>
          <w:rFonts w:ascii="Times New Roman" w:hAnsi="Times New Roman" w:cs="Times New Roman"/>
          <w:sz w:val="28"/>
          <w:szCs w:val="28"/>
        </w:rPr>
        <w:t>по приобретению (обновлению) 17 </w:t>
      </w:r>
      <w:r w:rsidRPr="00334C54">
        <w:rPr>
          <w:rFonts w:ascii="Times New Roman" w:hAnsi="Times New Roman" w:cs="Times New Roman"/>
          <w:sz w:val="28"/>
          <w:szCs w:val="28"/>
        </w:rPr>
        <w:t>автобусов для работы на муниципальных маршрутах регулярных перевозок в границах муниципальных районов и межмуниципальных маршрутах регулярных перевозок пригородного сообщения в сумме 10,5 млн. рублей из областного бюджета – 30% от стоимости автобусов; содействие местным бюджетам в приобретении 60 автобусов для работы на муниципальных маршрутах регулярных перевозок в сумме 73,7 млн. рублей из областного бюджета – 50% или 60% стоимости автобусов в зависимости от комплектации и характеристик автобусов.</w:t>
      </w:r>
    </w:p>
    <w:p w14:paraId="24BA8D39" w14:textId="77777777" w:rsidR="003F4CFF" w:rsidRPr="00334C54" w:rsidRDefault="003F4CFF" w:rsidP="003F4CFF">
      <w:pPr>
        <w:tabs>
          <w:tab w:val="left" w:pos="0"/>
        </w:tabs>
        <w:autoSpaceDE w:val="0"/>
        <w:autoSpaceDN w:val="0"/>
        <w:adjustRightInd w:val="0"/>
        <w:ind w:firstLine="567"/>
        <w:jc w:val="both"/>
        <w:rPr>
          <w:rFonts w:ascii="Times New Roman" w:hAnsi="Times New Roman" w:cs="Times New Roman"/>
          <w:sz w:val="28"/>
          <w:szCs w:val="28"/>
        </w:rPr>
      </w:pPr>
      <w:r w:rsidRPr="00334C54">
        <w:rPr>
          <w:rFonts w:ascii="Times New Roman" w:hAnsi="Times New Roman" w:cs="Times New Roman"/>
          <w:sz w:val="28"/>
          <w:szCs w:val="28"/>
        </w:rPr>
        <w:t>Реализация мероприятий государственной программы в 2019 году в части обновления парка подвижного состава общественного пассажирского транспорта на территории муниципальных районов Новосибирской области позволила снизить процент износа с 72,4% до 71,3%, тем самым повысить качество пассажирских перевозок, комфортабельность используемого подвижного состава пассажирского транспорта и стабильность транспортного обслуживания населения Новосибирской области.</w:t>
      </w:r>
    </w:p>
    <w:p w14:paraId="23C897C7" w14:textId="77777777" w:rsidR="003F4CFF" w:rsidRDefault="003F4CFF" w:rsidP="003F4CFF">
      <w:pPr>
        <w:tabs>
          <w:tab w:val="left" w:pos="0"/>
        </w:tabs>
        <w:autoSpaceDE w:val="0"/>
        <w:autoSpaceDN w:val="0"/>
        <w:adjustRightInd w:val="0"/>
        <w:ind w:firstLine="567"/>
        <w:jc w:val="both"/>
        <w:rPr>
          <w:rFonts w:ascii="Times New Roman" w:hAnsi="Times New Roman" w:cs="Times New Roman"/>
          <w:sz w:val="28"/>
          <w:szCs w:val="28"/>
        </w:rPr>
      </w:pPr>
      <w:r w:rsidRPr="00334C54">
        <w:rPr>
          <w:rFonts w:ascii="Times New Roman" w:hAnsi="Times New Roman" w:cs="Times New Roman"/>
          <w:sz w:val="28"/>
          <w:szCs w:val="28"/>
        </w:rPr>
        <w:t>Ежегодно при формировании бюджета на очередной год и плановый период предусмотрено увеличение субсидий перевозчикам по всем видам сообщений с учетом индекса дефлятора.</w:t>
      </w:r>
    </w:p>
    <w:p w14:paraId="61737F7D" w14:textId="77777777" w:rsidR="003F4CFF" w:rsidRPr="00334C54" w:rsidRDefault="003F4CFF" w:rsidP="003F4CFF">
      <w:pPr>
        <w:tabs>
          <w:tab w:val="left" w:pos="0"/>
        </w:tabs>
        <w:autoSpaceDE w:val="0"/>
        <w:autoSpaceDN w:val="0"/>
        <w:adjustRightInd w:val="0"/>
        <w:ind w:firstLine="567"/>
        <w:jc w:val="both"/>
        <w:rPr>
          <w:rFonts w:ascii="Times New Roman" w:hAnsi="Times New Roman" w:cs="Times New Roman"/>
          <w:b/>
          <w:sz w:val="28"/>
          <w:szCs w:val="28"/>
        </w:rPr>
      </w:pPr>
      <w:r w:rsidRPr="00334C54">
        <w:rPr>
          <w:rFonts w:ascii="Times New Roman" w:hAnsi="Times New Roman" w:cs="Times New Roman"/>
          <w:b/>
          <w:sz w:val="28"/>
          <w:szCs w:val="28"/>
        </w:rPr>
        <w:lastRenderedPageBreak/>
        <w:t>Образование.</w:t>
      </w:r>
      <w:r w:rsidR="000821EE" w:rsidRPr="000821EE">
        <w:rPr>
          <w:rFonts w:ascii="Times New Roman" w:hAnsi="Times New Roman" w:cs="Times New Roman"/>
          <w:sz w:val="28"/>
          <w:szCs w:val="28"/>
        </w:rPr>
        <w:t> </w:t>
      </w:r>
      <w:r>
        <w:rPr>
          <w:rFonts w:ascii="Times New Roman" w:hAnsi="Times New Roman" w:cs="Times New Roman"/>
          <w:sz w:val="28"/>
          <w:szCs w:val="28"/>
        </w:rPr>
        <w:t>В сфере образования ф</w:t>
      </w:r>
      <w:r w:rsidRPr="00901F6F">
        <w:rPr>
          <w:rFonts w:ascii="Times New Roman" w:hAnsi="Times New Roman" w:cs="Times New Roman"/>
          <w:sz w:val="28"/>
          <w:szCs w:val="28"/>
        </w:rPr>
        <w:t>инансирование частных образовательных организаций осуществляется посредс</w:t>
      </w:r>
      <w:r>
        <w:rPr>
          <w:rFonts w:ascii="Times New Roman" w:hAnsi="Times New Roman" w:cs="Times New Roman"/>
          <w:sz w:val="28"/>
          <w:szCs w:val="28"/>
        </w:rPr>
        <w:t xml:space="preserve">твом предоставления субсидий из </w:t>
      </w:r>
      <w:r w:rsidRPr="00901F6F">
        <w:rPr>
          <w:rFonts w:ascii="Times New Roman" w:hAnsi="Times New Roman" w:cs="Times New Roman"/>
          <w:sz w:val="28"/>
          <w:szCs w:val="28"/>
        </w:rPr>
        <w:t xml:space="preserve">областного бюджета Новосибирской области на возмещение затрат, включающих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w:t>
      </w:r>
    </w:p>
    <w:p w14:paraId="26EEC237" w14:textId="77777777" w:rsidR="003F4CFF" w:rsidRDefault="003F4CFF" w:rsidP="003F4CFF">
      <w:pPr>
        <w:shd w:val="clear" w:color="auto" w:fill="FFFFFF" w:themeFill="background1"/>
        <w:tabs>
          <w:tab w:val="left" w:pos="0"/>
        </w:tabs>
        <w:autoSpaceDE w:val="0"/>
        <w:autoSpaceDN w:val="0"/>
        <w:ind w:firstLine="567"/>
        <w:jc w:val="both"/>
        <w:rPr>
          <w:rFonts w:ascii="Times New Roman" w:hAnsi="Times New Roman"/>
          <w:sz w:val="28"/>
          <w:szCs w:val="28"/>
        </w:rPr>
      </w:pPr>
      <w:r w:rsidRPr="00901F6F">
        <w:rPr>
          <w:rFonts w:ascii="Times New Roman" w:hAnsi="Times New Roman"/>
          <w:sz w:val="28"/>
          <w:szCs w:val="28"/>
        </w:rPr>
        <w:t>На эти цели из бюджета Новосибирской области в 2019 году было направлено 102 100,2 тыс. рублей, на 2020 год запланировано 124 448,2 тыс. рублей.</w:t>
      </w:r>
    </w:p>
    <w:p w14:paraId="309D8FB9" w14:textId="77777777" w:rsidR="003F4CFF" w:rsidRPr="00334C54" w:rsidRDefault="003F4CFF" w:rsidP="003F4CFF">
      <w:pPr>
        <w:shd w:val="clear" w:color="auto" w:fill="FFFFFF" w:themeFill="background1"/>
        <w:tabs>
          <w:tab w:val="left" w:pos="0"/>
        </w:tabs>
        <w:autoSpaceDE w:val="0"/>
        <w:autoSpaceDN w:val="0"/>
        <w:ind w:firstLine="567"/>
        <w:jc w:val="both"/>
        <w:rPr>
          <w:rFonts w:ascii="Times New Roman" w:hAnsi="Times New Roman"/>
          <w:b/>
          <w:sz w:val="28"/>
          <w:szCs w:val="28"/>
        </w:rPr>
      </w:pPr>
      <w:r w:rsidRPr="00334C54">
        <w:rPr>
          <w:rFonts w:ascii="Times New Roman" w:hAnsi="Times New Roman"/>
          <w:b/>
          <w:sz w:val="28"/>
          <w:szCs w:val="28"/>
        </w:rPr>
        <w:t>Социальная сфера.</w:t>
      </w:r>
      <w:r w:rsidR="000821EE" w:rsidRPr="000821EE">
        <w:rPr>
          <w:rFonts w:ascii="Times New Roman" w:hAnsi="Times New Roman"/>
          <w:sz w:val="28"/>
          <w:szCs w:val="28"/>
        </w:rPr>
        <w:t> </w:t>
      </w:r>
      <w:r w:rsidRPr="00334C54">
        <w:rPr>
          <w:rFonts w:ascii="Times New Roman" w:eastAsia="Times New Roman" w:hAnsi="Times New Roman" w:cs="Times New Roman"/>
          <w:sz w:val="28"/>
          <w:szCs w:val="28"/>
          <w:lang w:eastAsia="en-US"/>
        </w:rPr>
        <w:t>В</w:t>
      </w:r>
      <w:r w:rsidRPr="00334C54">
        <w:rPr>
          <w:rFonts w:ascii="Times New Roman" w:eastAsia="Times New Roman" w:hAnsi="Times New Roman" w:cs="Times New Roman"/>
          <w:sz w:val="28"/>
          <w:szCs w:val="28"/>
        </w:rPr>
        <w:t xml:space="preserve"> рамках реализации государственной программы «Развитие системы социальной поддержки населения и улучшение социального положения семей с детьми в Новосибирской области», утвержденной постановлением Правите</w:t>
      </w:r>
      <w:r>
        <w:rPr>
          <w:rFonts w:ascii="Times New Roman" w:eastAsia="Times New Roman" w:hAnsi="Times New Roman" w:cs="Times New Roman"/>
          <w:sz w:val="28"/>
          <w:szCs w:val="28"/>
        </w:rPr>
        <w:t>льства Новосибирской области от </w:t>
      </w:r>
      <w:r w:rsidRPr="00334C54">
        <w:rPr>
          <w:rFonts w:ascii="Times New Roman" w:eastAsia="Times New Roman" w:hAnsi="Times New Roman" w:cs="Times New Roman"/>
          <w:sz w:val="28"/>
          <w:szCs w:val="28"/>
        </w:rPr>
        <w:t xml:space="preserve">31.07.2013 № 322-п «Об утверждении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w:t>
      </w:r>
      <w:r w:rsidRPr="00334C54">
        <w:rPr>
          <w:rFonts w:ascii="Times New Roman" w:hAnsi="Times New Roman" w:cs="Times New Roman"/>
          <w:sz w:val="28"/>
          <w:szCs w:val="28"/>
          <w:lang w:eastAsia="en-US"/>
        </w:rPr>
        <w:t>по результатам конкурсных отборов 15 некоммерческим организациям предоставлены субсидии (в 2016 году – 12 некоммерческим организациям, в 2017 году – 12</w:t>
      </w:r>
      <w:r w:rsidR="00AA357F">
        <w:rPr>
          <w:rFonts w:ascii="Times New Roman" w:hAnsi="Times New Roman" w:cs="Times New Roman"/>
          <w:sz w:val="28"/>
          <w:szCs w:val="28"/>
          <w:lang w:eastAsia="en-US"/>
        </w:rPr>
        <w:t xml:space="preserve"> </w:t>
      </w:r>
      <w:r w:rsidR="00AA357F" w:rsidRPr="00334C54">
        <w:rPr>
          <w:rFonts w:ascii="Times New Roman" w:hAnsi="Times New Roman" w:cs="Times New Roman"/>
          <w:sz w:val="28"/>
          <w:szCs w:val="28"/>
          <w:lang w:eastAsia="en-US"/>
        </w:rPr>
        <w:t>некоммерческим организациям</w:t>
      </w:r>
      <w:r w:rsidRPr="00334C54">
        <w:rPr>
          <w:rFonts w:ascii="Times New Roman" w:hAnsi="Times New Roman" w:cs="Times New Roman"/>
          <w:sz w:val="28"/>
          <w:szCs w:val="28"/>
          <w:lang w:eastAsia="en-US"/>
        </w:rPr>
        <w:t xml:space="preserve">, в 2018 году </w:t>
      </w:r>
      <w:r>
        <w:rPr>
          <w:rFonts w:ascii="Times New Roman" w:hAnsi="Times New Roman" w:cs="Times New Roman"/>
          <w:sz w:val="28"/>
          <w:szCs w:val="28"/>
          <w:lang w:eastAsia="en-US"/>
        </w:rPr>
        <w:t>–</w:t>
      </w:r>
      <w:r w:rsidRPr="00334C54">
        <w:rPr>
          <w:rFonts w:ascii="Times New Roman" w:hAnsi="Times New Roman" w:cs="Times New Roman"/>
          <w:sz w:val="28"/>
          <w:szCs w:val="28"/>
          <w:lang w:eastAsia="en-US"/>
        </w:rPr>
        <w:t xml:space="preserve"> 15</w:t>
      </w:r>
      <w:r w:rsidR="00F1705A" w:rsidRPr="00F1705A">
        <w:rPr>
          <w:rFonts w:ascii="Times New Roman" w:hAnsi="Times New Roman" w:cs="Times New Roman"/>
          <w:sz w:val="28"/>
          <w:szCs w:val="28"/>
          <w:lang w:eastAsia="en-US"/>
        </w:rPr>
        <w:t xml:space="preserve"> </w:t>
      </w:r>
      <w:r w:rsidR="00F1705A" w:rsidRPr="00334C54">
        <w:rPr>
          <w:rFonts w:ascii="Times New Roman" w:hAnsi="Times New Roman" w:cs="Times New Roman"/>
          <w:sz w:val="28"/>
          <w:szCs w:val="28"/>
          <w:lang w:eastAsia="en-US"/>
        </w:rPr>
        <w:t>некоммерческим организациям</w:t>
      </w:r>
      <w:r w:rsidRPr="00334C54">
        <w:rPr>
          <w:rFonts w:ascii="Times New Roman" w:hAnsi="Times New Roman" w:cs="Times New Roman"/>
          <w:sz w:val="28"/>
          <w:szCs w:val="28"/>
          <w:lang w:eastAsia="en-US"/>
        </w:rPr>
        <w:t>).</w:t>
      </w:r>
    </w:p>
    <w:p w14:paraId="279F7A95" w14:textId="77777777" w:rsidR="003F4CFF" w:rsidRPr="00901F6F" w:rsidRDefault="003F4CFF" w:rsidP="003F4CFF">
      <w:pPr>
        <w:shd w:val="clear" w:color="auto" w:fill="FFFFFF" w:themeFill="background1"/>
        <w:tabs>
          <w:tab w:val="left" w:pos="0"/>
        </w:tabs>
        <w:ind w:firstLine="567"/>
        <w:jc w:val="both"/>
        <w:rPr>
          <w:rFonts w:ascii="Times New Roman" w:eastAsia="Times New Roman" w:hAnsi="Times New Roman" w:cs="Times New Roman"/>
          <w:sz w:val="28"/>
          <w:szCs w:val="28"/>
        </w:rPr>
      </w:pPr>
      <w:r>
        <w:rPr>
          <w:rFonts w:ascii="Times New Roman" w:hAnsi="Times New Roman" w:cs="Times New Roman"/>
          <w:sz w:val="28"/>
          <w:szCs w:val="28"/>
          <w:lang w:eastAsia="en-US"/>
        </w:rPr>
        <w:t>В</w:t>
      </w:r>
      <w:r w:rsidRPr="00901F6F">
        <w:rPr>
          <w:rFonts w:ascii="Times New Roman" w:eastAsia="Times New Roman" w:hAnsi="Times New Roman" w:cs="Times New Roman"/>
          <w:sz w:val="28"/>
          <w:szCs w:val="28"/>
        </w:rPr>
        <w:t xml:space="preserve"> рамках реализации </w:t>
      </w:r>
      <w:r w:rsidR="00F1705A">
        <w:rPr>
          <w:rFonts w:ascii="Times New Roman" w:eastAsia="Times New Roman" w:hAnsi="Times New Roman" w:cs="Times New Roman"/>
          <w:sz w:val="28"/>
          <w:szCs w:val="28"/>
        </w:rPr>
        <w:t xml:space="preserve">вышеуказанной </w:t>
      </w:r>
      <w:r w:rsidRPr="00901F6F">
        <w:rPr>
          <w:rFonts w:ascii="Times New Roman" w:eastAsia="Times New Roman" w:hAnsi="Times New Roman" w:cs="Times New Roman"/>
          <w:sz w:val="28"/>
          <w:szCs w:val="28"/>
        </w:rPr>
        <w:t>государственной программы предоставлены субсидии:</w:t>
      </w:r>
    </w:p>
    <w:p w14:paraId="2C2E7FD2" w14:textId="77777777" w:rsidR="003F4CFF" w:rsidRPr="00901F6F" w:rsidRDefault="003F4CFF" w:rsidP="003F4CFF">
      <w:pPr>
        <w:shd w:val="clear" w:color="auto" w:fill="FFFFFF" w:themeFill="background1"/>
        <w:tabs>
          <w:tab w:val="left" w:pos="0"/>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w:t>
      </w:r>
      <w:r w:rsidRPr="00901F6F">
        <w:rPr>
          <w:rFonts w:ascii="Times New Roman" w:eastAsia="Times New Roman" w:hAnsi="Times New Roman" w:cs="Times New Roman"/>
          <w:sz w:val="28"/>
          <w:szCs w:val="28"/>
        </w:rPr>
        <w:t>СОНКО (36 субсидий) на оказание общественно-полезных услуг детям и семьям с детьми н</w:t>
      </w:r>
      <w:r w:rsidR="00584796">
        <w:rPr>
          <w:rFonts w:ascii="Times New Roman" w:eastAsia="Times New Roman" w:hAnsi="Times New Roman" w:cs="Times New Roman"/>
          <w:sz w:val="28"/>
          <w:szCs w:val="28"/>
        </w:rPr>
        <w:t>а общую сумму 11 873,7 тыс. рублей</w:t>
      </w:r>
      <w:r w:rsidRPr="00901F6F">
        <w:rPr>
          <w:rFonts w:ascii="Times New Roman" w:eastAsia="Times New Roman" w:hAnsi="Times New Roman" w:cs="Times New Roman"/>
          <w:sz w:val="28"/>
          <w:szCs w:val="28"/>
        </w:rPr>
        <w:t>;</w:t>
      </w:r>
    </w:p>
    <w:p w14:paraId="0EEA5F07" w14:textId="77777777" w:rsidR="003F4CFF" w:rsidRPr="00901F6F" w:rsidRDefault="003F4CFF" w:rsidP="003F4CFF">
      <w:pPr>
        <w:shd w:val="clear" w:color="auto" w:fill="FFFFFF" w:themeFill="background1"/>
        <w:tabs>
          <w:tab w:val="left" w:pos="0"/>
        </w:tabs>
        <w:autoSpaceDE w:val="0"/>
        <w:autoSpaceDN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w:t>
      </w:r>
      <w:r w:rsidRPr="00901F6F">
        <w:rPr>
          <w:rFonts w:ascii="Times New Roman" w:eastAsia="Times New Roman" w:hAnsi="Times New Roman" w:cs="Times New Roman"/>
          <w:sz w:val="28"/>
          <w:szCs w:val="28"/>
        </w:rPr>
        <w:t>СОНКО на оказание общественно-полезных услуг гражданам пожилого возраст</w:t>
      </w:r>
      <w:r w:rsidR="00584796">
        <w:rPr>
          <w:rFonts w:ascii="Times New Roman" w:eastAsia="Times New Roman" w:hAnsi="Times New Roman" w:cs="Times New Roman"/>
          <w:sz w:val="28"/>
          <w:szCs w:val="28"/>
        </w:rPr>
        <w:t>а на общую сумму 45,41 млн. рублей</w:t>
      </w:r>
      <w:r w:rsidRPr="00901F6F">
        <w:rPr>
          <w:rFonts w:ascii="Times New Roman" w:eastAsia="Times New Roman" w:hAnsi="Times New Roman" w:cs="Times New Roman"/>
          <w:sz w:val="28"/>
          <w:szCs w:val="28"/>
        </w:rPr>
        <w:t>;</w:t>
      </w:r>
    </w:p>
    <w:p w14:paraId="504C4AD0" w14:textId="77777777" w:rsidR="003F4CFF" w:rsidRPr="00901F6F" w:rsidRDefault="003F4CFF" w:rsidP="003F4CFF">
      <w:pPr>
        <w:widowControl w:val="0"/>
        <w:shd w:val="clear" w:color="auto" w:fill="FFFFFF" w:themeFill="background1"/>
        <w:tabs>
          <w:tab w:val="left" w:pos="0"/>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3 </w:t>
      </w:r>
      <w:r w:rsidRPr="00901F6F">
        <w:rPr>
          <w:rFonts w:ascii="Times New Roman" w:hAnsi="Times New Roman" w:cs="Times New Roman"/>
          <w:sz w:val="28"/>
          <w:szCs w:val="28"/>
          <w:lang w:eastAsia="en-US"/>
        </w:rPr>
        <w:t>СОНКО на оказание общественно-полезных услуг по проведению реабилитации и ресоциализации наркозависимых граждан и граждан без определенного места жительс</w:t>
      </w:r>
      <w:r w:rsidR="00584796">
        <w:rPr>
          <w:rFonts w:ascii="Times New Roman" w:hAnsi="Times New Roman" w:cs="Times New Roman"/>
          <w:sz w:val="28"/>
          <w:szCs w:val="28"/>
          <w:lang w:eastAsia="en-US"/>
        </w:rPr>
        <w:t>тва на общую сумму 3,2 млн. рублей</w:t>
      </w:r>
      <w:r w:rsidRPr="00901F6F">
        <w:rPr>
          <w:rFonts w:ascii="Times New Roman" w:hAnsi="Times New Roman" w:cs="Times New Roman"/>
          <w:sz w:val="28"/>
          <w:szCs w:val="28"/>
          <w:lang w:eastAsia="en-US"/>
        </w:rPr>
        <w:t>;</w:t>
      </w:r>
    </w:p>
    <w:p w14:paraId="19DEDB0A" w14:textId="77777777" w:rsidR="003F4CFF" w:rsidRPr="00901F6F" w:rsidRDefault="003F4CFF" w:rsidP="003F4CFF">
      <w:pPr>
        <w:shd w:val="clear" w:color="auto" w:fill="FFFFFF" w:themeFill="background1"/>
        <w:tabs>
          <w:tab w:val="left" w:pos="0"/>
        </w:tabs>
        <w:autoSpaceDE w:val="0"/>
        <w:autoSpaceDN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13 </w:t>
      </w:r>
      <w:r w:rsidRPr="00901F6F">
        <w:rPr>
          <w:rFonts w:ascii="Times New Roman" w:hAnsi="Times New Roman" w:cs="Times New Roman"/>
          <w:sz w:val="28"/>
          <w:szCs w:val="28"/>
          <w:lang w:eastAsia="en-US"/>
        </w:rPr>
        <w:t>СОНКО на оказание общественно-полезных услуг инвалидам на общую су</w:t>
      </w:r>
      <w:r w:rsidR="00584796">
        <w:rPr>
          <w:rFonts w:ascii="Times New Roman" w:hAnsi="Times New Roman" w:cs="Times New Roman"/>
          <w:sz w:val="28"/>
          <w:szCs w:val="28"/>
          <w:lang w:eastAsia="en-US"/>
        </w:rPr>
        <w:t>мму 4,4 млн. рублей.</w:t>
      </w:r>
    </w:p>
    <w:p w14:paraId="1585E16E" w14:textId="77777777" w:rsidR="003F4CFF" w:rsidRDefault="003F4CFF" w:rsidP="003F4CFF">
      <w:pPr>
        <w:widowControl w:val="0"/>
        <w:shd w:val="clear" w:color="auto" w:fill="FFFFFF" w:themeFill="background1"/>
        <w:tabs>
          <w:tab w:val="left" w:pos="0"/>
        </w:tabs>
        <w:autoSpaceDE w:val="0"/>
        <w:autoSpaceDN w:val="0"/>
        <w:adjustRightInd w:val="0"/>
        <w:ind w:firstLine="567"/>
        <w:jc w:val="both"/>
        <w:rPr>
          <w:rFonts w:ascii="Times New Roman" w:eastAsia="Times New Roman" w:hAnsi="Times New Roman" w:cs="Times New Roman"/>
          <w:sz w:val="28"/>
          <w:szCs w:val="28"/>
        </w:rPr>
      </w:pPr>
      <w:r w:rsidRPr="00901F6F">
        <w:rPr>
          <w:rFonts w:ascii="Times New Roman" w:hAnsi="Times New Roman" w:cs="Times New Roman"/>
          <w:sz w:val="28"/>
          <w:szCs w:val="28"/>
          <w:lang w:eastAsia="en-US"/>
        </w:rPr>
        <w:t xml:space="preserve">Кроме того, </w:t>
      </w:r>
      <w:r w:rsidR="001A1746">
        <w:rPr>
          <w:rFonts w:ascii="Times New Roman" w:eastAsia="Times New Roman" w:hAnsi="Times New Roman" w:cs="Times New Roman"/>
          <w:sz w:val="28"/>
          <w:szCs w:val="28"/>
        </w:rPr>
        <w:t>3 </w:t>
      </w:r>
      <w:r w:rsidRPr="00901F6F">
        <w:rPr>
          <w:rFonts w:ascii="Times New Roman" w:eastAsia="Times New Roman" w:hAnsi="Times New Roman" w:cs="Times New Roman"/>
          <w:sz w:val="28"/>
          <w:szCs w:val="28"/>
        </w:rPr>
        <w:t xml:space="preserve">некоммерческие организации в рамках региональных комплексов мер, реализуемых министерством труда и социального развития Новосибирской области, стали получателями средств гранта Фонда </w:t>
      </w:r>
      <w:r w:rsidR="00584796">
        <w:rPr>
          <w:rFonts w:ascii="Times New Roman" w:eastAsia="Times New Roman" w:hAnsi="Times New Roman" w:cs="Times New Roman"/>
          <w:sz w:val="28"/>
          <w:szCs w:val="28"/>
        </w:rPr>
        <w:t>(на общую сумму 627,95 тыс. рублей</w:t>
      </w:r>
      <w:r w:rsidRPr="00901F6F">
        <w:rPr>
          <w:rFonts w:ascii="Times New Roman" w:eastAsia="Times New Roman" w:hAnsi="Times New Roman" w:cs="Times New Roman"/>
          <w:sz w:val="28"/>
          <w:szCs w:val="28"/>
        </w:rPr>
        <w:t xml:space="preserve">). </w:t>
      </w:r>
    </w:p>
    <w:p w14:paraId="4C2607C9" w14:textId="77777777" w:rsidR="003F4CFF" w:rsidRPr="00334C54" w:rsidRDefault="003F4CFF" w:rsidP="003F4CFF">
      <w:pPr>
        <w:widowControl w:val="0"/>
        <w:shd w:val="clear" w:color="auto" w:fill="FFFFFF" w:themeFill="background1"/>
        <w:tabs>
          <w:tab w:val="left" w:pos="0"/>
        </w:tabs>
        <w:autoSpaceDE w:val="0"/>
        <w:autoSpaceDN w:val="0"/>
        <w:adjustRightInd w:val="0"/>
        <w:ind w:firstLine="567"/>
        <w:jc w:val="both"/>
        <w:rPr>
          <w:rFonts w:ascii="Times New Roman" w:eastAsia="Times New Roman" w:hAnsi="Times New Roman" w:cs="Times New Roman"/>
          <w:sz w:val="28"/>
          <w:szCs w:val="28"/>
        </w:rPr>
      </w:pPr>
      <w:r w:rsidRPr="00334C54">
        <w:rPr>
          <w:rFonts w:ascii="Times New Roman" w:eastAsia="Times New Roman" w:hAnsi="Times New Roman" w:cs="Times New Roman"/>
          <w:b/>
          <w:sz w:val="28"/>
          <w:szCs w:val="28"/>
        </w:rPr>
        <w:t>Благоустройство.</w:t>
      </w:r>
      <w:r>
        <w:rPr>
          <w:rFonts w:ascii="Times New Roman" w:eastAsia="Times New Roman" w:hAnsi="Times New Roman" w:cs="Times New Roman"/>
          <w:sz w:val="28"/>
          <w:szCs w:val="28"/>
        </w:rPr>
        <w:t xml:space="preserve"> </w:t>
      </w:r>
      <w:r>
        <w:rPr>
          <w:rFonts w:ascii="Times New Roman" w:hAnsi="Times New Roman"/>
          <w:sz w:val="28"/>
          <w:szCs w:val="28"/>
        </w:rPr>
        <w:t>Н</w:t>
      </w:r>
      <w:r w:rsidRPr="00A94D9A">
        <w:rPr>
          <w:rFonts w:ascii="Times New Roman" w:hAnsi="Times New Roman"/>
          <w:sz w:val="28"/>
          <w:szCs w:val="28"/>
        </w:rPr>
        <w:t>а реализацию приоритетного проекта «Формирование комфортной городской среды»</w:t>
      </w:r>
      <w:r w:rsidR="00AB54F7">
        <w:rPr>
          <w:rFonts w:ascii="Times New Roman" w:hAnsi="Times New Roman"/>
          <w:sz w:val="28"/>
          <w:szCs w:val="28"/>
        </w:rPr>
        <w:t xml:space="preserve"> в отчетном </w:t>
      </w:r>
      <w:r w:rsidR="00F966E6">
        <w:rPr>
          <w:rFonts w:ascii="Times New Roman" w:hAnsi="Times New Roman"/>
          <w:sz w:val="28"/>
          <w:szCs w:val="28"/>
        </w:rPr>
        <w:t xml:space="preserve">периоде </w:t>
      </w:r>
      <w:r w:rsidR="00F966E6" w:rsidRPr="00A94D9A">
        <w:rPr>
          <w:rFonts w:ascii="Times New Roman" w:hAnsi="Times New Roman"/>
          <w:sz w:val="28"/>
          <w:szCs w:val="28"/>
        </w:rPr>
        <w:t>направлено</w:t>
      </w:r>
      <w:r w:rsidRPr="00A94D9A">
        <w:rPr>
          <w:rFonts w:ascii="Times New Roman" w:hAnsi="Times New Roman"/>
          <w:sz w:val="28"/>
          <w:szCs w:val="28"/>
        </w:rPr>
        <w:t xml:space="preserve"> 1159,5 млн. рублей, из них:</w:t>
      </w:r>
    </w:p>
    <w:p w14:paraId="6A058727" w14:textId="40F85AC3" w:rsidR="003F4CFF" w:rsidRPr="00A94D9A" w:rsidRDefault="003F4CFF" w:rsidP="003F4CFF">
      <w:pPr>
        <w:shd w:val="clear" w:color="auto" w:fill="FFFFFF" w:themeFill="background1"/>
        <w:tabs>
          <w:tab w:val="left" w:pos="0"/>
        </w:tabs>
        <w:autoSpaceDE w:val="0"/>
        <w:autoSpaceDN w:val="0"/>
        <w:ind w:firstLine="567"/>
        <w:jc w:val="both"/>
        <w:rPr>
          <w:rFonts w:ascii="Times New Roman" w:hAnsi="Times New Roman"/>
          <w:sz w:val="28"/>
          <w:szCs w:val="28"/>
        </w:rPr>
      </w:pPr>
      <w:r w:rsidRPr="00A94D9A">
        <w:rPr>
          <w:rFonts w:ascii="Times New Roman" w:hAnsi="Times New Roman"/>
          <w:sz w:val="28"/>
          <w:szCs w:val="28"/>
        </w:rPr>
        <w:t xml:space="preserve">на благоустройство дворовых территорий многоквартирных домов </w:t>
      </w:r>
      <w:r w:rsidRPr="00901F6F">
        <w:rPr>
          <w:rFonts w:ascii="Times New Roman" w:hAnsi="Times New Roman"/>
          <w:sz w:val="28"/>
          <w:szCs w:val="28"/>
        </w:rPr>
        <w:t>–</w:t>
      </w:r>
      <w:r w:rsidRPr="00A94D9A">
        <w:rPr>
          <w:rFonts w:ascii="Times New Roman" w:hAnsi="Times New Roman"/>
          <w:sz w:val="28"/>
          <w:szCs w:val="28"/>
        </w:rPr>
        <w:t xml:space="preserve"> 489,5 млн. рублей, в том числе за счет средств федерального бюджета – 470,0 млн. рублей, областного бюджета – 19,5 млн. рублей;</w:t>
      </w:r>
    </w:p>
    <w:p w14:paraId="711EDAE7" w14:textId="77777777" w:rsidR="003F4CFF" w:rsidRPr="00A94D9A" w:rsidRDefault="003F4CFF" w:rsidP="003F4CFF">
      <w:pPr>
        <w:shd w:val="clear" w:color="auto" w:fill="FFFFFF" w:themeFill="background1"/>
        <w:tabs>
          <w:tab w:val="left" w:pos="0"/>
        </w:tabs>
        <w:autoSpaceDE w:val="0"/>
        <w:autoSpaceDN w:val="0"/>
        <w:ind w:firstLine="567"/>
        <w:jc w:val="both"/>
        <w:rPr>
          <w:rFonts w:ascii="Times New Roman" w:hAnsi="Times New Roman"/>
          <w:sz w:val="28"/>
          <w:szCs w:val="28"/>
        </w:rPr>
      </w:pPr>
      <w:r w:rsidRPr="00A94D9A">
        <w:rPr>
          <w:rFonts w:ascii="Times New Roman" w:hAnsi="Times New Roman"/>
          <w:sz w:val="28"/>
          <w:szCs w:val="28"/>
        </w:rPr>
        <w:t xml:space="preserve">на благоустройство общественных территорий </w:t>
      </w:r>
      <w:r w:rsidRPr="00901F6F">
        <w:rPr>
          <w:rFonts w:ascii="Times New Roman" w:hAnsi="Times New Roman"/>
          <w:sz w:val="28"/>
          <w:szCs w:val="28"/>
        </w:rPr>
        <w:t>–</w:t>
      </w:r>
      <w:r w:rsidR="001A1746">
        <w:rPr>
          <w:rFonts w:ascii="Times New Roman" w:hAnsi="Times New Roman"/>
          <w:sz w:val="28"/>
          <w:szCs w:val="28"/>
        </w:rPr>
        <w:t xml:space="preserve"> 395,5 </w:t>
      </w:r>
      <w:r w:rsidRPr="00A94D9A">
        <w:rPr>
          <w:rFonts w:ascii="Times New Roman" w:hAnsi="Times New Roman"/>
          <w:sz w:val="28"/>
          <w:szCs w:val="28"/>
        </w:rPr>
        <w:t>млн. рублей, в том числе за счет средс</w:t>
      </w:r>
      <w:r w:rsidR="001A1746">
        <w:rPr>
          <w:rFonts w:ascii="Times New Roman" w:hAnsi="Times New Roman"/>
          <w:sz w:val="28"/>
          <w:szCs w:val="28"/>
        </w:rPr>
        <w:t>тв федерального бюджета – 379,6 </w:t>
      </w:r>
      <w:r w:rsidRPr="00A94D9A">
        <w:rPr>
          <w:rFonts w:ascii="Times New Roman" w:hAnsi="Times New Roman"/>
          <w:sz w:val="28"/>
          <w:szCs w:val="28"/>
        </w:rPr>
        <w:t xml:space="preserve">млн. рублей, </w:t>
      </w:r>
      <w:r w:rsidR="00F1705A" w:rsidRPr="00A94D9A">
        <w:rPr>
          <w:rFonts w:ascii="Times New Roman" w:hAnsi="Times New Roman"/>
          <w:sz w:val="28"/>
          <w:szCs w:val="28"/>
        </w:rPr>
        <w:t>за счет средс</w:t>
      </w:r>
      <w:r w:rsidR="00F1705A">
        <w:rPr>
          <w:rFonts w:ascii="Times New Roman" w:hAnsi="Times New Roman"/>
          <w:sz w:val="28"/>
          <w:szCs w:val="28"/>
        </w:rPr>
        <w:t xml:space="preserve">тв </w:t>
      </w:r>
      <w:r w:rsidRPr="00A94D9A">
        <w:rPr>
          <w:rFonts w:ascii="Times New Roman" w:hAnsi="Times New Roman"/>
          <w:sz w:val="28"/>
          <w:szCs w:val="28"/>
        </w:rPr>
        <w:t>областного бюджета – 15,9 млн. рублей;</w:t>
      </w:r>
    </w:p>
    <w:p w14:paraId="47C0B3CC" w14:textId="12BEB014" w:rsidR="003F4CFF" w:rsidRDefault="003F4CFF" w:rsidP="003F4CFF">
      <w:pPr>
        <w:shd w:val="clear" w:color="auto" w:fill="FFFFFF" w:themeFill="background1"/>
        <w:tabs>
          <w:tab w:val="left" w:pos="0"/>
        </w:tabs>
        <w:autoSpaceDE w:val="0"/>
        <w:autoSpaceDN w:val="0"/>
        <w:ind w:firstLine="567"/>
        <w:jc w:val="both"/>
        <w:rPr>
          <w:rFonts w:ascii="Times New Roman" w:hAnsi="Times New Roman"/>
          <w:sz w:val="28"/>
          <w:szCs w:val="28"/>
        </w:rPr>
      </w:pPr>
      <w:r w:rsidRPr="00A94D9A">
        <w:rPr>
          <w:rFonts w:ascii="Times New Roman" w:hAnsi="Times New Roman"/>
          <w:sz w:val="28"/>
          <w:szCs w:val="28"/>
        </w:rPr>
        <w:t xml:space="preserve">на благоустройство объекта </w:t>
      </w:r>
      <w:r w:rsidR="00F1705A" w:rsidRPr="00A94D9A">
        <w:rPr>
          <w:rFonts w:ascii="Times New Roman" w:hAnsi="Times New Roman"/>
          <w:sz w:val="28"/>
          <w:szCs w:val="28"/>
        </w:rPr>
        <w:t>«Строительство набережной и благоустройство пляжной зоны озера по ул. Заводская совместно с прилегающей приво</w:t>
      </w:r>
      <w:r w:rsidR="00F1705A">
        <w:rPr>
          <w:rFonts w:ascii="Times New Roman" w:hAnsi="Times New Roman"/>
          <w:sz w:val="28"/>
          <w:szCs w:val="28"/>
        </w:rPr>
        <w:t xml:space="preserve">кзальной </w:t>
      </w:r>
      <w:r w:rsidR="00F1705A">
        <w:rPr>
          <w:rFonts w:ascii="Times New Roman" w:hAnsi="Times New Roman"/>
          <w:sz w:val="28"/>
          <w:szCs w:val="28"/>
        </w:rPr>
        <w:lastRenderedPageBreak/>
        <w:t>площадью» в г. Тогучине</w:t>
      </w:r>
      <w:r w:rsidR="00F1705A" w:rsidRPr="00A94D9A">
        <w:rPr>
          <w:rFonts w:ascii="Times New Roman" w:hAnsi="Times New Roman"/>
          <w:sz w:val="28"/>
          <w:szCs w:val="28"/>
        </w:rPr>
        <w:t xml:space="preserve"> Тогучинского района</w:t>
      </w:r>
      <w:r w:rsidR="00F1705A">
        <w:rPr>
          <w:rFonts w:ascii="Times New Roman" w:hAnsi="Times New Roman"/>
          <w:sz w:val="28"/>
          <w:szCs w:val="28"/>
        </w:rPr>
        <w:t xml:space="preserve"> Новосибирской области</w:t>
      </w:r>
      <w:r w:rsidR="00F1705A" w:rsidRPr="00A94D9A">
        <w:rPr>
          <w:rFonts w:ascii="Times New Roman" w:hAnsi="Times New Roman"/>
          <w:sz w:val="28"/>
          <w:szCs w:val="28"/>
        </w:rPr>
        <w:t xml:space="preserve"> </w:t>
      </w:r>
      <w:r w:rsidRPr="00A94D9A">
        <w:rPr>
          <w:rFonts w:ascii="Times New Roman" w:hAnsi="Times New Roman"/>
          <w:sz w:val="28"/>
          <w:szCs w:val="28"/>
        </w:rPr>
        <w:t>– победителя Всероссийского конкурса лучших проектов создания комфортной городской среды в номинации «малые города</w:t>
      </w:r>
      <w:r w:rsidR="001A1746">
        <w:rPr>
          <w:rFonts w:ascii="Times New Roman" w:hAnsi="Times New Roman"/>
          <w:sz w:val="28"/>
          <w:szCs w:val="28"/>
        </w:rPr>
        <w:t xml:space="preserve"> с численностью населения от 20 тыс. человек до 50 </w:t>
      </w:r>
      <w:r w:rsidRPr="00A94D9A">
        <w:rPr>
          <w:rFonts w:ascii="Times New Roman" w:hAnsi="Times New Roman"/>
          <w:sz w:val="28"/>
          <w:szCs w:val="28"/>
        </w:rPr>
        <w:t xml:space="preserve">тыс. человек включительно» </w:t>
      </w:r>
      <w:r w:rsidR="001A1746">
        <w:rPr>
          <w:rFonts w:ascii="Times New Roman" w:hAnsi="Times New Roman"/>
          <w:sz w:val="28"/>
          <w:szCs w:val="28"/>
        </w:rPr>
        <w:t>– 144,35 </w:t>
      </w:r>
      <w:r w:rsidRPr="00A94D9A">
        <w:rPr>
          <w:rFonts w:ascii="Times New Roman" w:hAnsi="Times New Roman"/>
          <w:sz w:val="28"/>
          <w:szCs w:val="28"/>
        </w:rPr>
        <w:t>млн. рублей, в том числе за счет сред</w:t>
      </w:r>
      <w:r w:rsidR="001A1746">
        <w:rPr>
          <w:rFonts w:ascii="Times New Roman" w:hAnsi="Times New Roman"/>
          <w:sz w:val="28"/>
          <w:szCs w:val="28"/>
        </w:rPr>
        <w:t>ств федерального бюджета - 72,5 </w:t>
      </w:r>
      <w:r w:rsidRPr="00A94D9A">
        <w:rPr>
          <w:rFonts w:ascii="Times New Roman" w:hAnsi="Times New Roman"/>
          <w:sz w:val="28"/>
          <w:szCs w:val="28"/>
        </w:rPr>
        <w:t>млн. рублей, областного бюджета – 69,</w:t>
      </w:r>
      <w:r w:rsidR="001A1746">
        <w:rPr>
          <w:rFonts w:ascii="Times New Roman" w:hAnsi="Times New Roman"/>
          <w:sz w:val="28"/>
          <w:szCs w:val="28"/>
        </w:rPr>
        <w:t>35 </w:t>
      </w:r>
      <w:r w:rsidRPr="00A94D9A">
        <w:rPr>
          <w:rFonts w:ascii="Times New Roman" w:hAnsi="Times New Roman"/>
          <w:sz w:val="28"/>
          <w:szCs w:val="28"/>
        </w:rPr>
        <w:t>млн. рублей.</w:t>
      </w:r>
    </w:p>
    <w:p w14:paraId="46BE77E5" w14:textId="77777777" w:rsidR="003F4CFF" w:rsidRPr="00B73F78" w:rsidRDefault="003F4CFF" w:rsidP="003F4CFF">
      <w:pPr>
        <w:shd w:val="clear" w:color="auto" w:fill="FFFFFF" w:themeFill="background1"/>
        <w:tabs>
          <w:tab w:val="left" w:pos="0"/>
        </w:tabs>
        <w:ind w:firstLine="567"/>
        <w:jc w:val="both"/>
        <w:rPr>
          <w:rFonts w:ascii="Times New Roman" w:hAnsi="Times New Roman" w:cs="Times New Roman"/>
          <w:sz w:val="28"/>
          <w:szCs w:val="28"/>
        </w:rPr>
      </w:pPr>
      <w:r w:rsidRPr="00334C54">
        <w:rPr>
          <w:rFonts w:ascii="Times New Roman" w:hAnsi="Times New Roman" w:cs="Times New Roman"/>
          <w:b/>
          <w:sz w:val="28"/>
          <w:szCs w:val="28"/>
        </w:rPr>
        <w:t>Племенное животноводство.</w:t>
      </w:r>
      <w:r>
        <w:rPr>
          <w:rFonts w:ascii="Times New Roman" w:hAnsi="Times New Roman" w:cs="Times New Roman"/>
          <w:sz w:val="28"/>
          <w:szCs w:val="28"/>
        </w:rPr>
        <w:t xml:space="preserve"> </w:t>
      </w:r>
      <w:r w:rsidRPr="00B73F78">
        <w:rPr>
          <w:rFonts w:ascii="Times New Roman" w:hAnsi="Times New Roman" w:cs="Times New Roman"/>
          <w:sz w:val="28"/>
          <w:szCs w:val="28"/>
        </w:rPr>
        <w:t xml:space="preserve">В целях развития рынка племенного животноводства и повышения его конкурентоспособности в 2019 году в постановление Правительства Новосибирской </w:t>
      </w:r>
      <w:r w:rsidR="001A1746">
        <w:rPr>
          <w:rFonts w:ascii="Times New Roman" w:hAnsi="Times New Roman" w:cs="Times New Roman"/>
          <w:sz w:val="28"/>
          <w:szCs w:val="28"/>
        </w:rPr>
        <w:t>области от 02.02.2015 № 37-п «О </w:t>
      </w:r>
      <w:r w:rsidRPr="00B73F78">
        <w:rPr>
          <w:rFonts w:ascii="Times New Roman" w:hAnsi="Times New Roman" w:cs="Times New Roman"/>
          <w:sz w:val="28"/>
          <w:szCs w:val="28"/>
        </w:rPr>
        <w:t xml:space="preserve">государственной программе Новосибирской области «Развитие сельского хозяйства и регулирование рынков сельскохозяйственной продукции, сырья и продовольствия </w:t>
      </w:r>
      <w:r>
        <w:rPr>
          <w:rFonts w:ascii="Times New Roman" w:hAnsi="Times New Roman" w:cs="Times New Roman"/>
          <w:sz w:val="28"/>
          <w:szCs w:val="28"/>
        </w:rPr>
        <w:t>в Новосибирской области» внесены изменения</w:t>
      </w:r>
      <w:r w:rsidRPr="00B73F78">
        <w:rPr>
          <w:rFonts w:ascii="Times New Roman" w:hAnsi="Times New Roman" w:cs="Times New Roman"/>
          <w:sz w:val="28"/>
          <w:szCs w:val="28"/>
        </w:rPr>
        <w:t xml:space="preserve"> в части увеличения с 2020 года размера государственной поддержки по направлению компенсация части затрат на покупку племенного молодняка крупного рогатого скота молочного и мясного направления продуктивности, приобретенного в племенных сельскохозяйственных предприятиях Новосибирской области, до 30%.</w:t>
      </w:r>
    </w:p>
    <w:p w14:paraId="140A5D6B" w14:textId="77777777" w:rsidR="003F4CFF" w:rsidRDefault="003F4CFF" w:rsidP="003F4CFF">
      <w:pPr>
        <w:widowControl w:val="0"/>
        <w:shd w:val="clear" w:color="auto" w:fill="FFFFFF" w:themeFill="background1"/>
        <w:tabs>
          <w:tab w:val="left" w:pos="0"/>
        </w:tabs>
        <w:autoSpaceDE w:val="0"/>
        <w:autoSpaceDN w:val="0"/>
        <w:adjustRightInd w:val="0"/>
        <w:ind w:firstLine="567"/>
        <w:jc w:val="both"/>
        <w:rPr>
          <w:rFonts w:ascii="Times New Roman" w:eastAsia="Times New Roman" w:hAnsi="Times New Roman" w:cs="Times New Roman"/>
          <w:sz w:val="28"/>
          <w:szCs w:val="28"/>
        </w:rPr>
      </w:pPr>
      <w:r w:rsidRPr="00334C54">
        <w:rPr>
          <w:rFonts w:ascii="Times New Roman" w:eastAsia="Times New Roman" w:hAnsi="Times New Roman" w:cs="Times New Roman"/>
          <w:b/>
          <w:sz w:val="28"/>
          <w:szCs w:val="28"/>
        </w:rPr>
        <w:t>Семеноводство.</w:t>
      </w:r>
      <w:r>
        <w:rPr>
          <w:rFonts w:ascii="Times New Roman" w:eastAsia="Times New Roman" w:hAnsi="Times New Roman" w:cs="Times New Roman"/>
          <w:sz w:val="28"/>
          <w:szCs w:val="28"/>
        </w:rPr>
        <w:t> </w:t>
      </w:r>
      <w:r w:rsidRPr="00355CDE">
        <w:rPr>
          <w:rFonts w:ascii="Times New Roman" w:eastAsia="Times New Roman" w:hAnsi="Times New Roman" w:cs="Times New Roman"/>
          <w:sz w:val="28"/>
          <w:szCs w:val="28"/>
        </w:rPr>
        <w:t xml:space="preserve">В 2019 году в постановление Правительства Новосибирской области от 02.02.2015 № 37-п «О государственной программе Новосибирской области «Развитие сельского хозяйства и регулирование рынков сельскохозяйственной продукции, сырья и продовольствия </w:t>
      </w:r>
      <w:r>
        <w:rPr>
          <w:rFonts w:ascii="Times New Roman" w:eastAsia="Times New Roman" w:hAnsi="Times New Roman" w:cs="Times New Roman"/>
          <w:sz w:val="28"/>
          <w:szCs w:val="28"/>
        </w:rPr>
        <w:t>в Новосибирской области» внесены изменения</w:t>
      </w:r>
      <w:r w:rsidRPr="00355CDE">
        <w:rPr>
          <w:rFonts w:ascii="Times New Roman" w:eastAsia="Times New Roman" w:hAnsi="Times New Roman" w:cs="Times New Roman"/>
          <w:sz w:val="28"/>
          <w:szCs w:val="28"/>
        </w:rPr>
        <w:t xml:space="preserve"> в части введения с 2020 года дополнительной меры государственной поддержки в виде возмещения части затрат на приобретение не только элитных, но и оригинальных семян.</w:t>
      </w:r>
    </w:p>
    <w:p w14:paraId="6CAE8173" w14:textId="77777777" w:rsidR="003F4CFF" w:rsidRDefault="003F4CFF" w:rsidP="003F4CFF">
      <w:pPr>
        <w:tabs>
          <w:tab w:val="left" w:pos="0"/>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b/>
          <w:sz w:val="28"/>
          <w:szCs w:val="28"/>
          <w:lang w:eastAsia="en-US"/>
        </w:rPr>
        <w:t>Рыбоводство</w:t>
      </w:r>
      <w:r w:rsidRPr="00334C54">
        <w:rPr>
          <w:rFonts w:ascii="Times New Roman" w:hAnsi="Times New Roman" w:cs="Times New Roman"/>
          <w:b/>
          <w:sz w:val="28"/>
          <w:szCs w:val="28"/>
          <w:lang w:eastAsia="en-US"/>
        </w:rPr>
        <w:t xml:space="preserve"> и </w:t>
      </w:r>
      <w:r>
        <w:rPr>
          <w:rFonts w:ascii="Times New Roman" w:hAnsi="Times New Roman" w:cs="Times New Roman"/>
          <w:b/>
          <w:sz w:val="28"/>
          <w:szCs w:val="28"/>
          <w:lang w:eastAsia="en-US"/>
        </w:rPr>
        <w:t>рыболовство.</w:t>
      </w:r>
      <w:r w:rsidRPr="00281B31">
        <w:rPr>
          <w:rFonts w:ascii="Times New Roman" w:hAnsi="Times New Roman" w:cs="Times New Roman"/>
          <w:sz w:val="28"/>
          <w:szCs w:val="28"/>
          <w:lang w:eastAsia="en-US"/>
        </w:rPr>
        <w:t xml:space="preserve"> В рамках государственной программы Новосибирской области «Охрана окружающей среды» на 2015-2020 годы»,</w:t>
      </w:r>
      <w:r>
        <w:rPr>
          <w:rFonts w:ascii="Times New Roman" w:hAnsi="Times New Roman" w:cs="Times New Roman"/>
          <w:sz w:val="28"/>
          <w:szCs w:val="28"/>
          <w:lang w:eastAsia="en-US"/>
        </w:rPr>
        <w:t xml:space="preserve"> </w:t>
      </w:r>
      <w:r w:rsidRPr="00281B31">
        <w:rPr>
          <w:rFonts w:ascii="Times New Roman" w:hAnsi="Times New Roman" w:cs="Times New Roman"/>
          <w:sz w:val="28"/>
          <w:szCs w:val="28"/>
          <w:lang w:eastAsia="en-US"/>
        </w:rPr>
        <w:t>утвержденной постановлением Правите</w:t>
      </w:r>
      <w:r w:rsidR="00FB0A75">
        <w:rPr>
          <w:rFonts w:ascii="Times New Roman" w:hAnsi="Times New Roman" w:cs="Times New Roman"/>
          <w:sz w:val="28"/>
          <w:szCs w:val="28"/>
          <w:lang w:eastAsia="en-US"/>
        </w:rPr>
        <w:t>льства Новосибирской области от </w:t>
      </w:r>
      <w:r w:rsidRPr="00281B31">
        <w:rPr>
          <w:rFonts w:ascii="Times New Roman" w:hAnsi="Times New Roman" w:cs="Times New Roman"/>
          <w:sz w:val="28"/>
          <w:szCs w:val="28"/>
          <w:lang w:eastAsia="en-US"/>
        </w:rPr>
        <w:t xml:space="preserve">28.01.2015 № 28-п «Об утверждении государственной программы Новосибирской области «Охрана окружающей среды на 2015-2020 годы», предусмотрена реализация мероприятий, направленных на создание условий для развития товарного рыбоводства и промышленного рыболовства на территории Новосибирской области, в том числе предоставление субсидий из областного бюджета Новосибирской области юридическим лицам и </w:t>
      </w:r>
      <w:r>
        <w:rPr>
          <w:rFonts w:ascii="Times New Roman" w:hAnsi="Times New Roman" w:cs="Times New Roman"/>
          <w:sz w:val="28"/>
          <w:szCs w:val="28"/>
          <w:lang w:eastAsia="en-US"/>
        </w:rPr>
        <w:t>индивидуальным предпринимателям</w:t>
      </w:r>
      <w:r w:rsidRPr="00281B31">
        <w:rPr>
          <w:rFonts w:ascii="Times New Roman" w:hAnsi="Times New Roman" w:cs="Times New Roman"/>
          <w:sz w:val="28"/>
          <w:szCs w:val="28"/>
          <w:lang w:eastAsia="en-US"/>
        </w:rPr>
        <w:t xml:space="preserve"> – производителям товаров, работ, услуг в сфере товарного рыбоводства и промышленного рыболовства.</w:t>
      </w:r>
    </w:p>
    <w:p w14:paraId="7DA8FFBA" w14:textId="77777777" w:rsidR="003F4CFF" w:rsidRPr="00053A40" w:rsidRDefault="003F4CFF" w:rsidP="00053A40">
      <w:pPr>
        <w:tabs>
          <w:tab w:val="left" w:pos="0"/>
        </w:tabs>
        <w:autoSpaceDE w:val="0"/>
        <w:autoSpaceDN w:val="0"/>
        <w:ind w:firstLine="567"/>
        <w:jc w:val="both"/>
        <w:rPr>
          <w:rFonts w:ascii="Times New Roman" w:eastAsia="Times New Roman" w:hAnsi="Times New Roman" w:cs="Times New Roman"/>
          <w:b/>
          <w:sz w:val="28"/>
          <w:szCs w:val="28"/>
        </w:rPr>
      </w:pPr>
      <w:r w:rsidRPr="00B76649">
        <w:rPr>
          <w:rFonts w:ascii="Times New Roman" w:eastAsia="Times New Roman" w:hAnsi="Times New Roman" w:cs="Times New Roman"/>
          <w:b/>
          <w:sz w:val="28"/>
          <w:szCs w:val="28"/>
        </w:rPr>
        <w:t>Развитие субъектов малого и среднего предпринимательства</w:t>
      </w:r>
      <w:r w:rsidR="00053A40">
        <w:rPr>
          <w:rFonts w:ascii="Times New Roman" w:eastAsia="Times New Roman" w:hAnsi="Times New Roman" w:cs="Times New Roman"/>
          <w:b/>
          <w:sz w:val="28"/>
          <w:szCs w:val="28"/>
        </w:rPr>
        <w:t xml:space="preserve">. </w:t>
      </w:r>
      <w:r w:rsidRPr="00021C0D">
        <w:rPr>
          <w:rFonts w:ascii="Times New Roman" w:eastAsia="Times New Roman" w:hAnsi="Times New Roman" w:cs="Times New Roman"/>
          <w:sz w:val="28"/>
          <w:szCs w:val="28"/>
        </w:rPr>
        <w:t>В 2019 году в рамках реализации мероприятий государственной программы Новосибирской области «Развитие субъектов малого и среднего предпринимательства в Новосибирской области», утвержденной постановлением Правительства Новосибирской области от 31.01.2017 №</w:t>
      </w:r>
      <w:r w:rsidR="00FB0A75">
        <w:rPr>
          <w:rFonts w:ascii="Times New Roman" w:eastAsia="Times New Roman" w:hAnsi="Times New Roman" w:cs="Times New Roman"/>
          <w:sz w:val="28"/>
          <w:szCs w:val="28"/>
        </w:rPr>
        <w:t> </w:t>
      </w:r>
      <w:r w:rsidRPr="00021C0D">
        <w:rPr>
          <w:rFonts w:ascii="Times New Roman" w:eastAsia="Times New Roman" w:hAnsi="Times New Roman" w:cs="Times New Roman"/>
          <w:sz w:val="28"/>
          <w:szCs w:val="28"/>
        </w:rPr>
        <w:t>14-п, финансовую поддержку получили:</w:t>
      </w:r>
    </w:p>
    <w:p w14:paraId="57677296" w14:textId="77777777" w:rsidR="003F4CFF" w:rsidRPr="00021C0D" w:rsidRDefault="000821EE" w:rsidP="003F4CFF">
      <w:pPr>
        <w:tabs>
          <w:tab w:val="left" w:pos="0"/>
        </w:tabs>
        <w:autoSpaceDE w:val="0"/>
        <w:autoSpaceDN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w:t>
      </w:r>
      <w:r w:rsidR="00FB0A75">
        <w:rPr>
          <w:rFonts w:ascii="Times New Roman" w:eastAsia="Times New Roman" w:hAnsi="Times New Roman" w:cs="Times New Roman"/>
          <w:sz w:val="28"/>
          <w:szCs w:val="28"/>
        </w:rPr>
        <w:t>субъектов малого и среднего предпринимательства на общую сумму 43,14 </w:t>
      </w:r>
      <w:r w:rsidR="003F4CFF" w:rsidRPr="00021C0D">
        <w:rPr>
          <w:rFonts w:ascii="Times New Roman" w:eastAsia="Times New Roman" w:hAnsi="Times New Roman" w:cs="Times New Roman"/>
          <w:sz w:val="28"/>
          <w:szCs w:val="28"/>
        </w:rPr>
        <w:t>млн. рублей на компенсацию части затрат на приобретение оборудования;</w:t>
      </w:r>
    </w:p>
    <w:p w14:paraId="36A3D39D" w14:textId="77777777" w:rsidR="003F4CFF" w:rsidRPr="00021C0D" w:rsidRDefault="000821EE" w:rsidP="003F4CFF">
      <w:pPr>
        <w:tabs>
          <w:tab w:val="left" w:pos="0"/>
        </w:tabs>
        <w:autoSpaceDE w:val="0"/>
        <w:autoSpaceDN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r w:rsidR="003F4CFF" w:rsidRPr="00021C0D">
        <w:rPr>
          <w:rFonts w:ascii="Times New Roman" w:eastAsia="Times New Roman" w:hAnsi="Times New Roman" w:cs="Times New Roman"/>
          <w:sz w:val="28"/>
          <w:szCs w:val="28"/>
        </w:rPr>
        <w:t>субъектов малого и среднего предприни</w:t>
      </w:r>
      <w:r w:rsidR="00584796">
        <w:rPr>
          <w:rFonts w:ascii="Times New Roman" w:eastAsia="Times New Roman" w:hAnsi="Times New Roman" w:cs="Times New Roman"/>
          <w:sz w:val="28"/>
          <w:szCs w:val="28"/>
        </w:rPr>
        <w:t>мательства на общую сумму 10,69 </w:t>
      </w:r>
      <w:r w:rsidR="003F4CFF" w:rsidRPr="00021C0D">
        <w:rPr>
          <w:rFonts w:ascii="Times New Roman" w:eastAsia="Times New Roman" w:hAnsi="Times New Roman" w:cs="Times New Roman"/>
          <w:sz w:val="28"/>
          <w:szCs w:val="28"/>
        </w:rPr>
        <w:t>млн. рублей на компенсацию части затрат по договорам лизинга.</w:t>
      </w:r>
    </w:p>
    <w:p w14:paraId="45F9EFD2" w14:textId="77777777" w:rsidR="003F4CFF" w:rsidRDefault="003F4CFF" w:rsidP="003F4CFF">
      <w:pPr>
        <w:tabs>
          <w:tab w:val="left" w:pos="0"/>
        </w:tabs>
        <w:autoSpaceDE w:val="0"/>
        <w:autoSpaceDN w:val="0"/>
        <w:ind w:firstLine="567"/>
        <w:jc w:val="both"/>
        <w:rPr>
          <w:rFonts w:ascii="Times New Roman" w:eastAsia="Times New Roman" w:hAnsi="Times New Roman" w:cs="Times New Roman"/>
          <w:sz w:val="28"/>
          <w:szCs w:val="28"/>
        </w:rPr>
      </w:pPr>
      <w:r w:rsidRPr="00021C0D">
        <w:rPr>
          <w:rFonts w:ascii="Times New Roman" w:eastAsia="Times New Roman" w:hAnsi="Times New Roman" w:cs="Times New Roman"/>
          <w:sz w:val="28"/>
          <w:szCs w:val="28"/>
        </w:rPr>
        <w:lastRenderedPageBreak/>
        <w:t>На проведение обучающих семинаров, курсов по вопросам осуществления предпринимательской деятельности в 2019 году направлено 1,5 млн. рублей средств областного бюджета</w:t>
      </w:r>
      <w:r w:rsidR="00415E60">
        <w:rPr>
          <w:rFonts w:ascii="Times New Roman" w:eastAsia="Times New Roman" w:hAnsi="Times New Roman" w:cs="Times New Roman"/>
          <w:sz w:val="28"/>
          <w:szCs w:val="28"/>
        </w:rPr>
        <w:t xml:space="preserve"> Новосибирской области</w:t>
      </w:r>
      <w:r w:rsidRPr="00021C0D">
        <w:rPr>
          <w:rFonts w:ascii="Times New Roman" w:eastAsia="Times New Roman" w:hAnsi="Times New Roman" w:cs="Times New Roman"/>
          <w:sz w:val="28"/>
          <w:szCs w:val="28"/>
        </w:rPr>
        <w:t xml:space="preserve">. Проведено 32 обучающих семинара, в которых приняли участие 757 субъектов </w:t>
      </w:r>
      <w:r w:rsidR="00582AA8">
        <w:rPr>
          <w:rFonts w:ascii="Times New Roman" w:eastAsia="Times New Roman" w:hAnsi="Times New Roman" w:cs="Times New Roman"/>
          <w:sz w:val="28"/>
          <w:szCs w:val="28"/>
        </w:rPr>
        <w:t>малого и среднего предпринимательства</w:t>
      </w:r>
      <w:r w:rsidRPr="00021C0D">
        <w:rPr>
          <w:rFonts w:ascii="Times New Roman" w:eastAsia="Times New Roman" w:hAnsi="Times New Roman" w:cs="Times New Roman"/>
          <w:sz w:val="28"/>
          <w:szCs w:val="28"/>
        </w:rPr>
        <w:t>.</w:t>
      </w:r>
    </w:p>
    <w:p w14:paraId="20723790" w14:textId="77777777" w:rsidR="003F4CFF" w:rsidRPr="00021C0D" w:rsidRDefault="003F4CFF" w:rsidP="003F4CFF">
      <w:pPr>
        <w:tabs>
          <w:tab w:val="left" w:pos="0"/>
        </w:tabs>
        <w:autoSpaceDE w:val="0"/>
        <w:autoSpaceDN w:val="0"/>
        <w:ind w:firstLine="567"/>
        <w:contextualSpacing/>
        <w:jc w:val="both"/>
        <w:rPr>
          <w:rFonts w:ascii="Times New Roman" w:eastAsia="Times New Roman" w:hAnsi="Times New Roman" w:cs="Times New Roman"/>
          <w:sz w:val="28"/>
          <w:szCs w:val="28"/>
        </w:rPr>
      </w:pPr>
      <w:r w:rsidRPr="00B76649">
        <w:rPr>
          <w:rFonts w:ascii="Times New Roman" w:eastAsia="Times New Roman" w:hAnsi="Times New Roman" w:cs="Times New Roman"/>
          <w:b/>
          <w:sz w:val="28"/>
          <w:szCs w:val="28"/>
        </w:rPr>
        <w:t>Промышленный комплекс.</w:t>
      </w:r>
      <w:r>
        <w:rPr>
          <w:rFonts w:ascii="Times New Roman" w:eastAsia="Times New Roman" w:hAnsi="Times New Roman" w:cs="Times New Roman"/>
          <w:sz w:val="28"/>
          <w:szCs w:val="28"/>
        </w:rPr>
        <w:t xml:space="preserve"> </w:t>
      </w:r>
      <w:r w:rsidRPr="00021C0D">
        <w:rPr>
          <w:rFonts w:ascii="Times New Roman" w:eastAsia="Times New Roman" w:hAnsi="Times New Roman" w:cs="Times New Roman"/>
          <w:sz w:val="28"/>
          <w:szCs w:val="28"/>
        </w:rPr>
        <w:t>В целях создания условий для развития промышленного потенциала, повышения конкурентоспособности промышленных организаций Новосибирской области, расширения производства наукоемкой продукции с 2015 года реализуется государственная программа Новосибирской области «Развитие промышленности и повышение е</w:t>
      </w:r>
      <w:r w:rsidR="00415E60">
        <w:rPr>
          <w:rFonts w:ascii="Times New Roman" w:eastAsia="Times New Roman" w:hAnsi="Times New Roman" w:cs="Times New Roman"/>
          <w:sz w:val="28"/>
          <w:szCs w:val="28"/>
        </w:rPr>
        <w:t>е</w:t>
      </w:r>
      <w:r w:rsidRPr="00021C0D">
        <w:rPr>
          <w:rFonts w:ascii="Times New Roman" w:eastAsia="Times New Roman" w:hAnsi="Times New Roman" w:cs="Times New Roman"/>
          <w:sz w:val="28"/>
          <w:szCs w:val="28"/>
        </w:rPr>
        <w:t xml:space="preserve"> конкурентоспособности в Новосибирской области», утвержденная постановлением Правительства Новосибирской области от 28.07.2015 № 291-п, в рамках которой в</w:t>
      </w:r>
      <w:r w:rsidRPr="00021C0D">
        <w:rPr>
          <w:rFonts w:ascii="Times New Roman" w:hAnsi="Times New Roman" w:cs="Times New Roman"/>
          <w:sz w:val="28"/>
          <w:szCs w:val="28"/>
        </w:rPr>
        <w:t xml:space="preserve"> 2019 году на реализацию программных мероприятий из областного бюджета Новосибирской области направлено 89 млн. рублей. </w:t>
      </w:r>
    </w:p>
    <w:p w14:paraId="58CA54D8" w14:textId="55713FD3" w:rsidR="003F4CFF" w:rsidRPr="00021C0D" w:rsidRDefault="003F4CFF" w:rsidP="003F4CFF">
      <w:pPr>
        <w:widowControl w:val="0"/>
        <w:tabs>
          <w:tab w:val="left" w:pos="0"/>
        </w:tabs>
        <w:autoSpaceDE w:val="0"/>
        <w:autoSpaceDN w:val="0"/>
        <w:ind w:firstLine="567"/>
        <w:jc w:val="both"/>
        <w:rPr>
          <w:rFonts w:ascii="Times New Roman" w:eastAsia="Times New Roman" w:hAnsi="Times New Roman" w:cs="Times New Roman"/>
          <w:strike/>
          <w:sz w:val="28"/>
          <w:szCs w:val="28"/>
        </w:rPr>
      </w:pPr>
      <w:r w:rsidRPr="00021C0D">
        <w:rPr>
          <w:rFonts w:ascii="Times New Roman" w:eastAsia="Times New Roman" w:hAnsi="Times New Roman" w:cs="Times New Roman"/>
          <w:sz w:val="28"/>
          <w:szCs w:val="28"/>
        </w:rPr>
        <w:t xml:space="preserve">В рамках реализации подпрограммы «Техническое перевооружение промышленности Новосибирской области» государственной программы </w:t>
      </w:r>
      <w:r w:rsidR="00FC3083" w:rsidRPr="00021C0D">
        <w:rPr>
          <w:rFonts w:ascii="Times New Roman" w:eastAsia="Times New Roman" w:hAnsi="Times New Roman" w:cs="Times New Roman"/>
          <w:sz w:val="28"/>
          <w:szCs w:val="28"/>
        </w:rPr>
        <w:t>«Развитие промышленности и повышение е</w:t>
      </w:r>
      <w:r w:rsidR="00FC3083">
        <w:rPr>
          <w:rFonts w:ascii="Times New Roman" w:eastAsia="Times New Roman" w:hAnsi="Times New Roman" w:cs="Times New Roman"/>
          <w:sz w:val="28"/>
          <w:szCs w:val="28"/>
        </w:rPr>
        <w:t>е</w:t>
      </w:r>
      <w:r w:rsidR="00FC3083" w:rsidRPr="00021C0D">
        <w:rPr>
          <w:rFonts w:ascii="Times New Roman" w:eastAsia="Times New Roman" w:hAnsi="Times New Roman" w:cs="Times New Roman"/>
          <w:sz w:val="28"/>
          <w:szCs w:val="28"/>
        </w:rPr>
        <w:t xml:space="preserve"> конкурентоспособности в Новосибирской области»</w:t>
      </w:r>
      <w:r w:rsidRPr="00021C0D">
        <w:rPr>
          <w:rFonts w:ascii="Times New Roman" w:eastAsia="Times New Roman" w:hAnsi="Times New Roman" w:cs="Times New Roman"/>
          <w:sz w:val="28"/>
          <w:szCs w:val="28"/>
        </w:rPr>
        <w:t xml:space="preserve"> в 2019 году на конкурсной основе промышленным организациям Новосибирской области оказана финансовая поддержка из областного бюджета Нов</w:t>
      </w:r>
      <w:r w:rsidR="001A1746">
        <w:rPr>
          <w:rFonts w:ascii="Times New Roman" w:eastAsia="Times New Roman" w:hAnsi="Times New Roman" w:cs="Times New Roman"/>
          <w:sz w:val="28"/>
          <w:szCs w:val="28"/>
        </w:rPr>
        <w:t>осибирской области в размере 25 </w:t>
      </w:r>
      <w:r w:rsidRPr="00021C0D">
        <w:rPr>
          <w:rFonts w:ascii="Times New Roman" w:eastAsia="Times New Roman" w:hAnsi="Times New Roman" w:cs="Times New Roman"/>
          <w:sz w:val="28"/>
          <w:szCs w:val="28"/>
        </w:rPr>
        <w:t xml:space="preserve">млн. рублей в виде предоставления субсидий на возмещение части затрат на приобретенное новое основное технологическое оборудование. </w:t>
      </w:r>
    </w:p>
    <w:p w14:paraId="6525D1E3" w14:textId="77777777" w:rsidR="003F4CFF" w:rsidRPr="00021C0D" w:rsidRDefault="003F4CFF" w:rsidP="003F4CFF">
      <w:pPr>
        <w:tabs>
          <w:tab w:val="left" w:pos="0"/>
        </w:tabs>
        <w:ind w:firstLine="567"/>
        <w:jc w:val="both"/>
        <w:rPr>
          <w:rFonts w:ascii="Times New Roman" w:eastAsia="Times New Roman" w:hAnsi="Times New Roman" w:cs="Times New Roman"/>
          <w:sz w:val="28"/>
          <w:szCs w:val="28"/>
        </w:rPr>
      </w:pPr>
      <w:r w:rsidRPr="00021C0D">
        <w:rPr>
          <w:rFonts w:ascii="Times New Roman" w:eastAsia="Times New Roman" w:hAnsi="Times New Roman" w:cs="Times New Roman"/>
          <w:sz w:val="28"/>
          <w:szCs w:val="28"/>
        </w:rPr>
        <w:t>Победителями конкурсов на получение го</w:t>
      </w:r>
      <w:r w:rsidR="00582AA8">
        <w:rPr>
          <w:rFonts w:ascii="Times New Roman" w:eastAsia="Times New Roman" w:hAnsi="Times New Roman" w:cs="Times New Roman"/>
          <w:sz w:val="28"/>
          <w:szCs w:val="28"/>
        </w:rPr>
        <w:t xml:space="preserve">сударственной поддержки стали </w:t>
      </w:r>
      <w:r w:rsidR="00582AA8" w:rsidRPr="00582AA8">
        <w:rPr>
          <w:rFonts w:ascii="Times New Roman" w:eastAsia="Times New Roman" w:hAnsi="Times New Roman" w:cs="Times New Roman"/>
          <w:sz w:val="28"/>
          <w:szCs w:val="28"/>
        </w:rPr>
        <w:t>9 </w:t>
      </w:r>
      <w:r w:rsidRPr="00582AA8">
        <w:rPr>
          <w:rFonts w:ascii="Times New Roman" w:eastAsia="Times New Roman" w:hAnsi="Times New Roman" w:cs="Times New Roman"/>
          <w:sz w:val="28"/>
          <w:szCs w:val="28"/>
        </w:rPr>
        <w:t>промышленных</w:t>
      </w:r>
      <w:r w:rsidRPr="00021C0D">
        <w:rPr>
          <w:rFonts w:ascii="Times New Roman" w:eastAsia="Times New Roman" w:hAnsi="Times New Roman" w:cs="Times New Roman"/>
          <w:sz w:val="28"/>
          <w:szCs w:val="28"/>
        </w:rPr>
        <w:t xml:space="preserve"> организаций Новосибирской области.</w:t>
      </w:r>
    </w:p>
    <w:p w14:paraId="76F1CF1F" w14:textId="77777777" w:rsidR="003F4CFF" w:rsidRPr="00021C0D" w:rsidRDefault="003F4CFF" w:rsidP="003F4CFF">
      <w:pPr>
        <w:tabs>
          <w:tab w:val="left" w:pos="0"/>
        </w:tabs>
        <w:ind w:firstLine="567"/>
        <w:jc w:val="both"/>
        <w:rPr>
          <w:rFonts w:ascii="Times New Roman" w:hAnsi="Times New Roman" w:cs="Times New Roman"/>
          <w:sz w:val="28"/>
          <w:szCs w:val="28"/>
        </w:rPr>
      </w:pPr>
      <w:r w:rsidRPr="00021C0D">
        <w:rPr>
          <w:rFonts w:ascii="Times New Roman" w:hAnsi="Times New Roman"/>
          <w:sz w:val="28"/>
          <w:szCs w:val="28"/>
        </w:rPr>
        <w:t>Предприятиями на приобретение нового высокопроизводительного оборудо</w:t>
      </w:r>
      <w:r w:rsidR="001A1746">
        <w:rPr>
          <w:rFonts w:ascii="Times New Roman" w:hAnsi="Times New Roman"/>
          <w:sz w:val="28"/>
          <w:szCs w:val="28"/>
        </w:rPr>
        <w:t xml:space="preserve">вания было направлено около </w:t>
      </w:r>
      <w:r w:rsidR="001A1746" w:rsidRPr="001A1746">
        <w:rPr>
          <w:rFonts w:ascii="Times New Roman" w:eastAsia="Times New Roman" w:hAnsi="Times New Roman" w:cs="Times New Roman"/>
          <w:sz w:val="28"/>
          <w:szCs w:val="28"/>
        </w:rPr>
        <w:t>216</w:t>
      </w:r>
      <w:r w:rsidR="001A1746">
        <w:rPr>
          <w:rFonts w:ascii="Times New Roman" w:eastAsia="Times New Roman" w:hAnsi="Times New Roman" w:cs="Times New Roman"/>
          <w:sz w:val="28"/>
          <w:szCs w:val="28"/>
        </w:rPr>
        <w:t> </w:t>
      </w:r>
      <w:r w:rsidRPr="001A1746">
        <w:rPr>
          <w:rFonts w:ascii="Times New Roman" w:eastAsia="Times New Roman" w:hAnsi="Times New Roman" w:cs="Times New Roman"/>
          <w:sz w:val="28"/>
          <w:szCs w:val="28"/>
        </w:rPr>
        <w:t>млн.</w:t>
      </w:r>
      <w:r w:rsidRPr="00021C0D">
        <w:rPr>
          <w:rFonts w:ascii="Times New Roman" w:hAnsi="Times New Roman"/>
          <w:sz w:val="28"/>
          <w:szCs w:val="28"/>
        </w:rPr>
        <w:t xml:space="preserve"> рублей, что позволило расширить номенклатуру выпускаемой продукции, повысить качество изделий, </w:t>
      </w:r>
      <w:r>
        <w:rPr>
          <w:rFonts w:ascii="Times New Roman" w:hAnsi="Times New Roman"/>
          <w:sz w:val="28"/>
          <w:szCs w:val="28"/>
        </w:rPr>
        <w:t>увеличить объ</w:t>
      </w:r>
      <w:r w:rsidR="00415E60">
        <w:rPr>
          <w:rFonts w:ascii="Times New Roman" w:hAnsi="Times New Roman"/>
          <w:sz w:val="28"/>
          <w:szCs w:val="28"/>
        </w:rPr>
        <w:t>е</w:t>
      </w:r>
      <w:r>
        <w:rPr>
          <w:rFonts w:ascii="Times New Roman" w:hAnsi="Times New Roman"/>
          <w:sz w:val="28"/>
          <w:szCs w:val="28"/>
        </w:rPr>
        <w:t>мы производства.</w:t>
      </w:r>
    </w:p>
    <w:p w14:paraId="35A3DA6A" w14:textId="77777777" w:rsidR="003F4CFF" w:rsidRPr="00021C0D" w:rsidRDefault="003F4CFF" w:rsidP="003F4CFF">
      <w:pPr>
        <w:tabs>
          <w:tab w:val="left" w:pos="0"/>
        </w:tabs>
        <w:autoSpaceDE w:val="0"/>
        <w:autoSpaceDN w:val="0"/>
        <w:adjustRightInd w:val="0"/>
        <w:ind w:firstLine="567"/>
        <w:jc w:val="both"/>
        <w:rPr>
          <w:rFonts w:ascii="Times New Roman" w:hAnsi="Times New Roman"/>
          <w:sz w:val="28"/>
          <w:szCs w:val="28"/>
        </w:rPr>
      </w:pPr>
      <w:r w:rsidRPr="00021C0D">
        <w:rPr>
          <w:rFonts w:ascii="Times New Roman" w:eastAsia="Times New Roman" w:hAnsi="Times New Roman" w:cs="Times New Roman"/>
          <w:sz w:val="28"/>
          <w:szCs w:val="28"/>
        </w:rPr>
        <w:t>На реализацию мероприятий подпрограммы «Государственная поддержка научно-производственных центров в Новосибирской области» в 2019 году из средств областного бюджета Новосибирской области</w:t>
      </w:r>
      <w:r w:rsidRPr="00021C0D">
        <w:rPr>
          <w:rFonts w:ascii="Times New Roman" w:hAnsi="Times New Roman"/>
          <w:sz w:val="28"/>
          <w:szCs w:val="28"/>
        </w:rPr>
        <w:t xml:space="preserve"> было направлено 24 млн. рублей, из них:</w:t>
      </w:r>
    </w:p>
    <w:p w14:paraId="69FEDB9D" w14:textId="74AA6B73" w:rsidR="003F4CFF" w:rsidRPr="002E662C" w:rsidRDefault="003F4CFF" w:rsidP="003F4CFF">
      <w:pPr>
        <w:tabs>
          <w:tab w:val="left" w:pos="0"/>
        </w:tabs>
        <w:autoSpaceDE w:val="0"/>
        <w:autoSpaceDN w:val="0"/>
        <w:adjustRightInd w:val="0"/>
        <w:ind w:firstLine="567"/>
        <w:jc w:val="both"/>
        <w:rPr>
          <w:rFonts w:ascii="Times New Roman" w:eastAsia="Times New Roman" w:hAnsi="Times New Roman" w:cs="Times New Roman"/>
          <w:sz w:val="28"/>
          <w:szCs w:val="28"/>
        </w:rPr>
      </w:pPr>
      <w:r w:rsidRPr="002E662C">
        <w:rPr>
          <w:rFonts w:ascii="Times New Roman" w:eastAsia="Times New Roman" w:hAnsi="Times New Roman" w:cs="Times New Roman"/>
          <w:sz w:val="28"/>
          <w:szCs w:val="28"/>
        </w:rPr>
        <w:t xml:space="preserve">на приобретение специального исследовательского, опытно-экспериментального оборудования и приборов </w:t>
      </w:r>
      <w:r w:rsidRPr="00021C0D">
        <w:rPr>
          <w:rFonts w:ascii="Times New Roman" w:eastAsia="Times New Roman" w:hAnsi="Times New Roman" w:cs="Times New Roman"/>
          <w:sz w:val="28"/>
          <w:szCs w:val="28"/>
        </w:rPr>
        <w:t xml:space="preserve">предоставлено субсидий из областного бюджета Новосибирской области </w:t>
      </w:r>
      <w:r w:rsidRPr="002E662C">
        <w:rPr>
          <w:rFonts w:ascii="Times New Roman" w:eastAsia="Times New Roman" w:hAnsi="Times New Roman" w:cs="Times New Roman"/>
          <w:sz w:val="28"/>
          <w:szCs w:val="28"/>
        </w:rPr>
        <w:t>в размере 4 млн. рублей</w:t>
      </w:r>
      <w:r w:rsidRPr="00021C0D">
        <w:rPr>
          <w:rFonts w:ascii="Times New Roman" w:eastAsia="Times New Roman" w:hAnsi="Times New Roman" w:cs="Times New Roman"/>
          <w:sz w:val="28"/>
          <w:szCs w:val="28"/>
        </w:rPr>
        <w:t xml:space="preserve"> </w:t>
      </w:r>
      <w:r w:rsidR="00794D1B">
        <w:rPr>
          <w:rFonts w:ascii="Times New Roman" w:eastAsia="Times New Roman" w:hAnsi="Times New Roman" w:cs="Times New Roman"/>
          <w:sz w:val="28"/>
          <w:szCs w:val="28"/>
        </w:rPr>
        <w:t>2 </w:t>
      </w:r>
      <w:r>
        <w:rPr>
          <w:rFonts w:ascii="Times New Roman" w:eastAsia="Times New Roman" w:hAnsi="Times New Roman" w:cs="Times New Roman"/>
          <w:sz w:val="28"/>
          <w:szCs w:val="28"/>
        </w:rPr>
        <w:t>ком</w:t>
      </w:r>
      <w:r w:rsidR="00582AA8">
        <w:rPr>
          <w:rFonts w:ascii="Times New Roman" w:eastAsia="Times New Roman" w:hAnsi="Times New Roman" w:cs="Times New Roman"/>
          <w:sz w:val="28"/>
          <w:szCs w:val="28"/>
        </w:rPr>
        <w:t xml:space="preserve">паниям (ООО «Файбер Трейд», ООО </w:t>
      </w:r>
      <w:r w:rsidRPr="002E662C">
        <w:rPr>
          <w:rFonts w:ascii="Times New Roman" w:eastAsia="Times New Roman" w:hAnsi="Times New Roman" w:cs="Times New Roman"/>
          <w:sz w:val="28"/>
          <w:szCs w:val="28"/>
        </w:rPr>
        <w:t>«Сибирь-мехатроника»);</w:t>
      </w:r>
    </w:p>
    <w:p w14:paraId="713BFE55" w14:textId="77777777" w:rsidR="003F4CFF" w:rsidRPr="002E662C" w:rsidRDefault="003F4CFF" w:rsidP="003F4CFF">
      <w:pPr>
        <w:tabs>
          <w:tab w:val="left" w:pos="0"/>
        </w:tabs>
        <w:autoSpaceDE w:val="0"/>
        <w:autoSpaceDN w:val="0"/>
        <w:adjustRightInd w:val="0"/>
        <w:ind w:firstLine="567"/>
        <w:jc w:val="both"/>
        <w:rPr>
          <w:rFonts w:ascii="Times New Roman" w:eastAsia="Times New Roman" w:hAnsi="Times New Roman" w:cs="Times New Roman"/>
          <w:sz w:val="28"/>
          <w:szCs w:val="28"/>
        </w:rPr>
      </w:pPr>
      <w:r w:rsidRPr="002E662C">
        <w:rPr>
          <w:rFonts w:ascii="Times New Roman" w:eastAsia="Times New Roman" w:hAnsi="Times New Roman" w:cs="Times New Roman"/>
          <w:sz w:val="28"/>
          <w:szCs w:val="28"/>
        </w:rPr>
        <w:t>на проведен</w:t>
      </w:r>
      <w:r w:rsidR="001A1746">
        <w:rPr>
          <w:rFonts w:ascii="Times New Roman" w:eastAsia="Times New Roman" w:hAnsi="Times New Roman" w:cs="Times New Roman"/>
          <w:sz w:val="28"/>
          <w:szCs w:val="28"/>
        </w:rPr>
        <w:t>ие</w:t>
      </w:r>
      <w:r w:rsidRPr="002E662C">
        <w:rPr>
          <w:rFonts w:ascii="Times New Roman" w:eastAsia="Times New Roman" w:hAnsi="Times New Roman" w:cs="Times New Roman"/>
          <w:sz w:val="28"/>
          <w:szCs w:val="28"/>
        </w:rPr>
        <w:t xml:space="preserve"> комплекс</w:t>
      </w:r>
      <w:r w:rsidR="001A1746">
        <w:rPr>
          <w:rFonts w:ascii="Times New Roman" w:eastAsia="Times New Roman" w:hAnsi="Times New Roman" w:cs="Times New Roman"/>
          <w:sz w:val="28"/>
          <w:szCs w:val="28"/>
        </w:rPr>
        <w:t>а</w:t>
      </w:r>
      <w:r w:rsidRPr="002E662C">
        <w:rPr>
          <w:rFonts w:ascii="Times New Roman" w:eastAsia="Times New Roman" w:hAnsi="Times New Roman" w:cs="Times New Roman"/>
          <w:sz w:val="28"/>
          <w:szCs w:val="28"/>
        </w:rPr>
        <w:t xml:space="preserve"> работ по созданию новых материалов, технологий, опытных образцов (опытных партий) инновационной высокотехнологичной продукции предоставлено субсидий </w:t>
      </w:r>
      <w:r w:rsidRPr="00021C0D">
        <w:rPr>
          <w:rFonts w:ascii="Times New Roman" w:eastAsia="Times New Roman" w:hAnsi="Times New Roman" w:cs="Times New Roman"/>
          <w:sz w:val="28"/>
          <w:szCs w:val="28"/>
        </w:rPr>
        <w:t xml:space="preserve">из областного бюджета Новосибирской области </w:t>
      </w:r>
      <w:r>
        <w:rPr>
          <w:rFonts w:ascii="Times New Roman" w:eastAsia="Times New Roman" w:hAnsi="Times New Roman" w:cs="Times New Roman"/>
          <w:sz w:val="28"/>
          <w:szCs w:val="28"/>
        </w:rPr>
        <w:t>в размере 20,0 млн. рублей 9 </w:t>
      </w:r>
      <w:r w:rsidRPr="002E662C">
        <w:rPr>
          <w:rFonts w:ascii="Times New Roman" w:eastAsia="Times New Roman" w:hAnsi="Times New Roman" w:cs="Times New Roman"/>
          <w:sz w:val="28"/>
          <w:szCs w:val="28"/>
        </w:rPr>
        <w:t>научно-производственным центрам Нов</w:t>
      </w:r>
      <w:r w:rsidR="001A1746">
        <w:rPr>
          <w:rFonts w:ascii="Times New Roman" w:eastAsia="Times New Roman" w:hAnsi="Times New Roman" w:cs="Times New Roman"/>
          <w:sz w:val="28"/>
          <w:szCs w:val="28"/>
        </w:rPr>
        <w:t>осибирской области. Победителям</w:t>
      </w:r>
      <w:r w:rsidRPr="002E662C">
        <w:rPr>
          <w:rFonts w:ascii="Times New Roman" w:eastAsia="Times New Roman" w:hAnsi="Times New Roman" w:cs="Times New Roman"/>
          <w:sz w:val="28"/>
          <w:szCs w:val="28"/>
        </w:rPr>
        <w:t xml:space="preserve"> конкурсного отбора было направлено о</w:t>
      </w:r>
      <w:r>
        <w:rPr>
          <w:rFonts w:ascii="Times New Roman" w:eastAsia="Times New Roman" w:hAnsi="Times New Roman" w:cs="Times New Roman"/>
          <w:sz w:val="28"/>
          <w:szCs w:val="28"/>
        </w:rPr>
        <w:t>коло 122 </w:t>
      </w:r>
      <w:r w:rsidRPr="002E662C">
        <w:rPr>
          <w:rFonts w:ascii="Times New Roman" w:eastAsia="Times New Roman" w:hAnsi="Times New Roman" w:cs="Times New Roman"/>
          <w:sz w:val="28"/>
          <w:szCs w:val="28"/>
        </w:rPr>
        <w:t xml:space="preserve">млн. рублей на разработку 13 новых видов образцов инновационной высокотехнологичной продукции, новых технологий, материалов. Поддержанные </w:t>
      </w:r>
      <w:r w:rsidRPr="002E662C">
        <w:rPr>
          <w:rFonts w:ascii="Times New Roman" w:eastAsia="Times New Roman" w:hAnsi="Times New Roman" w:cs="Times New Roman"/>
          <w:sz w:val="28"/>
          <w:szCs w:val="28"/>
        </w:rPr>
        <w:lastRenderedPageBreak/>
        <w:t>проекты содержат инновационные идеи и технологии, не имеющие аналогов в мире.</w:t>
      </w:r>
    </w:p>
    <w:p w14:paraId="2598FD17" w14:textId="77777777" w:rsidR="003F4CFF" w:rsidRPr="001A1746" w:rsidRDefault="003F4CFF" w:rsidP="00582AA8">
      <w:pPr>
        <w:autoSpaceDE w:val="0"/>
        <w:autoSpaceDN w:val="0"/>
        <w:adjustRightInd w:val="0"/>
        <w:ind w:firstLine="567"/>
        <w:jc w:val="both"/>
        <w:rPr>
          <w:rFonts w:ascii="Times New Roman" w:eastAsiaTheme="minorHAnsi" w:hAnsi="Times New Roman" w:cs="Times New Roman"/>
          <w:sz w:val="28"/>
          <w:szCs w:val="28"/>
        </w:rPr>
      </w:pPr>
      <w:r w:rsidRPr="002D60A6">
        <w:rPr>
          <w:rFonts w:ascii="Times New Roman" w:eastAsia="Times New Roman" w:hAnsi="Times New Roman" w:cs="Times New Roman"/>
          <w:b/>
          <w:sz w:val="28"/>
          <w:szCs w:val="28"/>
        </w:rPr>
        <w:t>Инвестиционная и инновационная активность</w:t>
      </w:r>
      <w:r>
        <w:rPr>
          <w:rFonts w:ascii="Times New Roman" w:eastAsia="Times New Roman" w:hAnsi="Times New Roman" w:cs="Times New Roman"/>
          <w:b/>
          <w:sz w:val="28"/>
          <w:szCs w:val="28"/>
        </w:rPr>
        <w:t>.</w:t>
      </w:r>
      <w:r w:rsidRPr="00021C0D">
        <w:rPr>
          <w:rFonts w:ascii="Times New Roman" w:eastAsia="Times New Roman" w:hAnsi="Times New Roman" w:cs="Times New Roman"/>
          <w:sz w:val="28"/>
          <w:szCs w:val="28"/>
        </w:rPr>
        <w:t xml:space="preserve"> В 2019 году в рамках государственной программы Новосибирской области «Стимулирование инвестиционной и инновационной активности в Новосибирской области», утвержденной постановлением Правите</w:t>
      </w:r>
      <w:r w:rsidR="001A1746">
        <w:rPr>
          <w:rFonts w:ascii="Times New Roman" w:eastAsia="Times New Roman" w:hAnsi="Times New Roman" w:cs="Times New Roman"/>
          <w:sz w:val="28"/>
          <w:szCs w:val="28"/>
        </w:rPr>
        <w:t>льства Новосибирской области от </w:t>
      </w:r>
      <w:r w:rsidRPr="00021C0D">
        <w:rPr>
          <w:rFonts w:ascii="Times New Roman" w:eastAsia="Times New Roman" w:hAnsi="Times New Roman" w:cs="Times New Roman"/>
          <w:sz w:val="28"/>
          <w:szCs w:val="28"/>
        </w:rPr>
        <w:t>01.04.2015 № 126-п</w:t>
      </w:r>
      <w:r w:rsidR="001A1746">
        <w:rPr>
          <w:rFonts w:ascii="Times New Roman" w:eastAsia="Times New Roman" w:hAnsi="Times New Roman" w:cs="Times New Roman"/>
          <w:sz w:val="28"/>
          <w:szCs w:val="28"/>
        </w:rPr>
        <w:t xml:space="preserve"> </w:t>
      </w:r>
      <w:r w:rsidR="001A1746">
        <w:rPr>
          <w:rFonts w:ascii="Times New Roman" w:eastAsiaTheme="minorHAnsi" w:hAnsi="Times New Roman" w:cs="Times New Roman"/>
          <w:sz w:val="28"/>
          <w:szCs w:val="28"/>
        </w:rPr>
        <w:t>«О государственной программе Новосибирской области «Стимулирование инвестиционной активности в Новосибирской области»</w:t>
      </w:r>
      <w:r w:rsidRPr="00021C0D">
        <w:rPr>
          <w:rFonts w:ascii="Times New Roman" w:eastAsia="Times New Roman" w:hAnsi="Times New Roman" w:cs="Times New Roman"/>
          <w:sz w:val="28"/>
          <w:szCs w:val="28"/>
        </w:rPr>
        <w:t xml:space="preserve">, были проведены конкурсы на предоставление грантов, премий и стипендий молодым ученым Правительства Новосибирской области. По итогам трех конкурсов было поддержано 38 заявок из 149, которые поступили в 2019 году (55 – премии, 44 – стипендии, 50 – гранты). Общий объем финансирования составил 10,25 млн. рублей. </w:t>
      </w:r>
    </w:p>
    <w:p w14:paraId="793218B8" w14:textId="77777777" w:rsidR="003F4CFF" w:rsidRPr="00021C0D" w:rsidRDefault="003F4CFF" w:rsidP="003F4CFF">
      <w:pPr>
        <w:tabs>
          <w:tab w:val="left" w:pos="0"/>
        </w:tabs>
        <w:ind w:firstLine="567"/>
        <w:jc w:val="both"/>
        <w:rPr>
          <w:rFonts w:ascii="Times New Roman" w:eastAsia="Times New Roman" w:hAnsi="Times New Roman" w:cs="Times New Roman"/>
          <w:sz w:val="28"/>
          <w:szCs w:val="28"/>
        </w:rPr>
      </w:pPr>
      <w:r w:rsidRPr="00021C0D">
        <w:rPr>
          <w:rFonts w:ascii="Times New Roman" w:eastAsia="Times New Roman" w:hAnsi="Times New Roman" w:cs="Times New Roman"/>
          <w:sz w:val="28"/>
          <w:szCs w:val="28"/>
        </w:rPr>
        <w:t>В целях стимулирования коммерциализации научных знаний и трансфера технологий в Новосибирской области из 21 заявки были предоставлены субсидии 15 инновационным компаниям на подготовку, осуществление трансфера и коммерциализацию технологий, включая выпуск опытной партии продукции, ее сертификацию, модернизацию производства и прочие мероприятия. Общий объ</w:t>
      </w:r>
      <w:r>
        <w:rPr>
          <w:rFonts w:ascii="Times New Roman" w:eastAsia="Times New Roman" w:hAnsi="Times New Roman" w:cs="Times New Roman"/>
          <w:sz w:val="28"/>
          <w:szCs w:val="28"/>
        </w:rPr>
        <w:t>ем финансирования составил 36,2 </w:t>
      </w:r>
      <w:r w:rsidRPr="00021C0D">
        <w:rPr>
          <w:rFonts w:ascii="Times New Roman" w:eastAsia="Times New Roman" w:hAnsi="Times New Roman" w:cs="Times New Roman"/>
          <w:sz w:val="28"/>
          <w:szCs w:val="28"/>
        </w:rPr>
        <w:t>млн. рублей.</w:t>
      </w:r>
    </w:p>
    <w:p w14:paraId="11EB41FC" w14:textId="77777777" w:rsidR="003F4CFF" w:rsidRPr="00B76649" w:rsidRDefault="003F4CFF" w:rsidP="003F4CFF">
      <w:pPr>
        <w:tabs>
          <w:tab w:val="left" w:pos="0"/>
        </w:tabs>
        <w:ind w:firstLine="567"/>
        <w:jc w:val="both"/>
        <w:rPr>
          <w:rFonts w:ascii="Times New Roman" w:hAnsi="Times New Roman" w:cs="Times New Roman"/>
          <w:b/>
          <w:sz w:val="28"/>
          <w:szCs w:val="28"/>
        </w:rPr>
      </w:pPr>
      <w:r w:rsidRPr="00B76649">
        <w:rPr>
          <w:rFonts w:ascii="Times New Roman" w:hAnsi="Times New Roman" w:cs="Times New Roman"/>
          <w:b/>
          <w:sz w:val="28"/>
          <w:szCs w:val="28"/>
        </w:rPr>
        <w:t>Система налоговых льгот.</w:t>
      </w:r>
      <w:r>
        <w:rPr>
          <w:rFonts w:ascii="Times New Roman" w:hAnsi="Times New Roman" w:cs="Times New Roman"/>
          <w:b/>
          <w:sz w:val="28"/>
          <w:szCs w:val="28"/>
        </w:rPr>
        <w:t xml:space="preserve"> </w:t>
      </w:r>
      <w:r w:rsidRPr="00B76649">
        <w:rPr>
          <w:rFonts w:ascii="Times New Roman" w:hAnsi="Times New Roman" w:cs="Times New Roman"/>
          <w:sz w:val="28"/>
          <w:szCs w:val="28"/>
        </w:rPr>
        <w:t xml:space="preserve">В целях стимулирования инвестиционной активности на территории Новосибирской области налогоплательщикам вида экономической деятельности «обрабатывающие производства» предоставлено право на применение инвестиционного налогового вычета по налогу на прибыль организаций в отношении расходов на модернизацию и приобретение основных средств, относящихся к третьей-седьмой амортизационным группам. </w:t>
      </w:r>
    </w:p>
    <w:p w14:paraId="094F0CD5" w14:textId="77777777" w:rsidR="003F4CFF" w:rsidRPr="00B76649" w:rsidRDefault="003F4CFF" w:rsidP="003F4CFF">
      <w:pPr>
        <w:tabs>
          <w:tab w:val="left" w:pos="0"/>
        </w:tabs>
        <w:ind w:firstLine="567"/>
        <w:jc w:val="both"/>
        <w:rPr>
          <w:rFonts w:ascii="Times New Roman" w:hAnsi="Times New Roman" w:cs="Times New Roman"/>
          <w:sz w:val="28"/>
          <w:szCs w:val="28"/>
        </w:rPr>
      </w:pPr>
      <w:r w:rsidRPr="00B76649">
        <w:rPr>
          <w:rFonts w:ascii="Times New Roman" w:hAnsi="Times New Roman" w:cs="Times New Roman"/>
          <w:sz w:val="28"/>
          <w:szCs w:val="28"/>
        </w:rPr>
        <w:t xml:space="preserve">Изменены подходы к определению потенциально возможного годового дохода предпринимателя, которые затронут практически все патентуемые виды деятельности и не приведут к увеличению налоговой нагрузки при переходе от одной системы определения стоимости патента к другой. </w:t>
      </w:r>
    </w:p>
    <w:p w14:paraId="38AC0845" w14:textId="77777777" w:rsidR="003F4CFF" w:rsidRDefault="003F4CFF" w:rsidP="003F4CFF">
      <w:pPr>
        <w:tabs>
          <w:tab w:val="left" w:pos="0"/>
        </w:tabs>
        <w:ind w:firstLine="567"/>
        <w:jc w:val="both"/>
        <w:rPr>
          <w:rFonts w:ascii="Times New Roman" w:hAnsi="Times New Roman" w:cs="Times New Roman"/>
          <w:sz w:val="28"/>
          <w:szCs w:val="28"/>
        </w:rPr>
      </w:pPr>
      <w:r w:rsidRPr="00B76649">
        <w:rPr>
          <w:rFonts w:ascii="Times New Roman" w:hAnsi="Times New Roman" w:cs="Times New Roman"/>
          <w:sz w:val="28"/>
          <w:szCs w:val="28"/>
        </w:rPr>
        <w:t xml:space="preserve">В целях обеспечения благоприятных условий осуществления деятельности самозанятых граждан и упрощении схемы налогообложения предпринимателям с </w:t>
      </w:r>
      <w:r>
        <w:rPr>
          <w:rFonts w:ascii="Times New Roman" w:hAnsi="Times New Roman" w:cs="Times New Roman"/>
          <w:sz w:val="28"/>
          <w:szCs w:val="28"/>
        </w:rPr>
        <w:t xml:space="preserve">01.01.2020 </w:t>
      </w:r>
      <w:r w:rsidRPr="00B76649">
        <w:rPr>
          <w:rFonts w:ascii="Times New Roman" w:hAnsi="Times New Roman" w:cs="Times New Roman"/>
          <w:sz w:val="28"/>
          <w:szCs w:val="28"/>
        </w:rPr>
        <w:t>в Новосибирской области действует специальный налоговый режим «Налог на профессиональный доход», который обладает такими преимуществами для граждан как: простой способ постановки на налоговый учет, невысокие налоговые ставки, отсутствие необходимости ведения строгой отчетности, возможность налогоплательщиков осуществить налоговый вычет в автоматическом режиме, широкий перечень видов деятельности, в рамках которых можно применять данный режим.</w:t>
      </w:r>
    </w:p>
    <w:p w14:paraId="3AC5FE15" w14:textId="4457101F" w:rsidR="003F4CFF" w:rsidRPr="00B76649" w:rsidRDefault="003F4CFF" w:rsidP="003F4CFF">
      <w:pPr>
        <w:tabs>
          <w:tab w:val="left" w:pos="0"/>
        </w:tabs>
        <w:ind w:firstLine="567"/>
        <w:jc w:val="both"/>
        <w:rPr>
          <w:rFonts w:ascii="Times New Roman" w:hAnsi="Times New Roman" w:cs="Times New Roman"/>
          <w:b/>
          <w:sz w:val="28"/>
          <w:szCs w:val="28"/>
        </w:rPr>
      </w:pPr>
      <w:r w:rsidRPr="00B76649">
        <w:rPr>
          <w:rFonts w:ascii="Times New Roman" w:hAnsi="Times New Roman" w:cs="Times New Roman"/>
          <w:b/>
          <w:bCs/>
          <w:sz w:val="28"/>
          <w:szCs w:val="28"/>
        </w:rPr>
        <w:t>Поддержка развития предпринимательства</w:t>
      </w:r>
      <w:r>
        <w:rPr>
          <w:rFonts w:ascii="Times New Roman" w:hAnsi="Times New Roman" w:cs="Times New Roman"/>
          <w:b/>
          <w:sz w:val="28"/>
          <w:szCs w:val="28"/>
        </w:rPr>
        <w:t xml:space="preserve">. </w:t>
      </w:r>
      <w:r w:rsidRPr="00021C0D">
        <w:rPr>
          <w:rFonts w:ascii="Times New Roman" w:hAnsi="Times New Roman" w:cs="Times New Roman"/>
          <w:sz w:val="28"/>
          <w:szCs w:val="28"/>
        </w:rPr>
        <w:t>В целях улучшения</w:t>
      </w:r>
      <w:r w:rsidRPr="00021C0D">
        <w:rPr>
          <w:rFonts w:ascii="Times New Roman" w:hAnsi="Times New Roman" w:cs="Times New Roman"/>
          <w:bCs/>
          <w:sz w:val="28"/>
          <w:szCs w:val="28"/>
        </w:rPr>
        <w:t xml:space="preserve"> инвестиционного климата и условий ведения бизнеса в Новосибирской области создана и активно работает инфраструктура поддержки развития предпринимательства: МКК </w:t>
      </w:r>
      <w:r w:rsidRPr="00021C0D">
        <w:rPr>
          <w:rFonts w:ascii="Times New Roman" w:hAnsi="Times New Roman" w:cs="Times New Roman"/>
          <w:sz w:val="28"/>
          <w:szCs w:val="28"/>
        </w:rPr>
        <w:t>Фонд микрофинасирования НСО, Гарантийный фонд</w:t>
      </w:r>
      <w:r w:rsidR="003D48A8">
        <w:rPr>
          <w:rFonts w:ascii="Times New Roman" w:hAnsi="Times New Roman" w:cs="Times New Roman"/>
          <w:sz w:val="28"/>
          <w:szCs w:val="28"/>
        </w:rPr>
        <w:t> </w:t>
      </w:r>
      <w:r w:rsidRPr="00021C0D">
        <w:rPr>
          <w:rFonts w:ascii="Times New Roman" w:hAnsi="Times New Roman" w:cs="Times New Roman"/>
          <w:sz w:val="28"/>
          <w:szCs w:val="28"/>
        </w:rPr>
        <w:t>НСО; Государственный фонд развития промышленности Новосибирской области; бизнес-инкубаторы в наукограде Кольцово, г. Ново</w:t>
      </w:r>
      <w:r w:rsidR="00BB1BFE">
        <w:rPr>
          <w:rFonts w:ascii="Times New Roman" w:hAnsi="Times New Roman" w:cs="Times New Roman"/>
          <w:sz w:val="28"/>
          <w:szCs w:val="28"/>
        </w:rPr>
        <w:t xml:space="preserve">сибирске на </w:t>
      </w:r>
      <w:r w:rsidR="00BB1BFE">
        <w:rPr>
          <w:rFonts w:ascii="Times New Roman" w:hAnsi="Times New Roman" w:cs="Times New Roman"/>
          <w:sz w:val="28"/>
          <w:szCs w:val="28"/>
        </w:rPr>
        <w:lastRenderedPageBreak/>
        <w:t>ул.</w:t>
      </w:r>
      <w:r w:rsidR="003D48A8">
        <w:rPr>
          <w:rFonts w:ascii="Times New Roman" w:hAnsi="Times New Roman" w:cs="Times New Roman"/>
          <w:sz w:val="28"/>
          <w:szCs w:val="28"/>
        </w:rPr>
        <w:t> </w:t>
      </w:r>
      <w:r w:rsidR="00BB1BFE">
        <w:rPr>
          <w:rFonts w:ascii="Times New Roman" w:hAnsi="Times New Roman" w:cs="Times New Roman"/>
          <w:sz w:val="28"/>
          <w:szCs w:val="28"/>
        </w:rPr>
        <w:t>Троллейной, ул. </w:t>
      </w:r>
      <w:r w:rsidRPr="00021C0D">
        <w:rPr>
          <w:rFonts w:ascii="Times New Roman" w:hAnsi="Times New Roman" w:cs="Times New Roman"/>
          <w:sz w:val="28"/>
          <w:szCs w:val="28"/>
        </w:rPr>
        <w:t xml:space="preserve">Есенина; Центры прототипирования в медицинском технопарке и технопарке Новосибирского Академгородка; региональные центры инжиниринга в области инвитро диагностики и медицинских технологий; </w:t>
      </w:r>
      <w:r w:rsidR="00BB1BFE">
        <w:rPr>
          <w:rFonts w:ascii="Times New Roman" w:hAnsi="Times New Roman" w:cs="Times New Roman"/>
          <w:sz w:val="28"/>
          <w:szCs w:val="28"/>
        </w:rPr>
        <w:t>3</w:t>
      </w:r>
      <w:r w:rsidRPr="00021C0D">
        <w:rPr>
          <w:rFonts w:ascii="Times New Roman" w:hAnsi="Times New Roman" w:cs="Times New Roman"/>
          <w:sz w:val="28"/>
          <w:szCs w:val="28"/>
        </w:rPr>
        <w:t xml:space="preserve"> центра молодежного инновационного творчества (ЦМИТ ООО «Фарадей», ЦМИТ ООО</w:t>
      </w:r>
      <w:r w:rsidR="003D48A8">
        <w:rPr>
          <w:rFonts w:ascii="Times New Roman" w:hAnsi="Times New Roman" w:cs="Times New Roman"/>
          <w:sz w:val="28"/>
          <w:szCs w:val="28"/>
        </w:rPr>
        <w:t> </w:t>
      </w:r>
      <w:r w:rsidRPr="00021C0D">
        <w:rPr>
          <w:rFonts w:ascii="Times New Roman" w:hAnsi="Times New Roman" w:cs="Times New Roman"/>
          <w:sz w:val="28"/>
          <w:szCs w:val="28"/>
        </w:rPr>
        <w:t>«Лига роботов» и ООО «ЦМИТ КЮТ»); Центр координации поддержки экспортно ориентированных субъектов малого и среднего предпринимательства ГУП НСО «НОЦРПП»; Центр поддержки предпринимательства Новосибирской области; частный промышленный парк (АО «Инновационный медико-технологический центр (Медицинский Те</w:t>
      </w:r>
      <w:r w:rsidR="00BB1BFE">
        <w:rPr>
          <w:rFonts w:ascii="Times New Roman" w:hAnsi="Times New Roman" w:cs="Times New Roman"/>
          <w:sz w:val="28"/>
          <w:szCs w:val="28"/>
        </w:rPr>
        <w:t>хнопарк)»</w:t>
      </w:r>
      <w:r w:rsidRPr="00021C0D">
        <w:rPr>
          <w:rFonts w:ascii="Times New Roman" w:hAnsi="Times New Roman" w:cs="Times New Roman"/>
          <w:sz w:val="28"/>
          <w:szCs w:val="28"/>
        </w:rPr>
        <w:t>.</w:t>
      </w:r>
    </w:p>
    <w:p w14:paraId="58B13C40" w14:textId="77777777" w:rsidR="003F4CFF" w:rsidRPr="00021C0D" w:rsidRDefault="003F4CFF" w:rsidP="003F4CFF">
      <w:pPr>
        <w:shd w:val="clear" w:color="auto" w:fill="FFFFFF"/>
        <w:tabs>
          <w:tab w:val="left" w:pos="0"/>
        </w:tabs>
        <w:ind w:firstLine="567"/>
        <w:jc w:val="both"/>
        <w:rPr>
          <w:rFonts w:ascii="Times New Roman" w:hAnsi="Times New Roman" w:cs="Times New Roman"/>
          <w:sz w:val="28"/>
          <w:szCs w:val="28"/>
        </w:rPr>
      </w:pPr>
      <w:r w:rsidRPr="00021C0D">
        <w:rPr>
          <w:rFonts w:ascii="Times New Roman" w:hAnsi="Times New Roman" w:cs="Times New Roman"/>
          <w:sz w:val="28"/>
          <w:szCs w:val="28"/>
        </w:rPr>
        <w:t>Результаты работы инфраструктурных объектов поддержки развития предпринимательства в 2019 году следующие:</w:t>
      </w:r>
    </w:p>
    <w:p w14:paraId="22614E2D" w14:textId="5B124E0D" w:rsidR="003F4CFF" w:rsidRPr="00021C0D" w:rsidRDefault="003F4CFF" w:rsidP="003F4CFF">
      <w:pPr>
        <w:shd w:val="clear" w:color="auto" w:fill="FFFFFF"/>
        <w:tabs>
          <w:tab w:val="left" w:pos="0"/>
        </w:tabs>
        <w:ind w:firstLine="567"/>
        <w:jc w:val="both"/>
        <w:rPr>
          <w:rFonts w:ascii="Times New Roman" w:hAnsi="Times New Roman" w:cs="Times New Roman"/>
          <w:sz w:val="28"/>
          <w:szCs w:val="28"/>
        </w:rPr>
      </w:pPr>
      <w:r w:rsidRPr="00021C0D">
        <w:rPr>
          <w:rFonts w:ascii="Times New Roman" w:hAnsi="Times New Roman" w:cs="Times New Roman"/>
          <w:sz w:val="28"/>
          <w:szCs w:val="28"/>
        </w:rPr>
        <w:t>МКК Фондом микрофинансирования НСО в 2019 году выдано 315 займов на общую сумму 642,4 млн. рублей;</w:t>
      </w:r>
    </w:p>
    <w:p w14:paraId="0A00CF8B" w14:textId="68492BED" w:rsidR="003F4CFF" w:rsidRPr="00021C0D" w:rsidRDefault="003F4CFF" w:rsidP="003F4CFF">
      <w:pPr>
        <w:tabs>
          <w:tab w:val="left" w:pos="0"/>
        </w:tabs>
        <w:ind w:firstLine="567"/>
        <w:jc w:val="both"/>
        <w:rPr>
          <w:rFonts w:ascii="Times New Roman" w:hAnsi="Times New Roman" w:cs="Times New Roman"/>
          <w:sz w:val="28"/>
          <w:szCs w:val="28"/>
        </w:rPr>
      </w:pPr>
      <w:r w:rsidRPr="00021C0D">
        <w:rPr>
          <w:rFonts w:ascii="Times New Roman" w:hAnsi="Times New Roman" w:cs="Times New Roman"/>
          <w:sz w:val="28"/>
          <w:szCs w:val="28"/>
        </w:rPr>
        <w:t xml:space="preserve">Гарантийным фондом НСО в 2019 году выдано 342 поручительства, сумма поручительств составила 2465 млн. рублей, общая сумма кредитов, выданных банками под поручительства Гарантийного </w:t>
      </w:r>
      <w:r>
        <w:rPr>
          <w:rFonts w:ascii="Times New Roman" w:hAnsi="Times New Roman" w:cs="Times New Roman"/>
          <w:sz w:val="28"/>
          <w:szCs w:val="28"/>
        </w:rPr>
        <w:t>фонда НСО, – 6916,6 млн. рублей.</w:t>
      </w:r>
    </w:p>
    <w:p w14:paraId="5C26CE01" w14:textId="77777777" w:rsidR="003F4CFF" w:rsidRPr="00281B31" w:rsidRDefault="003F4CFF" w:rsidP="003F4CFF">
      <w:pPr>
        <w:autoSpaceDE w:val="0"/>
        <w:autoSpaceDN w:val="0"/>
        <w:adjustRightInd w:val="0"/>
        <w:ind w:firstLine="567"/>
        <w:jc w:val="both"/>
        <w:rPr>
          <w:rFonts w:ascii="Times New Roman" w:hAnsi="Times New Roman" w:cs="Times New Roman"/>
          <w:sz w:val="28"/>
          <w:szCs w:val="28"/>
          <w:lang w:eastAsia="en-US"/>
        </w:rPr>
      </w:pPr>
    </w:p>
    <w:p w14:paraId="57B9D347" w14:textId="77777777" w:rsidR="003F4CFF" w:rsidRPr="00F732D1" w:rsidRDefault="003F4CFF" w:rsidP="003F4CFF">
      <w:pPr>
        <w:pStyle w:val="ac"/>
        <w:ind w:firstLine="567"/>
        <w:jc w:val="both"/>
        <w:outlineLvl w:val="1"/>
        <w:rPr>
          <w:rFonts w:ascii="Times New Roman" w:hAnsi="Times New Roman"/>
          <w:b/>
        </w:rPr>
      </w:pPr>
      <w:bookmarkStart w:id="18" w:name="_Toc31983965"/>
      <w:bookmarkStart w:id="19" w:name="_Toc32240305"/>
      <w:bookmarkStart w:id="20" w:name="_Toc32421890"/>
      <w:bookmarkStart w:id="21" w:name="_Toc34129169"/>
      <w:r w:rsidRPr="00F732D1">
        <w:rPr>
          <w:rFonts w:ascii="Times New Roman" w:hAnsi="Times New Roman"/>
          <w:b/>
        </w:rPr>
        <w:t>1.4. 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w:t>
      </w:r>
      <w:r>
        <w:rPr>
          <w:rFonts w:ascii="Times New Roman" w:hAnsi="Times New Roman"/>
          <w:b/>
        </w:rPr>
        <w:t>ния</w:t>
      </w:r>
      <w:bookmarkEnd w:id="18"/>
      <w:bookmarkEnd w:id="19"/>
      <w:bookmarkEnd w:id="20"/>
      <w:bookmarkEnd w:id="21"/>
    </w:p>
    <w:p w14:paraId="0EEB3F9C" w14:textId="5A270FD1" w:rsidR="003F4CFF" w:rsidRPr="00443417"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443417">
        <w:rPr>
          <w:rFonts w:ascii="Times New Roman" w:eastAsia="Times New Roman" w:hAnsi="Times New Roman" w:cs="Times New Roman"/>
          <w:sz w:val="28"/>
          <w:szCs w:val="28"/>
        </w:rPr>
        <w:t>Постановлением Губернатора Новосибирской области от 19.08.2019 № 213 «О</w:t>
      </w:r>
      <w:r w:rsidR="003D48A8">
        <w:rPr>
          <w:rFonts w:ascii="Times New Roman" w:eastAsia="Times New Roman" w:hAnsi="Times New Roman" w:cs="Times New Roman"/>
          <w:sz w:val="28"/>
          <w:szCs w:val="28"/>
        </w:rPr>
        <w:t> </w:t>
      </w:r>
      <w:r w:rsidRPr="00443417">
        <w:rPr>
          <w:rFonts w:ascii="Times New Roman" w:eastAsia="Times New Roman" w:hAnsi="Times New Roman" w:cs="Times New Roman"/>
          <w:sz w:val="28"/>
          <w:szCs w:val="28"/>
        </w:rPr>
        <w:t xml:space="preserve">формировании системы поощрений по результатам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 установлена система поощрений по результатам </w:t>
      </w:r>
      <w:r w:rsidR="00582AA8" w:rsidRPr="00443417">
        <w:rPr>
          <w:rFonts w:ascii="Times New Roman" w:eastAsia="Times New Roman" w:hAnsi="Times New Roman" w:cs="Times New Roman"/>
          <w:sz w:val="28"/>
          <w:szCs w:val="28"/>
        </w:rPr>
        <w:t>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w:t>
      </w:r>
      <w:r w:rsidR="00582AA8">
        <w:rPr>
          <w:rFonts w:ascii="Times New Roman" w:eastAsia="Times New Roman" w:hAnsi="Times New Roman" w:cs="Times New Roman"/>
          <w:sz w:val="28"/>
          <w:szCs w:val="28"/>
        </w:rPr>
        <w:t xml:space="preserve"> (далее – рейтинг)</w:t>
      </w:r>
      <w:r w:rsidRPr="00443417">
        <w:rPr>
          <w:rFonts w:ascii="Times New Roman" w:eastAsia="Times New Roman" w:hAnsi="Times New Roman" w:cs="Times New Roman"/>
          <w:sz w:val="28"/>
          <w:szCs w:val="28"/>
        </w:rPr>
        <w:t xml:space="preserve"> (</w:t>
      </w:r>
      <w:hyperlink r:id="rId21" w:history="1">
        <w:r w:rsidRPr="00443417">
          <w:rPr>
            <w:rFonts w:ascii="Times New Roman" w:eastAsia="Times New Roman" w:hAnsi="Times New Roman" w:cs="Times New Roman"/>
            <w:color w:val="0000FF"/>
            <w:sz w:val="28"/>
            <w:szCs w:val="28"/>
            <w:u w:val="single"/>
          </w:rPr>
          <w:t>http://econom.nso.ru/page/1221</w:t>
        </w:r>
      </w:hyperlink>
      <w:r w:rsidRPr="00443417">
        <w:rPr>
          <w:rFonts w:ascii="Times New Roman" w:eastAsia="Times New Roman" w:hAnsi="Times New Roman" w:cs="Times New Roman"/>
          <w:sz w:val="28"/>
          <w:szCs w:val="28"/>
        </w:rPr>
        <w:t xml:space="preserve">; </w:t>
      </w:r>
      <w:hyperlink r:id="rId22" w:history="1">
        <w:r w:rsidRPr="00443417">
          <w:rPr>
            <w:rFonts w:ascii="Times New Roman" w:eastAsia="Times New Roman" w:hAnsi="Times New Roman" w:cs="Times New Roman"/>
            <w:color w:val="0000FF"/>
            <w:sz w:val="28"/>
            <w:szCs w:val="28"/>
            <w:u w:val="single"/>
          </w:rPr>
          <w:t>http://invest.nso.ru/ru/page/51</w:t>
        </w:r>
      </w:hyperlink>
      <w:r w:rsidRPr="00443417">
        <w:rPr>
          <w:rFonts w:ascii="Times New Roman" w:eastAsia="Times New Roman" w:hAnsi="Times New Roman" w:cs="Times New Roman"/>
          <w:sz w:val="28"/>
          <w:szCs w:val="28"/>
        </w:rPr>
        <w:t>).</w:t>
      </w:r>
    </w:p>
    <w:p w14:paraId="71F3FDF7" w14:textId="77777777" w:rsidR="003F4CFF" w:rsidRPr="00443417"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443417">
        <w:rPr>
          <w:rFonts w:ascii="Times New Roman" w:eastAsia="Times New Roman" w:hAnsi="Times New Roman" w:cs="Times New Roman"/>
          <w:sz w:val="28"/>
          <w:szCs w:val="28"/>
        </w:rPr>
        <w:t>По результатам рейтинга муниципальные районы за места с 1 по 5 и городские округа за места с 1 по 2 награждаются Почетными грамотами Губернатора Новосибирской области.</w:t>
      </w:r>
    </w:p>
    <w:p w14:paraId="3862D2B5" w14:textId="2796B445" w:rsidR="003F4CFF" w:rsidRDefault="003F4CFF" w:rsidP="003F4CFF">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2019 году</w:t>
      </w:r>
      <w:r w:rsidRPr="00443417">
        <w:rPr>
          <w:rFonts w:ascii="Times New Roman" w:eastAsia="Times New Roman" w:hAnsi="Times New Roman" w:cs="Times New Roman"/>
          <w:sz w:val="28"/>
          <w:szCs w:val="28"/>
        </w:rPr>
        <w:t xml:space="preserve"> награждены Почетной грамотой Губернатора Новосибирской области город Бердск, рабочий поселок Кольцово, Венгеровский, Карасукский, Купинский, Мошковский и Тогучинский районы </w:t>
      </w:r>
      <w:r>
        <w:rPr>
          <w:rFonts w:ascii="Times New Roman" w:eastAsia="Times New Roman" w:hAnsi="Times New Roman" w:cs="Times New Roman"/>
          <w:sz w:val="28"/>
          <w:szCs w:val="28"/>
        </w:rPr>
        <w:t>Новосибирской области</w:t>
      </w:r>
      <w:r w:rsidR="00582AA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Информация о состоявшемся награждении представлена в новостной ленте на официальном сайте министерства экономического развития Новосибирской области </w:t>
      </w:r>
      <w:hyperlink r:id="rId23" w:history="1">
        <w:r w:rsidRPr="00B84DBA">
          <w:rPr>
            <w:rStyle w:val="a3"/>
            <w:rFonts w:ascii="Times New Roman" w:hAnsi="Times New Roman" w:cs="Times New Roman"/>
            <w:sz w:val="28"/>
            <w:szCs w:val="28"/>
          </w:rPr>
          <w:t>http://econom.nso.ru/news/2930</w:t>
        </w:r>
      </w:hyperlink>
      <w:r>
        <w:rPr>
          <w:rFonts w:ascii="Times New Roman" w:hAnsi="Times New Roman" w:cs="Times New Roman"/>
          <w:sz w:val="28"/>
          <w:szCs w:val="28"/>
        </w:rPr>
        <w:t>, Инвестиционном портале Новосибирской области</w:t>
      </w:r>
      <w:r w:rsidRPr="0035732A">
        <w:rPr>
          <w:rStyle w:val="a3"/>
          <w:color w:val="auto"/>
        </w:rPr>
        <w:t xml:space="preserve"> </w:t>
      </w:r>
      <w:hyperlink r:id="rId24" w:history="1">
        <w:r w:rsidRPr="00B84DBA">
          <w:rPr>
            <w:rStyle w:val="a3"/>
            <w:rFonts w:ascii="Times New Roman" w:hAnsi="Times New Roman" w:cs="Times New Roman"/>
            <w:sz w:val="28"/>
            <w:szCs w:val="28"/>
          </w:rPr>
          <w:t>http://invest.nso.ru/ru/news/1494</w:t>
        </w:r>
      </w:hyperlink>
      <w:r>
        <w:t xml:space="preserve">, </w:t>
      </w:r>
      <w:r w:rsidRPr="00B84DBA">
        <w:rPr>
          <w:rFonts w:ascii="Times New Roman" w:hAnsi="Times New Roman" w:cs="Times New Roman"/>
          <w:sz w:val="28"/>
          <w:szCs w:val="28"/>
        </w:rPr>
        <w:t>а также</w:t>
      </w:r>
      <w:r>
        <w:t xml:space="preserve"> </w:t>
      </w:r>
      <w:r w:rsidRPr="00B84DBA">
        <w:rPr>
          <w:rFonts w:ascii="Times New Roman" w:eastAsia="Times New Roman" w:hAnsi="Times New Roman" w:cs="Times New Roman"/>
          <w:sz w:val="28"/>
          <w:szCs w:val="28"/>
        </w:rPr>
        <w:t>Facebook</w:t>
      </w:r>
      <w:r>
        <w:rPr>
          <w:rFonts w:ascii="Times New Roman" w:eastAsia="Times New Roman" w:hAnsi="Times New Roman" w:cs="Times New Roman"/>
          <w:sz w:val="28"/>
          <w:szCs w:val="28"/>
        </w:rPr>
        <w:t xml:space="preserve"> </w:t>
      </w:r>
      <w:hyperlink r:id="rId25" w:history="1">
        <w:r w:rsidRPr="00C75B1D">
          <w:rPr>
            <w:rStyle w:val="a3"/>
            <w:rFonts w:ascii="Times New Roman" w:eastAsia="Times New Roman" w:hAnsi="Times New Roman" w:cs="Times New Roman"/>
            <w:sz w:val="28"/>
            <w:szCs w:val="28"/>
          </w:rPr>
          <w:t>https://www.facebook.com/mineconomnso/</w:t>
        </w:r>
      </w:hyperlink>
      <w:r>
        <w:rPr>
          <w:rFonts w:ascii="Times New Roman" w:eastAsia="Times New Roman" w:hAnsi="Times New Roman" w:cs="Times New Roman"/>
          <w:sz w:val="28"/>
          <w:szCs w:val="28"/>
        </w:rPr>
        <w:t xml:space="preserve">. </w:t>
      </w:r>
    </w:p>
    <w:p w14:paraId="423A4BD6" w14:textId="77777777" w:rsidR="003F4CFF" w:rsidRDefault="003F4CFF" w:rsidP="003F4CFF">
      <w:pPr>
        <w:tabs>
          <w:tab w:val="left" w:pos="9356"/>
        </w:tabs>
        <w:adjustRightInd w:val="0"/>
        <w:ind w:firstLine="567"/>
        <w:jc w:val="both"/>
        <w:rPr>
          <w:rFonts w:ascii="Times New Roman" w:eastAsia="Times New Roman" w:hAnsi="Times New Roman" w:cs="Times New Roman"/>
          <w:sz w:val="28"/>
          <w:szCs w:val="28"/>
        </w:rPr>
      </w:pPr>
      <w:r w:rsidRPr="00437845">
        <w:rPr>
          <w:rFonts w:ascii="Times New Roman" w:eastAsia="Times New Roman" w:hAnsi="Times New Roman" w:cs="Times New Roman"/>
          <w:sz w:val="28"/>
          <w:szCs w:val="28"/>
        </w:rPr>
        <w:lastRenderedPageBreak/>
        <w:t>Для повышения мотивации к достижению высоких результатов в работе по содействию развитию конкуренции и обеспечению условий для формирования благоприятного инвестиционного климата главам муниципальных образований рекомендовано учитывать результаты работы муниципальных служащих при принятии в установленном порядке решений о их поощрении (письмо министерства экономического развития Новосибирской области от 21.01.2020 №</w:t>
      </w:r>
      <w:r w:rsidR="00E37891">
        <w:rPr>
          <w:rFonts w:ascii="Times New Roman" w:eastAsia="Times New Roman" w:hAnsi="Times New Roman" w:cs="Times New Roman"/>
          <w:sz w:val="28"/>
          <w:szCs w:val="28"/>
          <w:lang w:val="en-US"/>
        </w:rPr>
        <w:t> </w:t>
      </w:r>
      <w:r w:rsidRPr="00437845">
        <w:rPr>
          <w:rFonts w:ascii="Times New Roman" w:eastAsia="Times New Roman" w:hAnsi="Times New Roman" w:cs="Times New Roman"/>
          <w:sz w:val="28"/>
          <w:szCs w:val="28"/>
        </w:rPr>
        <w:t>137-17/8</w:t>
      </w:r>
      <w:r>
        <w:rPr>
          <w:rFonts w:ascii="Times New Roman" w:eastAsia="Times New Roman" w:hAnsi="Times New Roman" w:cs="Times New Roman"/>
          <w:sz w:val="28"/>
          <w:szCs w:val="28"/>
        </w:rPr>
        <w:t>).</w:t>
      </w:r>
    </w:p>
    <w:p w14:paraId="517C21AA" w14:textId="5B8E91C2" w:rsidR="003F4CFF" w:rsidRDefault="003F4CFF" w:rsidP="003F4CFF">
      <w:pPr>
        <w:tabs>
          <w:tab w:val="left" w:pos="9356"/>
        </w:tabs>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поощрений для муниципальных служащих, как правило, определена муниципальным правовым актом о видах, порядке и условиях применения поощрений. В муниципалитетах применяются следующие виды поощрений: премия за выполнение особо важных и сложных заданий, ежемесячное денежное поощрение, денежные поощрения по итогам работы, Благодарственное письмо главы муниципального образования, Благодарность и Почетная грамота администрации муниципального образования и др. </w:t>
      </w:r>
    </w:p>
    <w:p w14:paraId="22245731" w14:textId="077A9F63" w:rsidR="003F4CFF" w:rsidRPr="00B84DBA" w:rsidRDefault="003F4CFF" w:rsidP="003F4CFF">
      <w:pPr>
        <w:tabs>
          <w:tab w:val="left" w:pos="9356"/>
        </w:tabs>
        <w:adjustRightInd w:val="0"/>
        <w:ind w:firstLine="567"/>
        <w:jc w:val="both"/>
        <w:rPr>
          <w:rFonts w:ascii="Times New Roman" w:eastAsia="Times New Roman" w:hAnsi="Times New Roman" w:cs="Times New Roman"/>
          <w:sz w:val="28"/>
          <w:szCs w:val="28"/>
        </w:rPr>
      </w:pPr>
      <w:r w:rsidRPr="00E01E9F">
        <w:rPr>
          <w:rFonts w:ascii="Times New Roman" w:eastAsia="Times New Roman" w:hAnsi="Times New Roman" w:cs="Times New Roman"/>
          <w:sz w:val="28"/>
          <w:szCs w:val="28"/>
        </w:rPr>
        <w:t>Система поощрени</w:t>
      </w:r>
      <w:r w:rsidR="006509F3">
        <w:rPr>
          <w:rFonts w:ascii="Times New Roman" w:eastAsia="Times New Roman" w:hAnsi="Times New Roman" w:cs="Times New Roman"/>
          <w:sz w:val="28"/>
          <w:szCs w:val="28"/>
        </w:rPr>
        <w:t>й</w:t>
      </w:r>
      <w:r w:rsidRPr="00E01E9F">
        <w:rPr>
          <w:rFonts w:ascii="Times New Roman" w:eastAsia="Times New Roman" w:hAnsi="Times New Roman" w:cs="Times New Roman"/>
          <w:sz w:val="28"/>
          <w:szCs w:val="28"/>
        </w:rPr>
        <w:t xml:space="preserve"> в каждом областном исполнительном органе </w:t>
      </w:r>
      <w:r w:rsidR="00582AA8">
        <w:rPr>
          <w:rFonts w:ascii="Times New Roman" w:eastAsia="Times New Roman" w:hAnsi="Times New Roman" w:cs="Times New Roman"/>
          <w:sz w:val="28"/>
          <w:szCs w:val="28"/>
        </w:rPr>
        <w:t xml:space="preserve">государственной </w:t>
      </w:r>
      <w:r w:rsidRPr="00E01E9F">
        <w:rPr>
          <w:rFonts w:ascii="Times New Roman" w:eastAsia="Times New Roman" w:hAnsi="Times New Roman" w:cs="Times New Roman"/>
          <w:sz w:val="28"/>
          <w:szCs w:val="28"/>
        </w:rPr>
        <w:t xml:space="preserve">власти </w:t>
      </w:r>
      <w:r w:rsidR="00582AA8">
        <w:rPr>
          <w:rFonts w:ascii="Times New Roman" w:eastAsia="Times New Roman" w:hAnsi="Times New Roman" w:cs="Times New Roman"/>
          <w:sz w:val="28"/>
          <w:szCs w:val="28"/>
        </w:rPr>
        <w:t xml:space="preserve">Новосибирской области </w:t>
      </w:r>
      <w:r>
        <w:rPr>
          <w:rFonts w:ascii="Times New Roman" w:eastAsia="Times New Roman" w:hAnsi="Times New Roman" w:cs="Times New Roman"/>
          <w:sz w:val="28"/>
          <w:szCs w:val="28"/>
        </w:rPr>
        <w:t xml:space="preserve">также </w:t>
      </w:r>
      <w:r w:rsidRPr="00E01E9F">
        <w:rPr>
          <w:rFonts w:ascii="Times New Roman" w:eastAsia="Times New Roman" w:hAnsi="Times New Roman" w:cs="Times New Roman"/>
          <w:sz w:val="28"/>
          <w:szCs w:val="28"/>
        </w:rPr>
        <w:t>определяется руководителем самостоятельно.</w:t>
      </w:r>
      <w:r>
        <w:rPr>
          <w:rFonts w:ascii="Times New Roman" w:eastAsia="Times New Roman" w:hAnsi="Times New Roman" w:cs="Times New Roman"/>
          <w:sz w:val="28"/>
          <w:szCs w:val="28"/>
        </w:rPr>
        <w:t xml:space="preserve"> </w:t>
      </w:r>
      <w:r w:rsidRPr="00390BD6">
        <w:rPr>
          <w:rFonts w:ascii="Times New Roman" w:eastAsia="Times New Roman" w:hAnsi="Times New Roman" w:cs="Times New Roman"/>
          <w:sz w:val="28"/>
          <w:szCs w:val="28"/>
        </w:rPr>
        <w:t>Меры поощрения предусматрива</w:t>
      </w:r>
      <w:r>
        <w:rPr>
          <w:rFonts w:ascii="Times New Roman" w:eastAsia="Times New Roman" w:hAnsi="Times New Roman" w:cs="Times New Roman"/>
          <w:sz w:val="28"/>
          <w:szCs w:val="28"/>
        </w:rPr>
        <w:t xml:space="preserve">ют </w:t>
      </w:r>
      <w:r w:rsidRPr="00390BD6">
        <w:rPr>
          <w:rFonts w:ascii="Times New Roman" w:eastAsia="Times New Roman" w:hAnsi="Times New Roman" w:cs="Times New Roman"/>
          <w:sz w:val="28"/>
          <w:szCs w:val="28"/>
        </w:rPr>
        <w:t>сочетание материальных и моральных стимулов.</w:t>
      </w:r>
    </w:p>
    <w:p w14:paraId="6731C3DF" w14:textId="77777777" w:rsidR="003F4CFF" w:rsidRDefault="003F4CFF" w:rsidP="003F4CFF">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Почетной грамотой министерства экономического развития Новосибирской области за добросовестное исполнение обязанностей, в том числе в части содействия развитию конкуренции в Новосибирской области, в 2019 году награждены 2 </w:t>
      </w:r>
      <w:r w:rsidR="002300E5">
        <w:rPr>
          <w:rFonts w:ascii="Times New Roman" w:eastAsia="Times New Roman" w:hAnsi="Times New Roman" w:cs="Times New Roman"/>
          <w:sz w:val="28"/>
          <w:szCs w:val="28"/>
        </w:rPr>
        <w:t>сотрудника</w:t>
      </w:r>
      <w:r w:rsidR="002300E5" w:rsidRPr="00E3146B">
        <w:rPr>
          <w:rFonts w:ascii="Times New Roman" w:eastAsia="Times New Roman" w:hAnsi="Times New Roman" w:cs="Times New Roman"/>
          <w:sz w:val="28"/>
          <w:szCs w:val="28"/>
        </w:rPr>
        <w:t xml:space="preserve"> </w:t>
      </w:r>
      <w:r w:rsidRPr="00E3146B">
        <w:rPr>
          <w:rFonts w:ascii="Times New Roman" w:eastAsia="Times New Roman" w:hAnsi="Times New Roman" w:cs="Times New Roman"/>
          <w:sz w:val="28"/>
          <w:szCs w:val="28"/>
        </w:rPr>
        <w:t>отдела программ территориального развития экономики управления инвестиционной политики и территориального</w:t>
      </w:r>
      <w:r>
        <w:rPr>
          <w:rFonts w:ascii="Times New Roman" w:eastAsia="Times New Roman" w:hAnsi="Times New Roman" w:cs="Times New Roman"/>
          <w:sz w:val="28"/>
          <w:szCs w:val="28"/>
        </w:rPr>
        <w:t xml:space="preserve"> </w:t>
      </w:r>
      <w:r w:rsidRPr="00E3146B">
        <w:rPr>
          <w:rFonts w:ascii="Times New Roman" w:eastAsia="Times New Roman" w:hAnsi="Times New Roman" w:cs="Times New Roman"/>
          <w:sz w:val="28"/>
          <w:szCs w:val="28"/>
        </w:rPr>
        <w:t xml:space="preserve">развития экономики </w:t>
      </w:r>
      <w:r w:rsidRPr="003D692C">
        <w:rPr>
          <w:rFonts w:ascii="Times New Roman" w:eastAsia="Times New Roman" w:hAnsi="Times New Roman" w:cs="Times New Roman"/>
          <w:sz w:val="28"/>
          <w:szCs w:val="28"/>
        </w:rPr>
        <w:t>министерства экономического развития Новосибирской области</w:t>
      </w:r>
      <w:r>
        <w:rPr>
          <w:rFonts w:ascii="Times New Roman" w:eastAsia="Times New Roman" w:hAnsi="Times New Roman" w:cs="Times New Roman"/>
          <w:sz w:val="28"/>
          <w:szCs w:val="28"/>
        </w:rPr>
        <w:t>.</w:t>
      </w:r>
    </w:p>
    <w:p w14:paraId="7B343061" w14:textId="77777777" w:rsidR="003F4CFF" w:rsidRDefault="003F4CFF"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Некоторые органы власти предусмотрели своими правовыми актами возможность финансового поощрения за достижение определенных показателей.</w:t>
      </w:r>
    </w:p>
    <w:p w14:paraId="1C30E86F" w14:textId="77777777" w:rsidR="003F4CFF" w:rsidRDefault="003F4CFF" w:rsidP="00E11625">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 министерство транспорта и дорожного хозяйства Новосибирской области разработало </w:t>
      </w:r>
      <w:r w:rsidRPr="005C664A">
        <w:rPr>
          <w:rFonts w:ascii="Times New Roman" w:eastAsia="Times New Roman" w:hAnsi="Times New Roman" w:cs="Times New Roman"/>
          <w:sz w:val="28"/>
        </w:rPr>
        <w:t>Положение об оплате труда работников государственных учреждений, подведомственных министерству транспорта и дорожного хозяйства Новосибирской области</w:t>
      </w:r>
      <w:r>
        <w:rPr>
          <w:rFonts w:ascii="Times New Roman" w:eastAsia="Times New Roman" w:hAnsi="Times New Roman" w:cs="Times New Roman"/>
          <w:sz w:val="28"/>
        </w:rPr>
        <w:t>,</w:t>
      </w:r>
      <w:r w:rsidRPr="005C664A">
        <w:rPr>
          <w:rFonts w:ascii="Times New Roman" w:eastAsia="Times New Roman" w:hAnsi="Times New Roman" w:cs="Times New Roman"/>
          <w:sz w:val="28"/>
        </w:rPr>
        <w:t xml:space="preserve"> от 01.11.2018, в соответствии с которым в перечне качественных показателей деятельности учреждений, учитываемых при определении выплат стимулирующего характера руководителям, определен показатель по обеспечению государственных нужд путем закупок инновационной </w:t>
      </w:r>
      <w:r>
        <w:rPr>
          <w:rFonts w:ascii="Times New Roman" w:eastAsia="Times New Roman" w:hAnsi="Times New Roman" w:cs="Times New Roman"/>
          <w:sz w:val="28"/>
        </w:rPr>
        <w:t xml:space="preserve">и высокотехнологичной продукции: </w:t>
      </w:r>
      <w:r w:rsidRPr="005C664A">
        <w:rPr>
          <w:rFonts w:ascii="Times New Roman" w:eastAsia="Times New Roman" w:hAnsi="Times New Roman" w:cs="Times New Roman"/>
          <w:sz w:val="28"/>
        </w:rPr>
        <w:t xml:space="preserve">«включение в условия проектов государственных контрактов об использовании подрядными организациями и исполнителями работ инновационной и высокотехнологичной продукции» с </w:t>
      </w:r>
      <w:r w:rsidRPr="0033388C">
        <w:rPr>
          <w:rFonts w:ascii="Times New Roman" w:eastAsia="Times New Roman" w:hAnsi="Times New Roman" w:cs="Times New Roman"/>
          <w:sz w:val="28"/>
        </w:rPr>
        <w:t>указанием доли таких закупок от общего объема закупок в отчетный период в процентах.</w:t>
      </w:r>
    </w:p>
    <w:p w14:paraId="1B51B315" w14:textId="77777777" w:rsidR="003F4CFF" w:rsidRPr="009D2A15" w:rsidRDefault="003F4CFF" w:rsidP="00E11625">
      <w:pPr>
        <w:rPr>
          <w:rFonts w:ascii="Times New Roman" w:eastAsia="Times New Roman" w:hAnsi="Times New Roman" w:cs="Times New Roman"/>
          <w:sz w:val="28"/>
          <w:szCs w:val="28"/>
        </w:rPr>
      </w:pPr>
    </w:p>
    <w:p w14:paraId="284FEE6B" w14:textId="77777777" w:rsidR="003F4CFF" w:rsidRPr="00F732D1" w:rsidRDefault="003F4CFF" w:rsidP="003F4CFF">
      <w:pPr>
        <w:pStyle w:val="ac"/>
        <w:ind w:firstLine="567"/>
        <w:jc w:val="both"/>
        <w:outlineLvl w:val="1"/>
        <w:rPr>
          <w:rFonts w:ascii="Times New Roman" w:hAnsi="Times New Roman"/>
          <w:b/>
        </w:rPr>
      </w:pPr>
      <w:bookmarkStart w:id="22" w:name="_Toc31983966"/>
      <w:bookmarkStart w:id="23" w:name="_Toc32240306"/>
      <w:bookmarkStart w:id="24" w:name="_Toc32421891"/>
      <w:bookmarkStart w:id="25" w:name="_Toc34129170"/>
      <w:r w:rsidRPr="00F732D1">
        <w:rPr>
          <w:rFonts w:ascii="Times New Roman" w:hAnsi="Times New Roman"/>
          <w:b/>
        </w:rPr>
        <w:t xml:space="preserve">1.5. Информация об определенных в органах исполнительной власти </w:t>
      </w:r>
      <w:r w:rsidR="002300E5">
        <w:rPr>
          <w:rFonts w:ascii="Times New Roman" w:hAnsi="Times New Roman"/>
          <w:b/>
        </w:rPr>
        <w:t>Новосибирской области</w:t>
      </w:r>
      <w:r w:rsidRPr="00F732D1">
        <w:rPr>
          <w:rFonts w:ascii="Times New Roman" w:hAnsi="Times New Roman"/>
          <w:b/>
        </w:rPr>
        <w:t xml:space="preserve">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w:t>
      </w:r>
      <w:r w:rsidRPr="00F732D1">
        <w:rPr>
          <w:rFonts w:ascii="Times New Roman" w:hAnsi="Times New Roman"/>
          <w:b/>
        </w:rPr>
        <w:lastRenderedPageBreak/>
        <w:t>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w:t>
      </w:r>
      <w:r>
        <w:rPr>
          <w:rFonts w:ascii="Times New Roman" w:hAnsi="Times New Roman"/>
          <w:b/>
        </w:rPr>
        <w:t>делениях</w:t>
      </w:r>
      <w:bookmarkEnd w:id="22"/>
      <w:bookmarkEnd w:id="23"/>
      <w:bookmarkEnd w:id="24"/>
      <w:bookmarkEnd w:id="25"/>
    </w:p>
    <w:p w14:paraId="1D7A44C8" w14:textId="77777777" w:rsidR="003F4CFF" w:rsidRDefault="003F4CFF"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Во всех областных исполнительных органах государственной власти Новосибирской области определены должностные лица и структурные подразделения, ответственные за координацию вопросов содействия развитию конкуренции. Соответствующие обязанности внесены в должностные регламенты и положен</w:t>
      </w:r>
      <w:r w:rsidR="005071D5">
        <w:rPr>
          <w:rFonts w:ascii="Times New Roman" w:eastAsia="Times New Roman" w:hAnsi="Times New Roman" w:cs="Times New Roman"/>
          <w:sz w:val="28"/>
        </w:rPr>
        <w:t xml:space="preserve">ия о структурных </w:t>
      </w:r>
      <w:r w:rsidR="005071D5" w:rsidRPr="000A11D1">
        <w:rPr>
          <w:rFonts w:ascii="Times New Roman" w:eastAsia="Times New Roman" w:hAnsi="Times New Roman" w:cs="Times New Roman"/>
          <w:sz w:val="28"/>
        </w:rPr>
        <w:t xml:space="preserve">подразделениях (Приложение </w:t>
      </w:r>
      <w:r w:rsidR="000A11D1" w:rsidRPr="000A11D1">
        <w:rPr>
          <w:rFonts w:ascii="Times New Roman" w:eastAsia="Times New Roman" w:hAnsi="Times New Roman" w:cs="Times New Roman"/>
          <w:sz w:val="28"/>
        </w:rPr>
        <w:t>2</w:t>
      </w:r>
      <w:r w:rsidR="005071D5" w:rsidRPr="000A11D1">
        <w:rPr>
          <w:rFonts w:ascii="Times New Roman" w:eastAsia="Times New Roman" w:hAnsi="Times New Roman" w:cs="Times New Roman"/>
          <w:sz w:val="28"/>
        </w:rPr>
        <w:t>)</w:t>
      </w:r>
      <w:r w:rsidR="00637C0B">
        <w:rPr>
          <w:rFonts w:ascii="Times New Roman" w:eastAsia="Times New Roman" w:hAnsi="Times New Roman" w:cs="Times New Roman"/>
          <w:sz w:val="28"/>
        </w:rPr>
        <w:t>.</w:t>
      </w:r>
    </w:p>
    <w:p w14:paraId="76AD7230" w14:textId="77777777" w:rsidR="003F4CFF" w:rsidRPr="00350166" w:rsidRDefault="003F4CFF"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о должностных лицах, ответственных за координацию вопросов содействия развитию конкуренции в Новосибирской области</w:t>
      </w:r>
      <w:r w:rsidR="00904414">
        <w:rPr>
          <w:rFonts w:ascii="Times New Roman" w:eastAsia="Times New Roman" w:hAnsi="Times New Roman" w:cs="Times New Roman"/>
          <w:sz w:val="28"/>
        </w:rPr>
        <w:t>,</w:t>
      </w:r>
      <w:r>
        <w:rPr>
          <w:rFonts w:ascii="Times New Roman" w:eastAsia="Times New Roman" w:hAnsi="Times New Roman" w:cs="Times New Roman"/>
          <w:sz w:val="28"/>
        </w:rPr>
        <w:t xml:space="preserve"> представлена </w:t>
      </w:r>
      <w:r w:rsidR="00DD6A87">
        <w:rPr>
          <w:rFonts w:ascii="Times New Roman" w:eastAsia="Times New Roman" w:hAnsi="Times New Roman" w:cs="Times New Roman"/>
          <w:sz w:val="28"/>
        </w:rPr>
        <w:t>в таблице </w:t>
      </w:r>
      <w:r w:rsidRPr="00350166">
        <w:rPr>
          <w:rFonts w:ascii="Times New Roman" w:eastAsia="Times New Roman" w:hAnsi="Times New Roman" w:cs="Times New Roman"/>
          <w:sz w:val="28"/>
        </w:rPr>
        <w:t>2.</w:t>
      </w:r>
    </w:p>
    <w:p w14:paraId="77028ADA" w14:textId="77777777" w:rsidR="003F4CFF" w:rsidRPr="003D09F2" w:rsidRDefault="003F4CFF" w:rsidP="003F4CFF">
      <w:pPr>
        <w:autoSpaceDE w:val="0"/>
        <w:autoSpaceDN w:val="0"/>
        <w:adjustRightInd w:val="0"/>
        <w:contextualSpacing/>
        <w:jc w:val="both"/>
        <w:rPr>
          <w:rFonts w:ascii="Times New Roman" w:eastAsia="Times New Roman" w:hAnsi="Times New Roman" w:cs="Times New Roman"/>
          <w:sz w:val="28"/>
        </w:rPr>
      </w:pPr>
    </w:p>
    <w:p w14:paraId="3795D14B" w14:textId="77777777" w:rsidR="003F4CFF" w:rsidRPr="008664CC" w:rsidRDefault="003F4CFF" w:rsidP="003F4CFF">
      <w:pPr>
        <w:autoSpaceDE w:val="0"/>
        <w:autoSpaceDN w:val="0"/>
        <w:adjustRightInd w:val="0"/>
        <w:contextualSpacing/>
        <w:jc w:val="both"/>
        <w:rPr>
          <w:rFonts w:ascii="Times New Roman" w:hAnsi="Times New Roman" w:cs="Times New Roman"/>
          <w:sz w:val="28"/>
          <w:szCs w:val="28"/>
        </w:rPr>
      </w:pPr>
      <w:r>
        <w:rPr>
          <w:rFonts w:ascii="Times New Roman" w:eastAsia="Times New Roman" w:hAnsi="Times New Roman" w:cs="Times New Roman"/>
          <w:sz w:val="28"/>
          <w:szCs w:val="28"/>
        </w:rPr>
        <w:t>Таблица </w:t>
      </w:r>
      <w:r w:rsidRPr="00350166">
        <w:rPr>
          <w:rFonts w:ascii="Times New Roman" w:eastAsia="Times New Roman" w:hAnsi="Times New Roman" w:cs="Times New Roman"/>
          <w:sz w:val="28"/>
          <w:szCs w:val="28"/>
        </w:rPr>
        <w:t>2</w:t>
      </w:r>
      <w:r>
        <w:rPr>
          <w:rFonts w:ascii="Times New Roman" w:eastAsia="Times New Roman" w:hAnsi="Times New Roman" w:cs="Times New Roman"/>
          <w:sz w:val="28"/>
          <w:szCs w:val="28"/>
        </w:rPr>
        <w:t> – </w:t>
      </w:r>
      <w:r w:rsidRPr="00350166">
        <w:rPr>
          <w:rFonts w:ascii="Times New Roman" w:hAnsi="Times New Roman" w:cs="Times New Roman"/>
          <w:sz w:val="28"/>
          <w:szCs w:val="28"/>
        </w:rPr>
        <w:t>Информация о должностных лицах,</w:t>
      </w:r>
      <w:r>
        <w:rPr>
          <w:rFonts w:ascii="Times New Roman" w:eastAsia="Times New Roman" w:hAnsi="Times New Roman" w:cs="Times New Roman"/>
          <w:sz w:val="28"/>
          <w:szCs w:val="28"/>
        </w:rPr>
        <w:t xml:space="preserve"> </w:t>
      </w:r>
      <w:r>
        <w:rPr>
          <w:rFonts w:ascii="Times New Roman" w:hAnsi="Times New Roman" w:cs="Times New Roman"/>
          <w:sz w:val="28"/>
          <w:szCs w:val="28"/>
        </w:rPr>
        <w:t>о</w:t>
      </w:r>
      <w:r w:rsidRPr="00472529">
        <w:rPr>
          <w:rFonts w:ascii="Times New Roman" w:hAnsi="Times New Roman" w:cs="Times New Roman"/>
          <w:sz w:val="28"/>
          <w:szCs w:val="28"/>
        </w:rPr>
        <w:t>тветственных</w:t>
      </w:r>
      <w:r>
        <w:rPr>
          <w:rFonts w:ascii="Times New Roman" w:hAnsi="Times New Roman" w:cs="Times New Roman"/>
          <w:sz w:val="28"/>
          <w:szCs w:val="28"/>
        </w:rPr>
        <w:t xml:space="preserve"> </w:t>
      </w:r>
      <w:r w:rsidRPr="008664CC">
        <w:rPr>
          <w:rFonts w:ascii="Times New Roman" w:hAnsi="Times New Roman" w:cs="Times New Roman"/>
          <w:sz w:val="28"/>
          <w:szCs w:val="28"/>
        </w:rPr>
        <w:t>за координацию вопросов содействия развитию конкуренции в Новосибирской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948"/>
        <w:gridCol w:w="3376"/>
        <w:gridCol w:w="3027"/>
      </w:tblGrid>
      <w:tr w:rsidR="003F4CFF" w:rsidRPr="003F737C" w14:paraId="3B1C9E00" w14:textId="77777777" w:rsidTr="003F4CFF">
        <w:trPr>
          <w:trHeight w:val="20"/>
        </w:trPr>
        <w:tc>
          <w:tcPr>
            <w:tcW w:w="283" w:type="pct"/>
            <w:shd w:val="clear" w:color="auto" w:fill="auto"/>
          </w:tcPr>
          <w:p w14:paraId="098B0D15" w14:textId="77777777" w:rsidR="003F4CFF" w:rsidRPr="003F737C" w:rsidRDefault="003F4CFF" w:rsidP="003F4CFF">
            <w:pPr>
              <w:rPr>
                <w:rFonts w:ascii="Times New Roman" w:hAnsi="Times New Roman" w:cs="Times New Roman"/>
                <w:sz w:val="24"/>
                <w:szCs w:val="24"/>
                <w:lang w:eastAsia="en-US"/>
              </w:rPr>
            </w:pPr>
            <w:r w:rsidRPr="003F737C">
              <w:rPr>
                <w:rFonts w:ascii="Times New Roman" w:hAnsi="Times New Roman" w:cs="Times New Roman"/>
                <w:sz w:val="24"/>
                <w:szCs w:val="24"/>
                <w:lang w:eastAsia="en-US"/>
              </w:rPr>
              <w:t>№</w:t>
            </w:r>
          </w:p>
          <w:p w14:paraId="36818225" w14:textId="77777777" w:rsidR="003F4CFF" w:rsidRPr="003F737C" w:rsidRDefault="003F4CFF" w:rsidP="003F4CFF">
            <w:pPr>
              <w:rPr>
                <w:rFonts w:ascii="Times New Roman" w:hAnsi="Times New Roman" w:cs="Times New Roman"/>
                <w:sz w:val="24"/>
                <w:szCs w:val="24"/>
                <w:lang w:eastAsia="en-US"/>
              </w:rPr>
            </w:pPr>
            <w:r w:rsidRPr="003F737C">
              <w:rPr>
                <w:rFonts w:ascii="Times New Roman" w:hAnsi="Times New Roman" w:cs="Times New Roman"/>
                <w:sz w:val="24"/>
                <w:szCs w:val="24"/>
                <w:lang w:eastAsia="en-US"/>
              </w:rPr>
              <w:t>п/п</w:t>
            </w:r>
          </w:p>
        </w:tc>
        <w:tc>
          <w:tcPr>
            <w:tcW w:w="1487" w:type="pct"/>
            <w:shd w:val="clear" w:color="auto" w:fill="auto"/>
          </w:tcPr>
          <w:p w14:paraId="216AA307" w14:textId="77777777" w:rsidR="003F4CFF" w:rsidRPr="003F737C" w:rsidRDefault="003F4CFF" w:rsidP="003F4CFF">
            <w:pPr>
              <w:rPr>
                <w:rFonts w:ascii="Times New Roman" w:hAnsi="Times New Roman" w:cs="Times New Roman"/>
                <w:sz w:val="24"/>
                <w:szCs w:val="24"/>
                <w:lang w:eastAsia="en-US"/>
              </w:rPr>
            </w:pPr>
            <w:r w:rsidRPr="003F737C">
              <w:rPr>
                <w:rFonts w:ascii="Times New Roman" w:hAnsi="Times New Roman" w:cs="Times New Roman"/>
                <w:sz w:val="24"/>
                <w:szCs w:val="24"/>
                <w:lang w:eastAsia="en-US"/>
              </w:rPr>
              <w:t>Наименование</w:t>
            </w:r>
          </w:p>
          <w:p w14:paraId="12FD185D" w14:textId="77777777" w:rsidR="003F4CFF" w:rsidRPr="003F737C" w:rsidRDefault="003F4CFF" w:rsidP="003F4CFF">
            <w:pPr>
              <w:rPr>
                <w:rFonts w:ascii="Times New Roman" w:hAnsi="Times New Roman" w:cs="Times New Roman"/>
                <w:sz w:val="24"/>
                <w:szCs w:val="24"/>
                <w:lang w:eastAsia="en-US"/>
              </w:rPr>
            </w:pPr>
            <w:r>
              <w:rPr>
                <w:rFonts w:ascii="Times New Roman" w:hAnsi="Times New Roman" w:cs="Times New Roman"/>
                <w:sz w:val="24"/>
                <w:szCs w:val="24"/>
                <w:lang w:eastAsia="en-US"/>
              </w:rPr>
              <w:t>органа власти</w:t>
            </w:r>
          </w:p>
        </w:tc>
        <w:tc>
          <w:tcPr>
            <w:tcW w:w="1703" w:type="pct"/>
            <w:shd w:val="clear" w:color="auto" w:fill="auto"/>
          </w:tcPr>
          <w:p w14:paraId="129C72F1" w14:textId="77777777" w:rsidR="003F4CFF" w:rsidRPr="003F737C" w:rsidRDefault="003F4CFF" w:rsidP="003F4CFF">
            <w:pPr>
              <w:rPr>
                <w:rFonts w:ascii="Times New Roman" w:hAnsi="Times New Roman" w:cs="Times New Roman"/>
                <w:sz w:val="24"/>
                <w:szCs w:val="24"/>
                <w:lang w:eastAsia="en-US"/>
              </w:rPr>
            </w:pPr>
            <w:r w:rsidRPr="003F737C">
              <w:rPr>
                <w:rFonts w:ascii="Times New Roman" w:hAnsi="Times New Roman" w:cs="Times New Roman"/>
                <w:sz w:val="24"/>
                <w:szCs w:val="24"/>
                <w:lang w:eastAsia="en-US"/>
              </w:rPr>
              <w:t>Реквизиты правового акта,</w:t>
            </w:r>
          </w:p>
          <w:p w14:paraId="16F24226" w14:textId="77777777" w:rsidR="003F4CFF" w:rsidRPr="003F737C" w:rsidRDefault="003F4CFF" w:rsidP="003F4CFF">
            <w:pPr>
              <w:rPr>
                <w:rFonts w:ascii="Times New Roman" w:hAnsi="Times New Roman" w:cs="Times New Roman"/>
                <w:sz w:val="24"/>
                <w:szCs w:val="24"/>
                <w:lang w:eastAsia="en-US"/>
              </w:rPr>
            </w:pPr>
            <w:r w:rsidRPr="003F737C">
              <w:rPr>
                <w:rFonts w:ascii="Times New Roman" w:hAnsi="Times New Roman" w:cs="Times New Roman"/>
                <w:sz w:val="24"/>
                <w:szCs w:val="24"/>
                <w:lang w:eastAsia="en-US"/>
              </w:rPr>
              <w:t xml:space="preserve">в соответствии с которым внесены соответствующие изменения </w:t>
            </w:r>
            <w:r w:rsidRPr="00F41875">
              <w:rPr>
                <w:rFonts w:ascii="Times New Roman" w:hAnsi="Times New Roman" w:cs="Times New Roman"/>
                <w:sz w:val="24"/>
                <w:szCs w:val="24"/>
                <w:lang w:eastAsia="en-US"/>
              </w:rPr>
              <w:t>в должностные регламенты</w:t>
            </w:r>
          </w:p>
        </w:tc>
        <w:tc>
          <w:tcPr>
            <w:tcW w:w="1527" w:type="pct"/>
            <w:shd w:val="clear" w:color="auto" w:fill="auto"/>
          </w:tcPr>
          <w:p w14:paraId="66E060ED" w14:textId="77777777" w:rsidR="003F4CFF" w:rsidRPr="003F737C" w:rsidRDefault="003F4CFF" w:rsidP="003F4CFF">
            <w:pPr>
              <w:rPr>
                <w:rFonts w:ascii="Times New Roman" w:hAnsi="Times New Roman" w:cs="Times New Roman"/>
                <w:sz w:val="24"/>
                <w:szCs w:val="24"/>
                <w:lang w:eastAsia="en-US"/>
              </w:rPr>
            </w:pPr>
            <w:r w:rsidRPr="003F737C">
              <w:rPr>
                <w:rFonts w:ascii="Times New Roman" w:hAnsi="Times New Roman" w:cs="Times New Roman"/>
                <w:sz w:val="24"/>
                <w:szCs w:val="24"/>
                <w:lang w:eastAsia="en-US"/>
              </w:rPr>
              <w:t xml:space="preserve">Ответственное должностное лицо </w:t>
            </w:r>
          </w:p>
          <w:p w14:paraId="48F35BFC" w14:textId="77777777" w:rsidR="003F4CFF" w:rsidRPr="003F737C" w:rsidRDefault="003F4CFF" w:rsidP="003F4CFF">
            <w:pPr>
              <w:rPr>
                <w:rFonts w:ascii="Times New Roman" w:hAnsi="Times New Roman" w:cs="Times New Roman"/>
                <w:sz w:val="24"/>
                <w:szCs w:val="24"/>
                <w:lang w:eastAsia="en-US"/>
              </w:rPr>
            </w:pPr>
            <w:r w:rsidRPr="003F737C">
              <w:rPr>
                <w:rFonts w:ascii="Times New Roman" w:hAnsi="Times New Roman" w:cs="Times New Roman"/>
                <w:sz w:val="24"/>
                <w:szCs w:val="24"/>
                <w:lang w:eastAsia="en-US"/>
              </w:rPr>
              <w:t>(ФИО, должность) за координацию вопросов содействия развитию конкуренции в подведомственной сфере деятельности</w:t>
            </w:r>
          </w:p>
        </w:tc>
      </w:tr>
      <w:tr w:rsidR="003F4CFF" w:rsidRPr="003F737C" w14:paraId="618F3068" w14:textId="77777777" w:rsidTr="003F4CFF">
        <w:trPr>
          <w:trHeight w:val="20"/>
        </w:trPr>
        <w:tc>
          <w:tcPr>
            <w:tcW w:w="283" w:type="pct"/>
            <w:shd w:val="clear" w:color="auto" w:fill="auto"/>
          </w:tcPr>
          <w:p w14:paraId="53E63C77" w14:textId="77777777" w:rsidR="003F4CFF" w:rsidRPr="003F737C" w:rsidRDefault="003F4CFF" w:rsidP="009657E2">
            <w:pPr>
              <w:numPr>
                <w:ilvl w:val="0"/>
                <w:numId w:val="1"/>
              </w:numPr>
              <w:ind w:left="0" w:right="-109" w:firstLine="0"/>
              <w:contextualSpacing/>
              <w:rPr>
                <w:rFonts w:ascii="Times New Roman" w:hAnsi="Times New Roman" w:cs="Times New Roman"/>
                <w:color w:val="000000"/>
                <w:sz w:val="24"/>
                <w:szCs w:val="24"/>
                <w:lang w:eastAsia="en-US"/>
              </w:rPr>
            </w:pPr>
          </w:p>
        </w:tc>
        <w:tc>
          <w:tcPr>
            <w:tcW w:w="1487" w:type="pct"/>
            <w:shd w:val="clear" w:color="auto" w:fill="auto"/>
          </w:tcPr>
          <w:p w14:paraId="42AA9299"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жилищно-коммунального хозяйства и энергетики Новосибирской области</w:t>
            </w:r>
          </w:p>
        </w:tc>
        <w:tc>
          <w:tcPr>
            <w:tcW w:w="1703" w:type="pct"/>
            <w:shd w:val="clear" w:color="auto" w:fill="auto"/>
          </w:tcPr>
          <w:p w14:paraId="24C6CA9B"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Приказ министерства жилищно-коммунального хозяйства и энергетики Новосибирской области от 26.08.2019 № 174 «Об определении перечня должностных лиц министерства жилищно-коммунального хозяйства и энергетики Новосибирской области, ответственных за координацию вопросов содействия развитию конкуренции, а также структурных подразделений министерства жилищно-коммунального хозяйства и энергетики Новосибирской области, ответственных за разработку и реализацию планов мероприятий («Дорожных карт») по содействию развития конкуренции в </w:t>
            </w:r>
            <w:r w:rsidRPr="008664CC">
              <w:rPr>
                <w:rFonts w:ascii="Times New Roman" w:hAnsi="Times New Roman" w:cs="Times New Roman"/>
                <w:sz w:val="24"/>
                <w:szCs w:val="24"/>
                <w:lang w:eastAsia="en-US"/>
              </w:rPr>
              <w:lastRenderedPageBreak/>
              <w:t xml:space="preserve">подведомственной сфере деятельности» </w:t>
            </w:r>
          </w:p>
        </w:tc>
        <w:tc>
          <w:tcPr>
            <w:tcW w:w="1527" w:type="pct"/>
            <w:shd w:val="clear" w:color="auto" w:fill="FFFFFF"/>
          </w:tcPr>
          <w:p w14:paraId="795759AC"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lastRenderedPageBreak/>
              <w:t xml:space="preserve">Михайлов </w:t>
            </w:r>
          </w:p>
          <w:p w14:paraId="2718129F"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Андрей Геннадьевич – заместитель министра жилищно-коммунального хозяйства и энергетики Новосибирской области</w:t>
            </w:r>
          </w:p>
        </w:tc>
      </w:tr>
      <w:tr w:rsidR="003F4CFF" w:rsidRPr="003F737C" w14:paraId="4C3DD450" w14:textId="77777777" w:rsidTr="003F4CFF">
        <w:trPr>
          <w:trHeight w:val="20"/>
        </w:trPr>
        <w:tc>
          <w:tcPr>
            <w:tcW w:w="283" w:type="pct"/>
            <w:shd w:val="clear" w:color="auto" w:fill="auto"/>
          </w:tcPr>
          <w:p w14:paraId="4D40ED08"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4ED23149"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здравоохранения Новосибирской области</w:t>
            </w:r>
          </w:p>
        </w:tc>
        <w:tc>
          <w:tcPr>
            <w:tcW w:w="1703" w:type="pct"/>
            <w:shd w:val="clear" w:color="auto" w:fill="auto"/>
          </w:tcPr>
          <w:p w14:paraId="70B98E24"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министерства здравоохранения Новосибирской области от 18.12.2019 № 4043</w:t>
            </w:r>
          </w:p>
          <w:p w14:paraId="198EE601"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«Об определении должностных лиц с правом принятия управленческих решений, ответственных за координацию вопросов содействия развитию конкуренции, и структурных подразделений, ответственных за разработку и реализацию дорожных карт в министерстве здравоохранения Новосибирской области»</w:t>
            </w:r>
          </w:p>
        </w:tc>
        <w:tc>
          <w:tcPr>
            <w:tcW w:w="1527" w:type="pct"/>
            <w:shd w:val="clear" w:color="auto" w:fill="auto"/>
          </w:tcPr>
          <w:p w14:paraId="1A1A6FA2"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Колупаев </w:t>
            </w:r>
          </w:p>
          <w:p w14:paraId="03396755"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Александр Валерьевич – заместитель министра здравоохранения Новосибирской области</w:t>
            </w:r>
          </w:p>
        </w:tc>
      </w:tr>
      <w:tr w:rsidR="003F4CFF" w:rsidRPr="003F737C" w14:paraId="223ABC4D" w14:textId="77777777" w:rsidTr="003F4CFF">
        <w:trPr>
          <w:trHeight w:val="20"/>
        </w:trPr>
        <w:tc>
          <w:tcPr>
            <w:tcW w:w="283" w:type="pct"/>
            <w:shd w:val="clear" w:color="auto" w:fill="auto"/>
          </w:tcPr>
          <w:p w14:paraId="7B06CFE3"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4F622B9A"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культуры Новосибирской области</w:t>
            </w:r>
          </w:p>
        </w:tc>
        <w:tc>
          <w:tcPr>
            <w:tcW w:w="1703" w:type="pct"/>
            <w:shd w:val="clear" w:color="auto" w:fill="auto"/>
          </w:tcPr>
          <w:p w14:paraId="042FA1C5"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министерства культуры Новосибирской области от 25.10.2019 № 445 «Об определении ответственных за координацию вопросов содействия развитию конкуренции»</w:t>
            </w:r>
          </w:p>
        </w:tc>
        <w:tc>
          <w:tcPr>
            <w:tcW w:w="1527" w:type="pct"/>
            <w:shd w:val="clear" w:color="auto" w:fill="auto"/>
          </w:tcPr>
          <w:p w14:paraId="325DA87B"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Сазонов </w:t>
            </w:r>
          </w:p>
          <w:p w14:paraId="4E154D13"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Евгений Александрович – заместитель министра – начальник управления государственной культурной политики министерства культуры Новосибирской области</w:t>
            </w:r>
          </w:p>
        </w:tc>
      </w:tr>
      <w:tr w:rsidR="003F4CFF" w:rsidRPr="003F737C" w14:paraId="11B80FF0" w14:textId="77777777" w:rsidTr="003F4CFF">
        <w:trPr>
          <w:trHeight w:val="20"/>
        </w:trPr>
        <w:tc>
          <w:tcPr>
            <w:tcW w:w="283" w:type="pct"/>
            <w:shd w:val="clear" w:color="auto" w:fill="auto"/>
          </w:tcPr>
          <w:p w14:paraId="4256AD1D"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123C14E5"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науки и инновационной политики Новосибирской области</w:t>
            </w:r>
          </w:p>
        </w:tc>
        <w:tc>
          <w:tcPr>
            <w:tcW w:w="1703" w:type="pct"/>
            <w:shd w:val="clear" w:color="auto" w:fill="auto"/>
          </w:tcPr>
          <w:p w14:paraId="25FA4320"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министерства науки и инновационной политики Новосибирской области от 31.12.2019 № 146 «О назначении ответственного должностного лица за координацию вопросов содействия развитию конкуренции»</w:t>
            </w:r>
          </w:p>
        </w:tc>
        <w:tc>
          <w:tcPr>
            <w:tcW w:w="1527" w:type="pct"/>
            <w:shd w:val="clear" w:color="auto" w:fill="auto"/>
          </w:tcPr>
          <w:p w14:paraId="0CEDE35E"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Фурсов</w:t>
            </w:r>
          </w:p>
          <w:p w14:paraId="1D383E3B"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Алексей Алексеевич – заместитель министра науки и инновационной политики Новосибирской области</w:t>
            </w:r>
          </w:p>
        </w:tc>
      </w:tr>
      <w:tr w:rsidR="003F4CFF" w:rsidRPr="003F737C" w14:paraId="29893CFE" w14:textId="77777777" w:rsidTr="003F4CFF">
        <w:trPr>
          <w:trHeight w:val="20"/>
        </w:trPr>
        <w:tc>
          <w:tcPr>
            <w:tcW w:w="283" w:type="pct"/>
            <w:shd w:val="clear" w:color="auto" w:fill="auto"/>
          </w:tcPr>
          <w:p w14:paraId="5D482DFF"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3519783D"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образования Новосибирской области</w:t>
            </w:r>
          </w:p>
        </w:tc>
        <w:tc>
          <w:tcPr>
            <w:tcW w:w="1703" w:type="pct"/>
            <w:shd w:val="clear" w:color="auto" w:fill="auto"/>
          </w:tcPr>
          <w:p w14:paraId="2D268584"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Приказ министерства образования Новосибирской области от 18.06.2019 № 1402 «Об организации работы в министерстве образования Новосибирской области по внедрению стандарта развития конкуренции в Новосибирской области» </w:t>
            </w:r>
          </w:p>
        </w:tc>
        <w:tc>
          <w:tcPr>
            <w:tcW w:w="1527" w:type="pct"/>
            <w:shd w:val="clear" w:color="auto" w:fill="auto"/>
          </w:tcPr>
          <w:p w14:paraId="39DCEC20"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Мануйлова </w:t>
            </w:r>
          </w:p>
          <w:p w14:paraId="6B5B52ED"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Ирина Викторовна – заместитель министра образования Новосибирской области</w:t>
            </w:r>
          </w:p>
        </w:tc>
      </w:tr>
      <w:tr w:rsidR="003F4CFF" w:rsidRPr="003F737C" w14:paraId="4421DA29" w14:textId="77777777" w:rsidTr="003F4CFF">
        <w:trPr>
          <w:trHeight w:val="20"/>
        </w:trPr>
        <w:tc>
          <w:tcPr>
            <w:tcW w:w="283" w:type="pct"/>
            <w:shd w:val="clear" w:color="auto" w:fill="auto"/>
          </w:tcPr>
          <w:p w14:paraId="10F5AF86"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3C5B5397"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природных ресурсов и экологии Новосибирской области</w:t>
            </w:r>
          </w:p>
        </w:tc>
        <w:tc>
          <w:tcPr>
            <w:tcW w:w="1703" w:type="pct"/>
            <w:shd w:val="clear" w:color="auto" w:fill="auto"/>
          </w:tcPr>
          <w:p w14:paraId="16A28C45"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министерства природных ресурсов и экологии Новосибирской области от 16.09.2019 № 1323 «О назначении ответственных»</w:t>
            </w:r>
          </w:p>
        </w:tc>
        <w:tc>
          <w:tcPr>
            <w:tcW w:w="1527" w:type="pct"/>
            <w:shd w:val="clear" w:color="auto" w:fill="auto"/>
          </w:tcPr>
          <w:p w14:paraId="74EBE052"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Марченко </w:t>
            </w:r>
          </w:p>
          <w:p w14:paraId="18099EE8"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Юрий Юрьевич – заместитель министра – начальник управления природных ресурсов и особо охраняемых </w:t>
            </w:r>
            <w:r w:rsidRPr="008664CC">
              <w:rPr>
                <w:rFonts w:ascii="Times New Roman" w:hAnsi="Times New Roman" w:cs="Times New Roman"/>
                <w:sz w:val="24"/>
                <w:szCs w:val="24"/>
                <w:lang w:eastAsia="en-US"/>
              </w:rPr>
              <w:lastRenderedPageBreak/>
              <w:t>природных территорий министерства природных ресурсов и экологии Новосибирской области</w:t>
            </w:r>
          </w:p>
        </w:tc>
      </w:tr>
      <w:tr w:rsidR="003F4CFF" w:rsidRPr="003F737C" w14:paraId="113548EE" w14:textId="77777777" w:rsidTr="003F4CFF">
        <w:trPr>
          <w:trHeight w:val="20"/>
        </w:trPr>
        <w:tc>
          <w:tcPr>
            <w:tcW w:w="283" w:type="pct"/>
            <w:shd w:val="clear" w:color="auto" w:fill="auto"/>
          </w:tcPr>
          <w:p w14:paraId="61BB335B"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65AE0971"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промышленности, торговли и развития предпринимательства Новосибирской области</w:t>
            </w:r>
          </w:p>
        </w:tc>
        <w:tc>
          <w:tcPr>
            <w:tcW w:w="1703" w:type="pct"/>
            <w:shd w:val="clear" w:color="auto" w:fill="auto"/>
          </w:tcPr>
          <w:p w14:paraId="60AD16A8"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министерства промышленности, торговли и развития предпринимательства Новосибирской области от 24.09.2019 № 310 «Об определении ответственного лица»</w:t>
            </w:r>
          </w:p>
        </w:tc>
        <w:tc>
          <w:tcPr>
            <w:tcW w:w="1527" w:type="pct"/>
            <w:shd w:val="clear" w:color="auto" w:fill="auto"/>
          </w:tcPr>
          <w:p w14:paraId="6B4B065E"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Васильев </w:t>
            </w:r>
          </w:p>
          <w:p w14:paraId="38402E19"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Вадим Витальевич – заместитель министра – начальник управления промышленности и предпринимательства министерства промышленности‚ торговли и развития предпринимательства Новосибирской области</w:t>
            </w:r>
          </w:p>
        </w:tc>
      </w:tr>
      <w:tr w:rsidR="003F4CFF" w:rsidRPr="003F737C" w14:paraId="444770F0" w14:textId="77777777" w:rsidTr="003F4CFF">
        <w:trPr>
          <w:trHeight w:val="20"/>
        </w:trPr>
        <w:tc>
          <w:tcPr>
            <w:tcW w:w="283" w:type="pct"/>
            <w:shd w:val="clear" w:color="auto" w:fill="auto"/>
          </w:tcPr>
          <w:p w14:paraId="443B8FC1"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3C06A8EB"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региональной политики Новосибирской области</w:t>
            </w:r>
          </w:p>
        </w:tc>
        <w:tc>
          <w:tcPr>
            <w:tcW w:w="1703" w:type="pct"/>
            <w:shd w:val="clear" w:color="auto" w:fill="auto"/>
          </w:tcPr>
          <w:p w14:paraId="668B15FC"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Приказ министерства региональной политики Новосибирской области от 29.08.2019 № 154 «О назначении ответственных за содействие развитию конкуренции в сфере деятельности министерства региональной политики Новосибирской области» </w:t>
            </w:r>
          </w:p>
        </w:tc>
        <w:tc>
          <w:tcPr>
            <w:tcW w:w="1527" w:type="pct"/>
            <w:shd w:val="clear" w:color="auto" w:fill="auto"/>
          </w:tcPr>
          <w:p w14:paraId="00D763DB"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Шибаева </w:t>
            </w:r>
          </w:p>
          <w:p w14:paraId="621E6CF9"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Светлана Семеновна – заместитель министра – начальник управления по связям с общественностью и патриотическому воспитанию министерства региональной политики Новосибирской области</w:t>
            </w:r>
          </w:p>
        </w:tc>
      </w:tr>
      <w:tr w:rsidR="003F4CFF" w:rsidRPr="003F737C" w14:paraId="0075C85B" w14:textId="77777777" w:rsidTr="003F4CFF">
        <w:trPr>
          <w:trHeight w:val="20"/>
        </w:trPr>
        <w:tc>
          <w:tcPr>
            <w:tcW w:w="283" w:type="pct"/>
            <w:shd w:val="clear" w:color="auto" w:fill="auto"/>
          </w:tcPr>
          <w:p w14:paraId="03C47C63"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23E4833C"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сельского хозяйства Новосибирской области</w:t>
            </w:r>
          </w:p>
        </w:tc>
        <w:tc>
          <w:tcPr>
            <w:tcW w:w="1703" w:type="pct"/>
            <w:shd w:val="clear" w:color="auto" w:fill="auto"/>
          </w:tcPr>
          <w:p w14:paraId="108B6127"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министерства сельского хозяйства Новосибирской области от 31.07.2019 № 126 «О назначении должностного лица, ответственного за координацию вопросов содействия развитию конкуренции, и определении специалистов и структурных подразделений, ответственных за разработку и реализацию планов мероприятий («дорожных карт») по содействию развитию конкуренции»</w:t>
            </w:r>
          </w:p>
        </w:tc>
        <w:tc>
          <w:tcPr>
            <w:tcW w:w="1527" w:type="pct"/>
            <w:shd w:val="clear" w:color="auto" w:fill="auto"/>
          </w:tcPr>
          <w:p w14:paraId="4E1ACC2A"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Апанасенко </w:t>
            </w:r>
          </w:p>
          <w:p w14:paraId="75174D88"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Виктор Васильевич – заместитель министра – начальник управления отраслевой технологической политики министерства сельского хозяйства Новосибирской области</w:t>
            </w:r>
          </w:p>
          <w:p w14:paraId="1A06584A"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p>
        </w:tc>
      </w:tr>
      <w:tr w:rsidR="003F4CFF" w:rsidRPr="003F737C" w14:paraId="2C396CCC" w14:textId="77777777" w:rsidTr="003F4CFF">
        <w:trPr>
          <w:trHeight w:val="20"/>
        </w:trPr>
        <w:tc>
          <w:tcPr>
            <w:tcW w:w="283" w:type="pct"/>
            <w:shd w:val="clear" w:color="auto" w:fill="auto"/>
          </w:tcPr>
          <w:p w14:paraId="41940ABF"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676D2A5C"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строительства Новосибирской области</w:t>
            </w:r>
          </w:p>
        </w:tc>
        <w:tc>
          <w:tcPr>
            <w:tcW w:w="1703" w:type="pct"/>
            <w:shd w:val="clear" w:color="auto" w:fill="auto"/>
          </w:tcPr>
          <w:p w14:paraId="61FF0315"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Приказ министерства строительства Новосибирской области от 28.06.2019 № 365 «О назначении ответственных за содействие развитию конкуренции в строительной сфере Новосибирской области» </w:t>
            </w:r>
          </w:p>
        </w:tc>
        <w:tc>
          <w:tcPr>
            <w:tcW w:w="1527"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1"/>
            </w:tblGrid>
            <w:tr w:rsidR="003F4CFF" w:rsidRPr="008664CC" w14:paraId="1E21BE9D" w14:textId="77777777" w:rsidTr="003F4CFF">
              <w:trPr>
                <w:tblCellSpacing w:w="15" w:type="dxa"/>
              </w:trPr>
              <w:tc>
                <w:tcPr>
                  <w:tcW w:w="0" w:type="auto"/>
                  <w:vAlign w:val="center"/>
                  <w:hideMark/>
                </w:tcPr>
                <w:p w14:paraId="0F26198B"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Колмаков </w:t>
                  </w:r>
                </w:p>
                <w:p w14:paraId="43AEA5F7"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Алексей Викторович- заместитель министра строительства Новосибирской области </w:t>
                  </w:r>
                </w:p>
              </w:tc>
            </w:tr>
          </w:tbl>
          <w:p w14:paraId="0F9A4443" w14:textId="77777777" w:rsidR="003F4CFF" w:rsidRPr="008664CC" w:rsidRDefault="003F4CFF" w:rsidP="003F4CFF">
            <w:pPr>
              <w:rPr>
                <w:rFonts w:ascii="Times New Roman" w:hAnsi="Times New Roman" w:cs="Times New Roman"/>
                <w:sz w:val="24"/>
                <w:szCs w:val="24"/>
                <w:lang w:eastAsia="en-US"/>
              </w:rPr>
            </w:pPr>
          </w:p>
        </w:tc>
      </w:tr>
      <w:tr w:rsidR="003F4CFF" w:rsidRPr="003F737C" w14:paraId="712BC0DA" w14:textId="77777777" w:rsidTr="003F4CFF">
        <w:trPr>
          <w:trHeight w:val="20"/>
        </w:trPr>
        <w:tc>
          <w:tcPr>
            <w:tcW w:w="283" w:type="pct"/>
            <w:shd w:val="clear" w:color="auto" w:fill="auto"/>
          </w:tcPr>
          <w:p w14:paraId="320F9943"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1B77804D"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транспорта и дорожного хозяйства Новосибирской области</w:t>
            </w:r>
          </w:p>
        </w:tc>
        <w:tc>
          <w:tcPr>
            <w:tcW w:w="1703" w:type="pct"/>
            <w:shd w:val="clear" w:color="auto" w:fill="auto"/>
          </w:tcPr>
          <w:p w14:paraId="5281BF19"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министерства транспорта и дорожного хозяйства Новосибирской области от 15.07.2019 № 108 «О назначении ответственных лиц за работу по содействию развитию конкуренции в сфере транспорта и дорожного хозяйства на территории Новосибирской области»</w:t>
            </w:r>
          </w:p>
        </w:tc>
        <w:tc>
          <w:tcPr>
            <w:tcW w:w="1527" w:type="pct"/>
            <w:shd w:val="clear" w:color="auto" w:fill="auto"/>
          </w:tcPr>
          <w:p w14:paraId="568CF39A"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Ставицкий </w:t>
            </w:r>
          </w:p>
          <w:p w14:paraId="786A4CC2"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Сергей Владимирович – заместитель министра транспорта и дорожного хозяйства Новосибирской области</w:t>
            </w:r>
          </w:p>
          <w:p w14:paraId="210FAB4F" w14:textId="77777777" w:rsidR="003F4CFF" w:rsidRPr="008664CC" w:rsidRDefault="003F4CFF" w:rsidP="003F4CFF">
            <w:pPr>
              <w:rPr>
                <w:rFonts w:ascii="Times New Roman" w:hAnsi="Times New Roman" w:cs="Times New Roman"/>
                <w:sz w:val="24"/>
                <w:szCs w:val="24"/>
                <w:lang w:eastAsia="en-US"/>
              </w:rPr>
            </w:pPr>
          </w:p>
        </w:tc>
      </w:tr>
      <w:tr w:rsidR="003F4CFF" w:rsidRPr="003F737C" w14:paraId="6DCAFD2F" w14:textId="77777777" w:rsidTr="003F4CFF">
        <w:trPr>
          <w:trHeight w:val="20"/>
        </w:trPr>
        <w:tc>
          <w:tcPr>
            <w:tcW w:w="283" w:type="pct"/>
            <w:shd w:val="clear" w:color="auto" w:fill="auto"/>
          </w:tcPr>
          <w:p w14:paraId="36924C27"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25804FCF"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труда и социального развития Новосибирской области</w:t>
            </w:r>
          </w:p>
        </w:tc>
        <w:tc>
          <w:tcPr>
            <w:tcW w:w="1703" w:type="pct"/>
            <w:shd w:val="clear" w:color="auto" w:fill="auto"/>
          </w:tcPr>
          <w:p w14:paraId="4682714B"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министерства труда и социального развития Новосибирской области от 22.10.2019 от 1132 «Об определении ответственных за координацию вопросов содействия развитию конкуренции»</w:t>
            </w:r>
          </w:p>
        </w:tc>
        <w:tc>
          <w:tcPr>
            <w:tcW w:w="1527" w:type="pct"/>
            <w:shd w:val="clear" w:color="auto" w:fill="auto"/>
          </w:tcPr>
          <w:p w14:paraId="154133D3"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Потапова</w:t>
            </w:r>
          </w:p>
          <w:p w14:paraId="016DD682"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Ольга Рамильевна – заместитель министра труда и социального развития Новосибирской области</w:t>
            </w:r>
          </w:p>
        </w:tc>
      </w:tr>
      <w:tr w:rsidR="003F4CFF" w:rsidRPr="003F737C" w14:paraId="43469516" w14:textId="77777777" w:rsidTr="003F4CFF">
        <w:trPr>
          <w:trHeight w:val="20"/>
        </w:trPr>
        <w:tc>
          <w:tcPr>
            <w:tcW w:w="283" w:type="pct"/>
            <w:shd w:val="clear" w:color="auto" w:fill="auto"/>
          </w:tcPr>
          <w:p w14:paraId="1F5FEA9D"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3DB855B0"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физической культуры и спорта Новосибирской области</w:t>
            </w:r>
          </w:p>
        </w:tc>
        <w:tc>
          <w:tcPr>
            <w:tcW w:w="1703" w:type="pct"/>
            <w:shd w:val="clear" w:color="auto" w:fill="auto"/>
          </w:tcPr>
          <w:p w14:paraId="63BC13CE" w14:textId="06415FA0"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министерства физической культуры и спорта Новосибирской области от 17.10.2019 № 1087 «О назначении должностных лиц,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w:t>
            </w:r>
          </w:p>
        </w:tc>
        <w:tc>
          <w:tcPr>
            <w:tcW w:w="1527" w:type="pct"/>
            <w:shd w:val="clear" w:color="auto" w:fill="auto"/>
          </w:tcPr>
          <w:p w14:paraId="4150C1FE" w14:textId="77777777" w:rsidR="003F4CFF" w:rsidRPr="008664CC" w:rsidRDefault="003F4CFF" w:rsidP="003F4CFF">
            <w:pPr>
              <w:widowControl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Курносова</w:t>
            </w:r>
          </w:p>
          <w:p w14:paraId="522F064A"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Марина Николаевна - </w:t>
            </w:r>
          </w:p>
          <w:p w14:paraId="711116A0" w14:textId="77777777" w:rsidR="003F4CFF" w:rsidRPr="008664CC" w:rsidRDefault="003F4CFF" w:rsidP="003F4CFF">
            <w:pPr>
              <w:widowControl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заместитель министра физической культуры и спорта Новосибирской области</w:t>
            </w:r>
          </w:p>
          <w:p w14:paraId="379DFED9" w14:textId="77777777" w:rsidR="003F4CFF" w:rsidRPr="008664CC" w:rsidRDefault="003F4CFF" w:rsidP="003F4CFF">
            <w:pPr>
              <w:rPr>
                <w:rFonts w:ascii="Times New Roman" w:hAnsi="Times New Roman" w:cs="Times New Roman"/>
                <w:sz w:val="24"/>
                <w:szCs w:val="24"/>
                <w:lang w:eastAsia="en-US"/>
              </w:rPr>
            </w:pPr>
          </w:p>
        </w:tc>
      </w:tr>
      <w:tr w:rsidR="003F4CFF" w:rsidRPr="003F737C" w14:paraId="40079CC9" w14:textId="77777777" w:rsidTr="003F4CFF">
        <w:trPr>
          <w:trHeight w:val="20"/>
        </w:trPr>
        <w:tc>
          <w:tcPr>
            <w:tcW w:w="283" w:type="pct"/>
            <w:shd w:val="clear" w:color="auto" w:fill="auto"/>
          </w:tcPr>
          <w:p w14:paraId="05D2470F"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6EFCCAA9"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финансов и налоговой политики Новосибирской области</w:t>
            </w:r>
          </w:p>
        </w:tc>
        <w:tc>
          <w:tcPr>
            <w:tcW w:w="1703" w:type="pct"/>
            <w:shd w:val="clear" w:color="auto" w:fill="auto"/>
          </w:tcPr>
          <w:p w14:paraId="72F7A8C8"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министерства финансов и налоговой политики Новосибирской области от 13.09.2019 № 134 «О назначении ответственного за координацию вопросов содействия развитию конкуренции в министерстве финансов и налоговой политики Новосибирской области»</w:t>
            </w:r>
          </w:p>
        </w:tc>
        <w:tc>
          <w:tcPr>
            <w:tcW w:w="1527" w:type="pct"/>
            <w:tcBorders>
              <w:bottom w:val="single" w:sz="4" w:space="0" w:color="auto"/>
            </w:tcBorders>
            <w:shd w:val="clear" w:color="auto" w:fill="auto"/>
          </w:tcPr>
          <w:p w14:paraId="2212F65F"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Москвичев </w:t>
            </w:r>
          </w:p>
          <w:p w14:paraId="4C825BC6"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Алексей Владимирович – заместитель министра финансов и налоговой политики Новосибирской области</w:t>
            </w:r>
          </w:p>
        </w:tc>
      </w:tr>
      <w:tr w:rsidR="003F4CFF" w:rsidRPr="003F737C" w14:paraId="40857357" w14:textId="77777777" w:rsidTr="003F4CFF">
        <w:trPr>
          <w:trHeight w:val="20"/>
        </w:trPr>
        <w:tc>
          <w:tcPr>
            <w:tcW w:w="283" w:type="pct"/>
            <w:shd w:val="clear" w:color="auto" w:fill="auto"/>
          </w:tcPr>
          <w:p w14:paraId="7F16AD66"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24070EDA"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цифрового развития и связи Новосибирской области</w:t>
            </w:r>
          </w:p>
          <w:p w14:paraId="3DD19125" w14:textId="77777777" w:rsidR="003F4CFF" w:rsidRPr="008664CC" w:rsidRDefault="003F4CFF" w:rsidP="003F4CFF">
            <w:pPr>
              <w:rPr>
                <w:rFonts w:ascii="Times New Roman" w:hAnsi="Times New Roman" w:cs="Times New Roman"/>
                <w:sz w:val="24"/>
                <w:szCs w:val="24"/>
                <w:lang w:eastAsia="en-US"/>
              </w:rPr>
            </w:pPr>
          </w:p>
        </w:tc>
        <w:tc>
          <w:tcPr>
            <w:tcW w:w="1703" w:type="pct"/>
            <w:shd w:val="clear" w:color="auto" w:fill="auto"/>
          </w:tcPr>
          <w:p w14:paraId="2BBA0B04"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министерства цифрового развития и связи Новосибирской области от 30.10.2019 № 256/1-Д «Об утверждении ответственного»</w:t>
            </w:r>
          </w:p>
        </w:tc>
        <w:tc>
          <w:tcPr>
            <w:tcW w:w="1527" w:type="pct"/>
            <w:shd w:val="clear" w:color="auto" w:fill="auto"/>
          </w:tcPr>
          <w:p w14:paraId="1B455260"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Жучков </w:t>
            </w:r>
          </w:p>
          <w:p w14:paraId="4D75F003"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Павел Анатольевич – заместитель министра цифрового развития и </w:t>
            </w:r>
            <w:r w:rsidRPr="008664CC">
              <w:rPr>
                <w:rFonts w:ascii="Times New Roman" w:hAnsi="Times New Roman" w:cs="Times New Roman"/>
                <w:sz w:val="24"/>
                <w:szCs w:val="24"/>
                <w:lang w:eastAsia="en-US"/>
              </w:rPr>
              <w:lastRenderedPageBreak/>
              <w:t>связи Новосибирской области</w:t>
            </w:r>
          </w:p>
        </w:tc>
      </w:tr>
      <w:tr w:rsidR="003F4CFF" w:rsidRPr="003F737C" w14:paraId="73A387B7" w14:textId="77777777" w:rsidTr="003F4CFF">
        <w:trPr>
          <w:trHeight w:val="20"/>
        </w:trPr>
        <w:tc>
          <w:tcPr>
            <w:tcW w:w="283" w:type="pct"/>
            <w:shd w:val="clear" w:color="auto" w:fill="auto"/>
          </w:tcPr>
          <w:p w14:paraId="5AA698AF"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443C67BC"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экономического развития Новосибирской области</w:t>
            </w:r>
          </w:p>
        </w:tc>
        <w:tc>
          <w:tcPr>
            <w:tcW w:w="1703" w:type="pct"/>
            <w:shd w:val="clear" w:color="auto" w:fill="auto"/>
          </w:tcPr>
          <w:p w14:paraId="5C64824B"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министерства экономического развития Новосибирской области от 16.12.2019 № 132 «Об определении ответственного за координацию вопросов содействия развитию конкуренции и ответственного структурного подразделения за разработку и реализацию планов мероприятий («дорожных карт») по содействию развитию конкуренции в подведомственной сфере деятельности»</w:t>
            </w:r>
          </w:p>
        </w:tc>
        <w:tc>
          <w:tcPr>
            <w:tcW w:w="1527" w:type="pct"/>
            <w:shd w:val="clear" w:color="auto" w:fill="auto"/>
          </w:tcPr>
          <w:p w14:paraId="16E75FC6"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Шовтак </w:t>
            </w:r>
          </w:p>
          <w:p w14:paraId="4551F151"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Виталий Борисович – заместитель министра экономического развития Новосибирской области</w:t>
            </w:r>
          </w:p>
        </w:tc>
      </w:tr>
      <w:tr w:rsidR="003F4CFF" w:rsidRPr="003F737C" w14:paraId="35DB9411" w14:textId="77777777" w:rsidTr="003F4CFF">
        <w:trPr>
          <w:trHeight w:val="20"/>
        </w:trPr>
        <w:tc>
          <w:tcPr>
            <w:tcW w:w="283" w:type="pct"/>
            <w:shd w:val="clear" w:color="auto" w:fill="auto"/>
          </w:tcPr>
          <w:p w14:paraId="639A68C5"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35B23FFC"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Министерство юстиции Новосибирской области</w:t>
            </w:r>
          </w:p>
        </w:tc>
        <w:tc>
          <w:tcPr>
            <w:tcW w:w="1703" w:type="pct"/>
            <w:shd w:val="clear" w:color="auto" w:fill="auto"/>
          </w:tcPr>
          <w:p w14:paraId="124D680A"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Приказ министерства юстиции Новосибирской области от 24.07.2019 № 52-пк «Об определении ответственного за координацию вопросов содействия развитию конкуренции, и ответственного за разработку и реализацию планов мероприятий («дорожных карт»)» </w:t>
            </w:r>
          </w:p>
        </w:tc>
        <w:tc>
          <w:tcPr>
            <w:tcW w:w="1527" w:type="pct"/>
            <w:shd w:val="clear" w:color="auto" w:fill="auto"/>
          </w:tcPr>
          <w:p w14:paraId="3E9CF1AB"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Табала </w:t>
            </w:r>
          </w:p>
          <w:p w14:paraId="25F00324"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Виталий Борисович – заместитель министра - начальник управления</w:t>
            </w:r>
          </w:p>
          <w:p w14:paraId="03B543A3"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по правовому обеспечению и правовому взаимодействию министерства юстиции Новосибирской области</w:t>
            </w:r>
          </w:p>
          <w:p w14:paraId="5BF08999" w14:textId="77777777" w:rsidR="003F4CFF" w:rsidRPr="008664CC" w:rsidRDefault="003F4CFF" w:rsidP="003F4CFF">
            <w:pPr>
              <w:rPr>
                <w:rFonts w:ascii="Times New Roman" w:hAnsi="Times New Roman" w:cs="Times New Roman"/>
                <w:sz w:val="24"/>
                <w:szCs w:val="24"/>
                <w:lang w:eastAsia="en-US"/>
              </w:rPr>
            </w:pPr>
          </w:p>
        </w:tc>
      </w:tr>
      <w:tr w:rsidR="003F4CFF" w:rsidRPr="003F737C" w14:paraId="5EBC0E8C" w14:textId="77777777" w:rsidTr="003F4CFF">
        <w:trPr>
          <w:trHeight w:val="20"/>
        </w:trPr>
        <w:tc>
          <w:tcPr>
            <w:tcW w:w="283" w:type="pct"/>
            <w:shd w:val="clear" w:color="auto" w:fill="auto"/>
          </w:tcPr>
          <w:p w14:paraId="43CC0FB7"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0683BA86"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Департамент имущества и земельных отношений Новосибирской области</w:t>
            </w:r>
          </w:p>
        </w:tc>
        <w:tc>
          <w:tcPr>
            <w:tcW w:w="1703" w:type="pct"/>
            <w:shd w:val="clear" w:color="auto" w:fill="auto"/>
          </w:tcPr>
          <w:p w14:paraId="06974E65"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департамента имущества и земельных отношений Новосибирской области от 02.09.2019 № 3638 «О назначении ответственного должностного лица за координацию вопросов содействия развитию конкуренции, с правом принятия управленческих решений департамента имущества и земельных отношений Новосибирской области»</w:t>
            </w:r>
          </w:p>
        </w:tc>
        <w:tc>
          <w:tcPr>
            <w:tcW w:w="1527" w:type="pct"/>
            <w:shd w:val="clear" w:color="auto" w:fill="auto"/>
          </w:tcPr>
          <w:p w14:paraId="75A73681" w14:textId="77777777" w:rsidR="003F4CFF" w:rsidRPr="008664CC" w:rsidRDefault="003F4CFF" w:rsidP="003F4CFF">
            <w:pPr>
              <w:widowControl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Скородумов </w:t>
            </w:r>
          </w:p>
          <w:p w14:paraId="2AE2ED73" w14:textId="77777777" w:rsidR="003F4CFF" w:rsidRPr="008664CC" w:rsidRDefault="003F4CFF" w:rsidP="003F4CFF">
            <w:pPr>
              <w:widowControl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Евгений Леонидович – заместитель руководителя департамента имущества и земельных отношений Новосибирской области</w:t>
            </w:r>
          </w:p>
        </w:tc>
      </w:tr>
      <w:tr w:rsidR="003F4CFF" w:rsidRPr="003F737C" w14:paraId="572E7ECC" w14:textId="77777777" w:rsidTr="003F4CFF">
        <w:trPr>
          <w:trHeight w:val="20"/>
        </w:trPr>
        <w:tc>
          <w:tcPr>
            <w:tcW w:w="283" w:type="pct"/>
            <w:shd w:val="clear" w:color="auto" w:fill="auto"/>
          </w:tcPr>
          <w:p w14:paraId="6F86EC6B"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2628C3BA" w14:textId="77777777" w:rsidR="003F4CFF" w:rsidRPr="008664CC" w:rsidRDefault="00E3307E" w:rsidP="003F4CFF">
            <w:pPr>
              <w:rPr>
                <w:rFonts w:ascii="Times New Roman" w:hAnsi="Times New Roman" w:cs="Times New Roman"/>
                <w:sz w:val="24"/>
                <w:szCs w:val="24"/>
                <w:lang w:eastAsia="en-US"/>
              </w:rPr>
            </w:pPr>
            <w:hyperlink r:id="rId26" w:history="1">
              <w:r w:rsidR="003F4CFF" w:rsidRPr="008664CC">
                <w:rPr>
                  <w:rFonts w:ascii="Times New Roman" w:hAnsi="Times New Roman" w:cs="Times New Roman"/>
                  <w:sz w:val="24"/>
                  <w:szCs w:val="24"/>
                  <w:lang w:eastAsia="en-US"/>
                </w:rPr>
                <w:t xml:space="preserve">Департамент по тарифам </w:t>
              </w:r>
            </w:hyperlink>
            <w:r w:rsidR="003F4CFF" w:rsidRPr="008664CC">
              <w:rPr>
                <w:rFonts w:ascii="Times New Roman" w:hAnsi="Times New Roman" w:cs="Times New Roman"/>
                <w:sz w:val="24"/>
                <w:szCs w:val="24"/>
                <w:lang w:eastAsia="en-US"/>
              </w:rPr>
              <w:t>Новосибирской области</w:t>
            </w:r>
          </w:p>
        </w:tc>
        <w:tc>
          <w:tcPr>
            <w:tcW w:w="1703" w:type="pct"/>
            <w:shd w:val="clear" w:color="auto" w:fill="auto"/>
          </w:tcPr>
          <w:p w14:paraId="04E97DFB" w14:textId="14FE3B9E" w:rsidR="003F4CFF" w:rsidRPr="008664CC" w:rsidRDefault="003F4CFF" w:rsidP="00B66EE5">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Приказ департамента по тарифам Новосибирской области от 31.10.2019 </w:t>
            </w:r>
            <w:r w:rsidR="00904414" w:rsidRPr="008664CC">
              <w:rPr>
                <w:rFonts w:ascii="Times New Roman" w:hAnsi="Times New Roman" w:cs="Times New Roman"/>
                <w:sz w:val="24"/>
                <w:szCs w:val="24"/>
                <w:lang w:eastAsia="en-US"/>
              </w:rPr>
              <w:t xml:space="preserve">№ 10 </w:t>
            </w:r>
            <w:r w:rsidRPr="008664CC">
              <w:rPr>
                <w:rFonts w:ascii="Times New Roman" w:hAnsi="Times New Roman" w:cs="Times New Roman"/>
                <w:sz w:val="24"/>
                <w:szCs w:val="24"/>
                <w:lang w:eastAsia="en-US"/>
              </w:rPr>
              <w:t xml:space="preserve">«О назначении ответственного должностного лица за координацию </w:t>
            </w:r>
            <w:r w:rsidRPr="008664CC">
              <w:rPr>
                <w:rFonts w:ascii="Times New Roman" w:hAnsi="Times New Roman" w:cs="Times New Roman"/>
                <w:sz w:val="24"/>
                <w:szCs w:val="24"/>
                <w:lang w:eastAsia="en-US"/>
              </w:rPr>
              <w:lastRenderedPageBreak/>
              <w:t>вопросов содействия развитию конкуренции»</w:t>
            </w:r>
          </w:p>
        </w:tc>
        <w:tc>
          <w:tcPr>
            <w:tcW w:w="1527" w:type="pct"/>
            <w:shd w:val="clear" w:color="auto" w:fill="auto"/>
          </w:tcPr>
          <w:p w14:paraId="0C92BDA2" w14:textId="77777777" w:rsidR="003F4CFF" w:rsidRPr="008664CC" w:rsidRDefault="003F4CFF" w:rsidP="003F4CFF">
            <w:pPr>
              <w:widowControl w:val="0"/>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lastRenderedPageBreak/>
              <w:t xml:space="preserve">Ганул </w:t>
            </w:r>
          </w:p>
          <w:p w14:paraId="7481B336" w14:textId="77777777" w:rsidR="003F4CFF" w:rsidRPr="008664CC" w:rsidRDefault="003F4CFF" w:rsidP="003F4CFF">
            <w:pPr>
              <w:widowControl w:val="0"/>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Роман Викторович – заместитель руководителя департамента</w:t>
            </w:r>
          </w:p>
          <w:p w14:paraId="2EC503C6"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p>
        </w:tc>
      </w:tr>
      <w:tr w:rsidR="003F4CFF" w:rsidRPr="003F737C" w14:paraId="2CAD29B4" w14:textId="77777777" w:rsidTr="003F4CFF">
        <w:trPr>
          <w:trHeight w:val="20"/>
        </w:trPr>
        <w:tc>
          <w:tcPr>
            <w:tcW w:w="283" w:type="pct"/>
            <w:shd w:val="clear" w:color="auto" w:fill="auto"/>
          </w:tcPr>
          <w:p w14:paraId="2DC336F8"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3520A049"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Контрольное управление</w:t>
            </w:r>
            <w:r w:rsidR="00627182">
              <w:rPr>
                <w:rFonts w:ascii="Times New Roman" w:hAnsi="Times New Roman" w:cs="Times New Roman"/>
                <w:sz w:val="24"/>
                <w:szCs w:val="24"/>
                <w:lang w:eastAsia="en-US"/>
              </w:rPr>
              <w:t xml:space="preserve"> Новосибирской области</w:t>
            </w:r>
          </w:p>
        </w:tc>
        <w:tc>
          <w:tcPr>
            <w:tcW w:w="1703" w:type="pct"/>
            <w:shd w:val="clear" w:color="auto" w:fill="auto"/>
          </w:tcPr>
          <w:p w14:paraId="3FB1E257"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контрольного управления Новосибирской области от 17.10.2019 № 327 «Об ответственных за координацию вопросов содействия развитию конкуренции и за разработку и реализацию планов мероприятий («дорожных карт») по содействию развитию конкуренции»</w:t>
            </w:r>
          </w:p>
        </w:tc>
        <w:tc>
          <w:tcPr>
            <w:tcW w:w="1527" w:type="pct"/>
            <w:shd w:val="clear" w:color="auto" w:fill="auto"/>
          </w:tcPr>
          <w:p w14:paraId="26450AEF"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Власова </w:t>
            </w:r>
          </w:p>
          <w:p w14:paraId="41C138CF"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Ирина Владимировна – заместитель начальника контрольного управления</w:t>
            </w:r>
          </w:p>
        </w:tc>
      </w:tr>
      <w:tr w:rsidR="003F4CFF" w:rsidRPr="003F737C" w14:paraId="4139ECBB" w14:textId="77777777" w:rsidTr="003F4CFF">
        <w:trPr>
          <w:trHeight w:val="20"/>
        </w:trPr>
        <w:tc>
          <w:tcPr>
            <w:tcW w:w="283" w:type="pct"/>
            <w:shd w:val="clear" w:color="auto" w:fill="auto"/>
          </w:tcPr>
          <w:p w14:paraId="0A25A354"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60F78530" w14:textId="77777777" w:rsidR="003F4CFF" w:rsidRPr="008664CC" w:rsidRDefault="00E3307E" w:rsidP="003F4CFF">
            <w:pPr>
              <w:rPr>
                <w:rFonts w:ascii="Times New Roman" w:hAnsi="Times New Roman" w:cs="Times New Roman"/>
                <w:sz w:val="24"/>
                <w:szCs w:val="24"/>
                <w:lang w:eastAsia="en-US"/>
              </w:rPr>
            </w:pPr>
            <w:hyperlink r:id="rId27" w:history="1">
              <w:r w:rsidR="003F4CFF" w:rsidRPr="008664CC">
                <w:rPr>
                  <w:rFonts w:ascii="Times New Roman" w:hAnsi="Times New Roman" w:cs="Times New Roman"/>
                  <w:sz w:val="24"/>
                  <w:szCs w:val="24"/>
                  <w:lang w:eastAsia="en-US"/>
                </w:rPr>
                <w:t>Управление ветеринарии Новосибирской</w:t>
              </w:r>
            </w:hyperlink>
            <w:r w:rsidR="003F4CFF" w:rsidRPr="008664CC">
              <w:rPr>
                <w:rFonts w:ascii="Times New Roman" w:hAnsi="Times New Roman" w:cs="Times New Roman"/>
                <w:sz w:val="24"/>
                <w:szCs w:val="24"/>
                <w:lang w:eastAsia="en-US"/>
              </w:rPr>
              <w:t xml:space="preserve"> области</w:t>
            </w:r>
          </w:p>
        </w:tc>
        <w:tc>
          <w:tcPr>
            <w:tcW w:w="1703" w:type="pct"/>
            <w:shd w:val="clear" w:color="auto" w:fill="auto"/>
          </w:tcPr>
          <w:p w14:paraId="12BD5AB5"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управления ветеринарии Новосибирской области от 29.10.2019 № 293 «Об определении ответственных за координацию вопросов содействия развития конкуренции»</w:t>
            </w:r>
          </w:p>
        </w:tc>
        <w:tc>
          <w:tcPr>
            <w:tcW w:w="1527" w:type="pct"/>
            <w:shd w:val="clear" w:color="auto" w:fill="auto"/>
          </w:tcPr>
          <w:p w14:paraId="054D842F"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Макаров </w:t>
            </w:r>
          </w:p>
          <w:p w14:paraId="09D4BBEB"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Сергей Викторович – заместитель начальника </w:t>
            </w:r>
            <w:hyperlink r:id="rId28" w:history="1">
              <w:r w:rsidRPr="008664CC">
                <w:rPr>
                  <w:rFonts w:ascii="Times New Roman" w:hAnsi="Times New Roman" w:cs="Times New Roman"/>
                  <w:sz w:val="24"/>
                  <w:szCs w:val="24"/>
                  <w:lang w:eastAsia="en-US"/>
                </w:rPr>
                <w:t>управления ветеринарии Новосибирской</w:t>
              </w:r>
            </w:hyperlink>
            <w:r w:rsidRPr="008664CC">
              <w:rPr>
                <w:rFonts w:ascii="Times New Roman" w:hAnsi="Times New Roman" w:cs="Times New Roman"/>
                <w:sz w:val="24"/>
                <w:szCs w:val="24"/>
                <w:lang w:eastAsia="en-US"/>
              </w:rPr>
              <w:t xml:space="preserve"> области</w:t>
            </w:r>
          </w:p>
        </w:tc>
      </w:tr>
      <w:tr w:rsidR="003F4CFF" w:rsidRPr="003F737C" w14:paraId="4DA3C55C" w14:textId="77777777" w:rsidTr="003F4CFF">
        <w:trPr>
          <w:trHeight w:val="20"/>
        </w:trPr>
        <w:tc>
          <w:tcPr>
            <w:tcW w:w="283" w:type="pct"/>
            <w:shd w:val="clear" w:color="auto" w:fill="auto"/>
          </w:tcPr>
          <w:p w14:paraId="663B8AE9"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154D09B4" w14:textId="77777777" w:rsidR="003F4CFF" w:rsidRPr="008664CC" w:rsidRDefault="00E3307E" w:rsidP="003F4CFF">
            <w:pPr>
              <w:rPr>
                <w:rFonts w:ascii="Times New Roman" w:hAnsi="Times New Roman" w:cs="Times New Roman"/>
                <w:sz w:val="24"/>
                <w:szCs w:val="24"/>
                <w:lang w:eastAsia="en-US"/>
              </w:rPr>
            </w:pPr>
            <w:hyperlink r:id="rId29" w:history="1">
              <w:r w:rsidR="003F4CFF" w:rsidRPr="008664CC">
                <w:rPr>
                  <w:rFonts w:ascii="Times New Roman" w:hAnsi="Times New Roman" w:cs="Times New Roman"/>
                  <w:sz w:val="24"/>
                  <w:szCs w:val="24"/>
                  <w:lang w:eastAsia="en-US"/>
                </w:rPr>
                <w:t>Управление государственной архивной службы Новосибирской</w:t>
              </w:r>
            </w:hyperlink>
            <w:r w:rsidR="003F4CFF" w:rsidRPr="008664CC">
              <w:rPr>
                <w:rFonts w:ascii="Times New Roman" w:hAnsi="Times New Roman" w:cs="Times New Roman"/>
                <w:sz w:val="24"/>
                <w:szCs w:val="24"/>
                <w:lang w:eastAsia="en-US"/>
              </w:rPr>
              <w:t xml:space="preserve"> области</w:t>
            </w:r>
          </w:p>
        </w:tc>
        <w:tc>
          <w:tcPr>
            <w:tcW w:w="1703" w:type="pct"/>
            <w:shd w:val="clear" w:color="auto" w:fill="auto"/>
          </w:tcPr>
          <w:p w14:paraId="4779F7EF"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управления государственной архивной службы Новосибирской области от 16.08.2019 № 129-од «О назначении ответственного за координацию вопросов содействия развитию конкуренции»</w:t>
            </w:r>
          </w:p>
        </w:tc>
        <w:tc>
          <w:tcPr>
            <w:tcW w:w="1527" w:type="pct"/>
            <w:shd w:val="clear" w:color="auto" w:fill="auto"/>
          </w:tcPr>
          <w:p w14:paraId="2D2978D9"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Ивановская </w:t>
            </w:r>
          </w:p>
          <w:p w14:paraId="2B0DDB53"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Елена Владимировна – заместитель начальника управления государственной архивной службы Новосибирской области </w:t>
            </w:r>
          </w:p>
        </w:tc>
      </w:tr>
      <w:tr w:rsidR="003F4CFF" w:rsidRPr="003F737C" w14:paraId="0DDAF096" w14:textId="77777777" w:rsidTr="003F4CFF">
        <w:trPr>
          <w:trHeight w:val="20"/>
        </w:trPr>
        <w:tc>
          <w:tcPr>
            <w:tcW w:w="283" w:type="pct"/>
            <w:shd w:val="clear" w:color="auto" w:fill="auto"/>
          </w:tcPr>
          <w:p w14:paraId="1ED73BD5"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421F12F3"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Управление делами Губернатора Новосибирской области и Правительства Новосибирской области</w:t>
            </w:r>
          </w:p>
        </w:tc>
        <w:tc>
          <w:tcPr>
            <w:tcW w:w="1703" w:type="pct"/>
            <w:shd w:val="clear" w:color="auto" w:fill="auto"/>
          </w:tcPr>
          <w:p w14:paraId="3D26D370"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Приказ управления делами Губернатора Новосибирской области и Правительства Новосибирской области от 27.05.2019 № 110 «О назначении ответственных за координацию вопросов содействия развитию конкуренции, а также структурного подразделения, ответственного за разработку и реализацию планов мероприятий («дорожных карт») по содействию развитию конкуренции» </w:t>
            </w:r>
          </w:p>
        </w:tc>
        <w:tc>
          <w:tcPr>
            <w:tcW w:w="1527" w:type="pct"/>
            <w:shd w:val="clear" w:color="auto" w:fill="auto"/>
          </w:tcPr>
          <w:p w14:paraId="158A3D64"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Сычев </w:t>
            </w:r>
          </w:p>
          <w:p w14:paraId="7361E6AA"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Алексей Геннадьевич – заместитель управления делами Губернатора Новосибирской области и Правительства Новосибирской области</w:t>
            </w:r>
          </w:p>
        </w:tc>
      </w:tr>
      <w:tr w:rsidR="003F4CFF" w:rsidRPr="003F737C" w14:paraId="6E98C1FB" w14:textId="77777777" w:rsidTr="003F4CFF">
        <w:trPr>
          <w:trHeight w:val="20"/>
        </w:trPr>
        <w:tc>
          <w:tcPr>
            <w:tcW w:w="283" w:type="pct"/>
            <w:shd w:val="clear" w:color="auto" w:fill="auto"/>
          </w:tcPr>
          <w:p w14:paraId="234C6277"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446A3D02" w14:textId="77777777" w:rsidR="003F4CFF" w:rsidRPr="008664CC" w:rsidRDefault="00E3307E" w:rsidP="003F4CFF">
            <w:pPr>
              <w:rPr>
                <w:rFonts w:ascii="Times New Roman" w:hAnsi="Times New Roman" w:cs="Times New Roman"/>
                <w:sz w:val="24"/>
                <w:szCs w:val="24"/>
                <w:lang w:eastAsia="en-US"/>
              </w:rPr>
            </w:pPr>
            <w:hyperlink r:id="rId30" w:history="1">
              <w:r w:rsidR="003F4CFF" w:rsidRPr="008664CC">
                <w:rPr>
                  <w:rFonts w:ascii="Times New Roman" w:hAnsi="Times New Roman" w:cs="Times New Roman"/>
                  <w:sz w:val="24"/>
                  <w:szCs w:val="24"/>
                  <w:lang w:eastAsia="en-US"/>
                </w:rPr>
                <w:t xml:space="preserve">Управление информационных проектов Новосибирской области </w:t>
              </w:r>
            </w:hyperlink>
          </w:p>
        </w:tc>
        <w:tc>
          <w:tcPr>
            <w:tcW w:w="1703" w:type="pct"/>
            <w:shd w:val="clear" w:color="auto" w:fill="auto"/>
          </w:tcPr>
          <w:p w14:paraId="3AB33E08"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Приказ управления </w:t>
            </w:r>
            <w:hyperlink r:id="rId31" w:history="1">
              <w:r w:rsidRPr="008664CC">
                <w:rPr>
                  <w:rFonts w:ascii="Times New Roman" w:hAnsi="Times New Roman" w:cs="Times New Roman"/>
                  <w:sz w:val="24"/>
                  <w:szCs w:val="24"/>
                  <w:lang w:eastAsia="en-US"/>
                </w:rPr>
                <w:t xml:space="preserve">информационных проектов Новосибирской области </w:t>
              </w:r>
            </w:hyperlink>
            <w:r w:rsidRPr="008664CC">
              <w:rPr>
                <w:rFonts w:ascii="Times New Roman" w:hAnsi="Times New Roman" w:cs="Times New Roman"/>
                <w:sz w:val="24"/>
                <w:szCs w:val="24"/>
                <w:lang w:eastAsia="en-US"/>
              </w:rPr>
              <w:t xml:space="preserve">от 06.08.2019 № 61 «Об определении должностного лица и структурного </w:t>
            </w:r>
            <w:r w:rsidRPr="008664CC">
              <w:rPr>
                <w:rFonts w:ascii="Times New Roman" w:hAnsi="Times New Roman" w:cs="Times New Roman"/>
                <w:sz w:val="24"/>
                <w:szCs w:val="24"/>
                <w:lang w:eastAsia="en-US"/>
              </w:rPr>
              <w:lastRenderedPageBreak/>
              <w:t>подразделения, ответственных за координацию вопросов содействия развитию конкуренции»</w:t>
            </w:r>
          </w:p>
        </w:tc>
        <w:tc>
          <w:tcPr>
            <w:tcW w:w="1527" w:type="pct"/>
            <w:shd w:val="clear" w:color="auto" w:fill="auto"/>
          </w:tcPr>
          <w:p w14:paraId="095F9D9D"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lastRenderedPageBreak/>
              <w:t xml:space="preserve">Кайдала </w:t>
            </w:r>
          </w:p>
          <w:p w14:paraId="342E484F"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Игорь Николаевич – заместитель начальника управления – начальник отдела взаимодействия с подведомственными </w:t>
            </w:r>
            <w:r w:rsidRPr="008664CC">
              <w:rPr>
                <w:rFonts w:ascii="Times New Roman" w:hAnsi="Times New Roman" w:cs="Times New Roman"/>
                <w:sz w:val="24"/>
                <w:szCs w:val="24"/>
                <w:lang w:eastAsia="en-US"/>
              </w:rPr>
              <w:lastRenderedPageBreak/>
              <w:t xml:space="preserve">учреждениями и реализации программ </w:t>
            </w:r>
            <w:hyperlink r:id="rId32" w:history="1">
              <w:r w:rsidRPr="008664CC">
                <w:rPr>
                  <w:rFonts w:ascii="Times New Roman" w:hAnsi="Times New Roman" w:cs="Times New Roman"/>
                  <w:sz w:val="24"/>
                  <w:szCs w:val="24"/>
                  <w:lang w:eastAsia="en-US"/>
                </w:rPr>
                <w:t xml:space="preserve">управления информационных проектов Новосибирской области </w:t>
              </w:r>
            </w:hyperlink>
          </w:p>
        </w:tc>
      </w:tr>
      <w:tr w:rsidR="003F4CFF" w:rsidRPr="003F737C" w14:paraId="03E54F27" w14:textId="77777777" w:rsidTr="003F4CFF">
        <w:trPr>
          <w:trHeight w:val="20"/>
        </w:trPr>
        <w:tc>
          <w:tcPr>
            <w:tcW w:w="283" w:type="pct"/>
            <w:shd w:val="clear" w:color="auto" w:fill="auto"/>
          </w:tcPr>
          <w:p w14:paraId="7556BEBB"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1BDFF237" w14:textId="77777777" w:rsidR="003F4CFF" w:rsidRPr="008664CC" w:rsidRDefault="00E3307E" w:rsidP="003F4CFF">
            <w:pPr>
              <w:rPr>
                <w:rFonts w:ascii="Times New Roman" w:hAnsi="Times New Roman" w:cs="Times New Roman"/>
                <w:sz w:val="24"/>
                <w:szCs w:val="24"/>
                <w:lang w:eastAsia="en-US"/>
              </w:rPr>
            </w:pPr>
            <w:hyperlink r:id="rId33" w:history="1">
              <w:r w:rsidR="003F4CFF" w:rsidRPr="008664CC">
                <w:rPr>
                  <w:rFonts w:ascii="Times New Roman" w:hAnsi="Times New Roman" w:cs="Times New Roman"/>
                  <w:sz w:val="24"/>
                  <w:szCs w:val="24"/>
                  <w:lang w:eastAsia="en-US"/>
                </w:rPr>
                <w:t xml:space="preserve">Управление по делам ЗАГС </w:t>
              </w:r>
            </w:hyperlink>
            <w:r w:rsidR="003F4CFF" w:rsidRPr="008664CC">
              <w:rPr>
                <w:rFonts w:ascii="Times New Roman" w:hAnsi="Times New Roman" w:cs="Times New Roman"/>
                <w:sz w:val="24"/>
                <w:szCs w:val="24"/>
                <w:lang w:eastAsia="en-US"/>
              </w:rPr>
              <w:t>Новосибирской области</w:t>
            </w:r>
          </w:p>
        </w:tc>
        <w:tc>
          <w:tcPr>
            <w:tcW w:w="1703" w:type="pct"/>
            <w:shd w:val="clear" w:color="auto" w:fill="auto"/>
          </w:tcPr>
          <w:p w14:paraId="795BD935"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Приказ управления по делам ЗАГС Новосибирской области от 31.10.2019 № 207 «О назначении лиц ответственных за координацию вопросов содействия развитию конкуренции» </w:t>
            </w:r>
          </w:p>
        </w:tc>
        <w:tc>
          <w:tcPr>
            <w:tcW w:w="1527" w:type="pct"/>
            <w:shd w:val="clear" w:color="auto" w:fill="auto"/>
          </w:tcPr>
          <w:p w14:paraId="53A8AD0E"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Шустова </w:t>
            </w:r>
          </w:p>
          <w:p w14:paraId="0903D405"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Наталья Александровна – начальник управления по делам ЗАГС Новосибирской области</w:t>
            </w:r>
          </w:p>
          <w:p w14:paraId="72E986CD" w14:textId="77777777" w:rsidR="003F4CFF" w:rsidRPr="008664CC" w:rsidRDefault="003F4CFF" w:rsidP="003F4CFF">
            <w:pPr>
              <w:rPr>
                <w:rFonts w:ascii="Times New Roman" w:hAnsi="Times New Roman" w:cs="Times New Roman"/>
                <w:sz w:val="24"/>
                <w:szCs w:val="24"/>
                <w:lang w:eastAsia="en-US"/>
              </w:rPr>
            </w:pPr>
          </w:p>
        </w:tc>
      </w:tr>
      <w:tr w:rsidR="003F4CFF" w:rsidRPr="003F737C" w14:paraId="63C09B70" w14:textId="77777777" w:rsidTr="003F4CFF">
        <w:trPr>
          <w:trHeight w:val="20"/>
        </w:trPr>
        <w:tc>
          <w:tcPr>
            <w:tcW w:w="283" w:type="pct"/>
            <w:shd w:val="clear" w:color="auto" w:fill="auto"/>
          </w:tcPr>
          <w:p w14:paraId="0F1A3535"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7B77E1E8"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Управление по обеспечению деятельности мировых судей Новосибирской области</w:t>
            </w:r>
          </w:p>
        </w:tc>
        <w:tc>
          <w:tcPr>
            <w:tcW w:w="1703" w:type="pct"/>
            <w:shd w:val="clear" w:color="auto" w:fill="auto"/>
          </w:tcPr>
          <w:p w14:paraId="41226F34"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управления по обеспечению деятельности мировых судей Новосибирской области от 17.10.2019 № 390 «Об определении в управлении по обеспечению деятельности мировых судей Новосибирской области структурного подразделения, ответственного за разработку и реализацию мероприятий по содействию развитию конкуренции в подведомственной сфере, а также должностного лица с правом принятия управленческих решений по координации вопросов содействия развитию конкуренции»</w:t>
            </w:r>
          </w:p>
        </w:tc>
        <w:tc>
          <w:tcPr>
            <w:tcW w:w="1527" w:type="pct"/>
            <w:shd w:val="clear" w:color="auto" w:fill="auto"/>
          </w:tcPr>
          <w:p w14:paraId="6110E359"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Мельников </w:t>
            </w:r>
          </w:p>
          <w:p w14:paraId="5FEEB5C8"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Михаил Владимирович - заместитель начальника управления по обеспечению деятельности мировых судей Новосибирской области</w:t>
            </w:r>
          </w:p>
        </w:tc>
      </w:tr>
      <w:tr w:rsidR="003F4CFF" w:rsidRPr="003F737C" w14:paraId="30578039" w14:textId="77777777" w:rsidTr="003F4CFF">
        <w:trPr>
          <w:trHeight w:val="20"/>
        </w:trPr>
        <w:tc>
          <w:tcPr>
            <w:tcW w:w="283" w:type="pct"/>
            <w:shd w:val="clear" w:color="auto" w:fill="auto"/>
          </w:tcPr>
          <w:p w14:paraId="6F17F319"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04D5F701" w14:textId="77777777" w:rsidR="003F4CFF" w:rsidRPr="008664CC" w:rsidRDefault="00E3307E" w:rsidP="003F4CFF">
            <w:pPr>
              <w:rPr>
                <w:rFonts w:ascii="Times New Roman" w:hAnsi="Times New Roman" w:cs="Times New Roman"/>
                <w:sz w:val="24"/>
                <w:szCs w:val="24"/>
                <w:lang w:eastAsia="en-US"/>
              </w:rPr>
            </w:pPr>
            <w:hyperlink r:id="rId34" w:history="1">
              <w:r w:rsidR="003F4CFF" w:rsidRPr="008664CC">
                <w:rPr>
                  <w:rFonts w:ascii="Times New Roman" w:hAnsi="Times New Roman" w:cs="Times New Roman"/>
                  <w:sz w:val="24"/>
                  <w:szCs w:val="24"/>
                  <w:lang w:eastAsia="en-US"/>
                </w:rPr>
                <w:t xml:space="preserve">Государственная жилищная инспекция </w:t>
              </w:r>
            </w:hyperlink>
            <w:r w:rsidR="003F4CFF" w:rsidRPr="008664CC">
              <w:rPr>
                <w:rFonts w:ascii="Times New Roman" w:hAnsi="Times New Roman" w:cs="Times New Roman"/>
                <w:sz w:val="24"/>
                <w:szCs w:val="24"/>
                <w:lang w:eastAsia="en-US"/>
              </w:rPr>
              <w:t>Новосибирской области</w:t>
            </w:r>
          </w:p>
        </w:tc>
        <w:tc>
          <w:tcPr>
            <w:tcW w:w="1703" w:type="pct"/>
            <w:shd w:val="clear" w:color="auto" w:fill="auto"/>
          </w:tcPr>
          <w:p w14:paraId="1F718AA7"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Приказ государственной жилищной инспекцией Новосибирской области от 07.08.2019 № 115 «Об определении должностного лица и структурного подразделения, ответственных за координацию вопросов содействия развитию конкуренции»</w:t>
            </w:r>
          </w:p>
        </w:tc>
        <w:tc>
          <w:tcPr>
            <w:tcW w:w="1527" w:type="pct"/>
            <w:shd w:val="clear" w:color="auto" w:fill="auto"/>
          </w:tcPr>
          <w:p w14:paraId="61E0DF5D"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Коновалов </w:t>
            </w:r>
          </w:p>
          <w:p w14:paraId="0AE5E38E"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Леонтий Геннадьевич – заместитель начальника </w:t>
            </w:r>
            <w:hyperlink r:id="rId35" w:history="1">
              <w:r w:rsidRPr="008664CC">
                <w:rPr>
                  <w:rFonts w:ascii="Times New Roman" w:hAnsi="Times New Roman" w:cs="Times New Roman"/>
                  <w:sz w:val="24"/>
                  <w:szCs w:val="24"/>
                  <w:lang w:eastAsia="en-US"/>
                </w:rPr>
                <w:t xml:space="preserve">государственной жилищной инспекция </w:t>
              </w:r>
            </w:hyperlink>
            <w:r w:rsidRPr="008664CC">
              <w:rPr>
                <w:rFonts w:ascii="Times New Roman" w:hAnsi="Times New Roman" w:cs="Times New Roman"/>
                <w:sz w:val="24"/>
                <w:szCs w:val="24"/>
                <w:lang w:eastAsia="en-US"/>
              </w:rPr>
              <w:t>Новосибирской области</w:t>
            </w:r>
          </w:p>
        </w:tc>
      </w:tr>
      <w:tr w:rsidR="003F4CFF" w:rsidRPr="003F737C" w14:paraId="51AC0913" w14:textId="77777777" w:rsidTr="003F4CFF">
        <w:trPr>
          <w:trHeight w:val="20"/>
        </w:trPr>
        <w:tc>
          <w:tcPr>
            <w:tcW w:w="283" w:type="pct"/>
            <w:shd w:val="clear" w:color="auto" w:fill="auto"/>
          </w:tcPr>
          <w:p w14:paraId="27DEE90B"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2D9F18C6" w14:textId="77777777" w:rsidR="003F4CFF" w:rsidRPr="008664CC" w:rsidRDefault="00E3307E" w:rsidP="003F4CFF">
            <w:pPr>
              <w:rPr>
                <w:rFonts w:ascii="Times New Roman" w:hAnsi="Times New Roman" w:cs="Times New Roman"/>
                <w:sz w:val="24"/>
                <w:szCs w:val="24"/>
                <w:lang w:eastAsia="en-US"/>
              </w:rPr>
            </w:pPr>
            <w:hyperlink r:id="rId36" w:history="1">
              <w:r w:rsidR="003F4CFF" w:rsidRPr="008664CC">
                <w:rPr>
                  <w:rFonts w:ascii="Times New Roman" w:hAnsi="Times New Roman" w:cs="Times New Roman"/>
                  <w:sz w:val="24"/>
                  <w:szCs w:val="24"/>
                  <w:lang w:eastAsia="en-US"/>
                </w:rPr>
                <w:t xml:space="preserve">Инспекция государственного надзора за техническим состоянием самоходных машин и других видов </w:t>
              </w:r>
              <w:r w:rsidR="003F4CFF" w:rsidRPr="008664CC">
                <w:rPr>
                  <w:rFonts w:ascii="Times New Roman" w:hAnsi="Times New Roman" w:cs="Times New Roman"/>
                  <w:sz w:val="24"/>
                  <w:szCs w:val="24"/>
                  <w:lang w:eastAsia="en-US"/>
                </w:rPr>
                <w:lastRenderedPageBreak/>
                <w:t xml:space="preserve">техники </w:t>
              </w:r>
            </w:hyperlink>
            <w:r w:rsidR="003F4CFF" w:rsidRPr="008664CC">
              <w:rPr>
                <w:rFonts w:ascii="Times New Roman" w:hAnsi="Times New Roman" w:cs="Times New Roman"/>
                <w:sz w:val="24"/>
                <w:szCs w:val="24"/>
                <w:lang w:eastAsia="en-US"/>
              </w:rPr>
              <w:t>Новосибирской области</w:t>
            </w:r>
          </w:p>
        </w:tc>
        <w:tc>
          <w:tcPr>
            <w:tcW w:w="1703" w:type="pct"/>
            <w:shd w:val="clear" w:color="auto" w:fill="auto"/>
          </w:tcPr>
          <w:p w14:paraId="4B862C3C"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lastRenderedPageBreak/>
              <w:t xml:space="preserve">Приказ </w:t>
            </w:r>
            <w:hyperlink r:id="rId37" w:history="1">
              <w:r w:rsidR="00904414">
                <w:rPr>
                  <w:rFonts w:ascii="Times New Roman" w:hAnsi="Times New Roman" w:cs="Times New Roman"/>
                  <w:sz w:val="24"/>
                  <w:szCs w:val="24"/>
                  <w:lang w:eastAsia="en-US"/>
                </w:rPr>
                <w:t>инспекции</w:t>
              </w:r>
              <w:r w:rsidR="00904414" w:rsidRPr="008664CC">
                <w:rPr>
                  <w:rFonts w:ascii="Times New Roman" w:hAnsi="Times New Roman" w:cs="Times New Roman"/>
                  <w:sz w:val="24"/>
                  <w:szCs w:val="24"/>
                  <w:lang w:eastAsia="en-US"/>
                </w:rPr>
                <w:t xml:space="preserve"> государственного надзора за техническим состоянием самоходных машин и других видов техники </w:t>
              </w:r>
            </w:hyperlink>
            <w:r w:rsidR="00904414" w:rsidRPr="008664CC">
              <w:rPr>
                <w:rFonts w:ascii="Times New Roman" w:hAnsi="Times New Roman" w:cs="Times New Roman"/>
                <w:sz w:val="24"/>
                <w:szCs w:val="24"/>
                <w:lang w:eastAsia="en-US"/>
              </w:rPr>
              <w:t xml:space="preserve">Новосибирской области </w:t>
            </w:r>
            <w:r w:rsidRPr="008664CC">
              <w:rPr>
                <w:rFonts w:ascii="Times New Roman" w:hAnsi="Times New Roman" w:cs="Times New Roman"/>
                <w:sz w:val="24"/>
                <w:szCs w:val="24"/>
                <w:lang w:eastAsia="en-US"/>
              </w:rPr>
              <w:t xml:space="preserve">от 20.12.2019 № 48 </w:t>
            </w:r>
            <w:r w:rsidRPr="008664CC">
              <w:rPr>
                <w:rFonts w:ascii="Times New Roman" w:hAnsi="Times New Roman" w:cs="Times New Roman"/>
                <w:sz w:val="24"/>
                <w:szCs w:val="24"/>
                <w:lang w:eastAsia="en-US"/>
              </w:rPr>
              <w:lastRenderedPageBreak/>
              <w:t xml:space="preserve">«Об определении ответственного за координацию вопросов содействия развитию конкуренции и ответственного структурного подразделения за разработку и реализацию планов мероприятий («дорожных карт») по содействию развитию конкуренции в подведомственной сфере деятельности» </w:t>
            </w:r>
          </w:p>
        </w:tc>
        <w:tc>
          <w:tcPr>
            <w:tcW w:w="1527" w:type="pct"/>
            <w:shd w:val="clear" w:color="auto" w:fill="auto"/>
          </w:tcPr>
          <w:p w14:paraId="755BDE7F"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lastRenderedPageBreak/>
              <w:t xml:space="preserve">Ситохина </w:t>
            </w:r>
          </w:p>
          <w:p w14:paraId="6073B322" w14:textId="77777777" w:rsidR="003F4CFF" w:rsidRPr="008664CC" w:rsidRDefault="003F4CFF" w:rsidP="003F4CFF">
            <w:pPr>
              <w:autoSpaceDE w:val="0"/>
              <w:autoSpaceDN w:val="0"/>
              <w:adjustRightInd w:val="0"/>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Ирина Анатольевна – заместитель начальника инспекции – начальник отдела надзора по Новосибирской области – </w:t>
            </w:r>
            <w:r w:rsidRPr="008664CC">
              <w:rPr>
                <w:rFonts w:ascii="Times New Roman" w:hAnsi="Times New Roman" w:cs="Times New Roman"/>
                <w:sz w:val="24"/>
                <w:szCs w:val="24"/>
                <w:lang w:eastAsia="en-US"/>
              </w:rPr>
              <w:lastRenderedPageBreak/>
              <w:t xml:space="preserve">заместитель главного государственного инженера-инспектора гостехнадзора по Новосибирской области </w:t>
            </w:r>
          </w:p>
        </w:tc>
      </w:tr>
      <w:tr w:rsidR="003F4CFF" w:rsidRPr="003F737C" w14:paraId="4FBA4EC6" w14:textId="77777777" w:rsidTr="003F4CFF">
        <w:trPr>
          <w:trHeight w:val="20"/>
        </w:trPr>
        <w:tc>
          <w:tcPr>
            <w:tcW w:w="283" w:type="pct"/>
            <w:shd w:val="clear" w:color="auto" w:fill="auto"/>
          </w:tcPr>
          <w:p w14:paraId="4FE5030E"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1FB3122B" w14:textId="77777777" w:rsidR="003F4CFF" w:rsidRPr="008664CC" w:rsidRDefault="00E3307E" w:rsidP="003F4CFF">
            <w:pPr>
              <w:rPr>
                <w:rFonts w:ascii="Times New Roman" w:hAnsi="Times New Roman" w:cs="Times New Roman"/>
                <w:sz w:val="24"/>
                <w:szCs w:val="24"/>
                <w:lang w:eastAsia="en-US"/>
              </w:rPr>
            </w:pPr>
            <w:hyperlink r:id="rId38" w:history="1">
              <w:r w:rsidR="003F4CFF" w:rsidRPr="008664CC">
                <w:rPr>
                  <w:rFonts w:ascii="Times New Roman" w:hAnsi="Times New Roman" w:cs="Times New Roman"/>
                  <w:sz w:val="24"/>
                  <w:szCs w:val="24"/>
                  <w:lang w:eastAsia="en-US"/>
                </w:rPr>
                <w:t xml:space="preserve">Инспекция государственного строительного надзора </w:t>
              </w:r>
            </w:hyperlink>
            <w:r w:rsidR="003F4CFF" w:rsidRPr="008664CC">
              <w:rPr>
                <w:rFonts w:ascii="Times New Roman" w:hAnsi="Times New Roman" w:cs="Times New Roman"/>
                <w:sz w:val="24"/>
                <w:szCs w:val="24"/>
                <w:lang w:eastAsia="en-US"/>
              </w:rPr>
              <w:t>Новосибирской области</w:t>
            </w:r>
          </w:p>
        </w:tc>
        <w:tc>
          <w:tcPr>
            <w:tcW w:w="1703" w:type="pct"/>
            <w:shd w:val="clear" w:color="auto" w:fill="auto"/>
          </w:tcPr>
          <w:p w14:paraId="33CCCC8B" w14:textId="7841E29A"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Приказ </w:t>
            </w:r>
            <w:hyperlink r:id="rId39" w:history="1">
              <w:r w:rsidRPr="008664CC">
                <w:rPr>
                  <w:rFonts w:ascii="Times New Roman" w:hAnsi="Times New Roman" w:cs="Times New Roman"/>
                  <w:sz w:val="24"/>
                  <w:szCs w:val="24"/>
                  <w:lang w:eastAsia="en-US"/>
                </w:rPr>
                <w:t>инспекци</w:t>
              </w:r>
              <w:r w:rsidR="00904414">
                <w:rPr>
                  <w:rFonts w:ascii="Times New Roman" w:hAnsi="Times New Roman" w:cs="Times New Roman"/>
                  <w:sz w:val="24"/>
                  <w:szCs w:val="24"/>
                  <w:lang w:eastAsia="en-US"/>
                </w:rPr>
                <w:t>и</w:t>
              </w:r>
              <w:r w:rsidRPr="008664CC">
                <w:rPr>
                  <w:rFonts w:ascii="Times New Roman" w:hAnsi="Times New Roman" w:cs="Times New Roman"/>
                  <w:sz w:val="24"/>
                  <w:szCs w:val="24"/>
                  <w:lang w:eastAsia="en-US"/>
                </w:rPr>
                <w:t xml:space="preserve"> государственного строительного надзора </w:t>
              </w:r>
            </w:hyperlink>
            <w:r w:rsidRPr="008664CC">
              <w:rPr>
                <w:rFonts w:ascii="Times New Roman" w:hAnsi="Times New Roman" w:cs="Times New Roman"/>
                <w:sz w:val="24"/>
                <w:szCs w:val="24"/>
                <w:lang w:eastAsia="en-US"/>
              </w:rPr>
              <w:t>Новосибирской области от 12.08.2019 № 39 «Об ответственных лицах за координацию вопросов содействия развитию конкуренции»</w:t>
            </w:r>
          </w:p>
        </w:tc>
        <w:tc>
          <w:tcPr>
            <w:tcW w:w="1527" w:type="pct"/>
            <w:shd w:val="clear" w:color="auto" w:fill="auto"/>
          </w:tcPr>
          <w:p w14:paraId="52CFD0EE"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Симонов </w:t>
            </w:r>
          </w:p>
          <w:p w14:paraId="098F0B89"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Сергей Геннадьевич – заместитель начальника </w:t>
            </w:r>
            <w:hyperlink r:id="rId40" w:history="1">
              <w:r w:rsidRPr="008664CC">
                <w:rPr>
                  <w:rFonts w:ascii="Times New Roman" w:hAnsi="Times New Roman" w:cs="Times New Roman"/>
                  <w:sz w:val="24"/>
                  <w:szCs w:val="24"/>
                  <w:lang w:eastAsia="en-US"/>
                </w:rPr>
                <w:t xml:space="preserve">инспекции государственного строительного надзора </w:t>
              </w:r>
            </w:hyperlink>
            <w:r w:rsidRPr="008664CC">
              <w:rPr>
                <w:rFonts w:ascii="Times New Roman" w:hAnsi="Times New Roman" w:cs="Times New Roman"/>
                <w:sz w:val="24"/>
                <w:szCs w:val="24"/>
                <w:lang w:eastAsia="en-US"/>
              </w:rPr>
              <w:t>Новосибирской области</w:t>
            </w:r>
          </w:p>
        </w:tc>
      </w:tr>
      <w:tr w:rsidR="003F4CFF" w:rsidRPr="003F737C" w14:paraId="774692B7" w14:textId="77777777" w:rsidTr="003F4CFF">
        <w:trPr>
          <w:trHeight w:val="20"/>
        </w:trPr>
        <w:tc>
          <w:tcPr>
            <w:tcW w:w="283" w:type="pct"/>
            <w:shd w:val="clear" w:color="auto" w:fill="auto"/>
          </w:tcPr>
          <w:p w14:paraId="396CF120" w14:textId="77777777" w:rsidR="003F4CFF" w:rsidRPr="003F737C" w:rsidRDefault="003F4CFF" w:rsidP="009657E2">
            <w:pPr>
              <w:numPr>
                <w:ilvl w:val="0"/>
                <w:numId w:val="1"/>
              </w:numPr>
              <w:ind w:left="0" w:firstLine="0"/>
              <w:contextualSpacing/>
              <w:rPr>
                <w:rFonts w:ascii="Times New Roman" w:hAnsi="Times New Roman" w:cs="Times New Roman"/>
                <w:color w:val="000000"/>
                <w:sz w:val="24"/>
                <w:szCs w:val="24"/>
                <w:lang w:eastAsia="en-US"/>
              </w:rPr>
            </w:pPr>
          </w:p>
        </w:tc>
        <w:tc>
          <w:tcPr>
            <w:tcW w:w="1487" w:type="pct"/>
            <w:shd w:val="clear" w:color="auto" w:fill="auto"/>
          </w:tcPr>
          <w:p w14:paraId="236B2162"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Государственная инспекция по охране объектов культурного наследия Новосибирской области</w:t>
            </w:r>
          </w:p>
        </w:tc>
        <w:tc>
          <w:tcPr>
            <w:tcW w:w="1703" w:type="pct"/>
            <w:shd w:val="clear" w:color="auto" w:fill="auto"/>
          </w:tcPr>
          <w:p w14:paraId="5FEC6E63"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Приказ </w:t>
            </w:r>
            <w:r w:rsidR="00904414">
              <w:rPr>
                <w:rFonts w:ascii="Times New Roman" w:hAnsi="Times New Roman" w:cs="Times New Roman"/>
                <w:sz w:val="24"/>
                <w:szCs w:val="24"/>
                <w:lang w:eastAsia="en-US"/>
              </w:rPr>
              <w:t>г</w:t>
            </w:r>
            <w:r w:rsidR="00904414" w:rsidRPr="008664CC">
              <w:rPr>
                <w:rFonts w:ascii="Times New Roman" w:hAnsi="Times New Roman" w:cs="Times New Roman"/>
                <w:sz w:val="24"/>
                <w:szCs w:val="24"/>
                <w:lang w:eastAsia="en-US"/>
              </w:rPr>
              <w:t>осударствен</w:t>
            </w:r>
            <w:r w:rsidR="00904414">
              <w:rPr>
                <w:rFonts w:ascii="Times New Roman" w:hAnsi="Times New Roman" w:cs="Times New Roman"/>
                <w:sz w:val="24"/>
                <w:szCs w:val="24"/>
                <w:lang w:eastAsia="en-US"/>
              </w:rPr>
              <w:t>ной инспекции</w:t>
            </w:r>
            <w:r w:rsidR="00904414" w:rsidRPr="008664CC">
              <w:rPr>
                <w:rFonts w:ascii="Times New Roman" w:hAnsi="Times New Roman" w:cs="Times New Roman"/>
                <w:sz w:val="24"/>
                <w:szCs w:val="24"/>
                <w:lang w:eastAsia="en-US"/>
              </w:rPr>
              <w:t xml:space="preserve"> по охране объектов культурного наследия Новосибирской области </w:t>
            </w:r>
            <w:r w:rsidRPr="008664CC">
              <w:rPr>
                <w:rFonts w:ascii="Times New Roman" w:hAnsi="Times New Roman" w:cs="Times New Roman"/>
                <w:sz w:val="24"/>
                <w:szCs w:val="24"/>
                <w:lang w:eastAsia="en-US"/>
              </w:rPr>
              <w:t>от 30.09.2019 № 130 «Об ответственном за координацию вопросов содействия развитию конкуренции в государственной инспекции по охране объектов культурного наследия Новосибирской области»</w:t>
            </w:r>
          </w:p>
        </w:tc>
        <w:tc>
          <w:tcPr>
            <w:tcW w:w="1527" w:type="pct"/>
            <w:shd w:val="clear" w:color="auto" w:fill="auto"/>
          </w:tcPr>
          <w:p w14:paraId="0C53B83D"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Медведева </w:t>
            </w:r>
          </w:p>
          <w:p w14:paraId="02CFC1B3" w14:textId="77777777" w:rsidR="003F4CFF" w:rsidRPr="008664CC" w:rsidRDefault="003F4CFF" w:rsidP="003F4CFF">
            <w:pPr>
              <w:rPr>
                <w:rFonts w:ascii="Times New Roman" w:hAnsi="Times New Roman" w:cs="Times New Roman"/>
                <w:sz w:val="24"/>
                <w:szCs w:val="24"/>
                <w:lang w:eastAsia="en-US"/>
              </w:rPr>
            </w:pPr>
            <w:r w:rsidRPr="008664CC">
              <w:rPr>
                <w:rFonts w:ascii="Times New Roman" w:hAnsi="Times New Roman" w:cs="Times New Roman"/>
                <w:sz w:val="24"/>
                <w:szCs w:val="24"/>
                <w:lang w:eastAsia="en-US"/>
              </w:rPr>
              <w:t xml:space="preserve">Елена Геннадьевна – начальник государственной инспекция по охране объектов культурного наследия Новосибирской области </w:t>
            </w:r>
          </w:p>
        </w:tc>
      </w:tr>
    </w:tbl>
    <w:p w14:paraId="69777A81" w14:textId="77777777" w:rsidR="003F4CFF" w:rsidRDefault="003F4CFF" w:rsidP="003F4CFF">
      <w:pPr>
        <w:pStyle w:val="aa"/>
        <w:spacing w:after="0"/>
        <w:outlineLvl w:val="0"/>
        <w:rPr>
          <w:rFonts w:ascii="Times New Roman" w:hAnsi="Times New Roman"/>
          <w:b/>
          <w:color w:val="C00000"/>
          <w:sz w:val="28"/>
          <w:szCs w:val="28"/>
        </w:rPr>
        <w:sectPr w:rsidR="003F4CFF" w:rsidSect="00B64457">
          <w:footerReference w:type="default" r:id="rId41"/>
          <w:pgSz w:w="11906" w:h="16838" w:code="9"/>
          <w:pgMar w:top="1134" w:right="567" w:bottom="1134" w:left="1418" w:header="709" w:footer="709" w:gutter="0"/>
          <w:cols w:space="720"/>
          <w:docGrid w:linePitch="272"/>
        </w:sectPr>
      </w:pPr>
      <w:bookmarkStart w:id="26" w:name="_Toc31983967"/>
    </w:p>
    <w:p w14:paraId="27A399BB" w14:textId="77777777" w:rsidR="003F4CFF" w:rsidRPr="004F450B" w:rsidRDefault="003F4CFF" w:rsidP="003F4CFF">
      <w:pPr>
        <w:pStyle w:val="aa"/>
        <w:spacing w:after="0"/>
        <w:outlineLvl w:val="0"/>
        <w:rPr>
          <w:rFonts w:ascii="Times New Roman" w:hAnsi="Times New Roman"/>
          <w:b/>
          <w:sz w:val="28"/>
          <w:szCs w:val="28"/>
        </w:rPr>
      </w:pPr>
      <w:bookmarkStart w:id="27" w:name="_Toc32240307"/>
      <w:bookmarkStart w:id="28" w:name="_Toc32421892"/>
      <w:bookmarkStart w:id="29" w:name="_Toc34129171"/>
      <w:r w:rsidRPr="00FB32BA">
        <w:rPr>
          <w:rFonts w:ascii="Times New Roman" w:hAnsi="Times New Roman"/>
          <w:b/>
          <w:color w:val="C00000"/>
          <w:sz w:val="28"/>
          <w:szCs w:val="28"/>
        </w:rPr>
        <w:lastRenderedPageBreak/>
        <w:t>Раздел 2</w:t>
      </w:r>
      <w:r w:rsidRPr="009955E0">
        <w:rPr>
          <w:rFonts w:ascii="Times New Roman" w:hAnsi="Times New Roman"/>
          <w:b/>
          <w:color w:val="C00000"/>
          <w:sz w:val="28"/>
          <w:szCs w:val="28"/>
        </w:rPr>
        <w:t>.</w:t>
      </w:r>
      <w:r w:rsidRPr="009955E0">
        <w:rPr>
          <w:rFonts w:ascii="Times New Roman" w:hAnsi="Times New Roman"/>
          <w:b/>
          <w:sz w:val="28"/>
          <w:szCs w:val="28"/>
        </w:rPr>
        <w:t xml:space="preserve"> Сведения о реализации составляющих </w:t>
      </w:r>
      <w:r w:rsidRPr="004F450B">
        <w:rPr>
          <w:rFonts w:ascii="Times New Roman" w:hAnsi="Times New Roman"/>
          <w:b/>
          <w:sz w:val="28"/>
          <w:szCs w:val="28"/>
        </w:rPr>
        <w:t>Стандарта</w:t>
      </w:r>
      <w:bookmarkEnd w:id="26"/>
      <w:bookmarkEnd w:id="27"/>
      <w:bookmarkEnd w:id="28"/>
      <w:bookmarkEnd w:id="29"/>
    </w:p>
    <w:p w14:paraId="4A4D5FDE" w14:textId="77777777" w:rsidR="003F4CFF" w:rsidRPr="00C62D96" w:rsidRDefault="003F4CFF" w:rsidP="003F4CFF">
      <w:pPr>
        <w:rPr>
          <w:rFonts w:ascii="Times New Roman" w:hAnsi="Times New Roman" w:cs="Times New Roman"/>
          <w:sz w:val="28"/>
          <w:szCs w:val="28"/>
        </w:rPr>
      </w:pPr>
    </w:p>
    <w:p w14:paraId="1563A5B0" w14:textId="77777777" w:rsidR="003F4CFF" w:rsidRPr="00F732D1" w:rsidRDefault="003F4CFF" w:rsidP="003F4CFF">
      <w:pPr>
        <w:pStyle w:val="ac"/>
        <w:ind w:firstLine="567"/>
        <w:jc w:val="both"/>
        <w:outlineLvl w:val="1"/>
        <w:rPr>
          <w:rFonts w:ascii="Times New Roman" w:hAnsi="Times New Roman"/>
          <w:b/>
        </w:rPr>
      </w:pPr>
      <w:bookmarkStart w:id="30" w:name="_Toc31983968"/>
      <w:bookmarkStart w:id="31" w:name="_Toc32240308"/>
      <w:bookmarkStart w:id="32" w:name="_Toc32421893"/>
      <w:bookmarkStart w:id="33" w:name="_Toc34129172"/>
      <w:r w:rsidRPr="00F732D1">
        <w:rPr>
          <w:rFonts w:ascii="Times New Roman" w:hAnsi="Times New Roman"/>
          <w:b/>
        </w:rPr>
        <w:t>2.1. 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w:t>
      </w:r>
      <w:r>
        <w:rPr>
          <w:rFonts w:ascii="Times New Roman" w:hAnsi="Times New Roman"/>
          <w:b/>
        </w:rPr>
        <w:t>управления</w:t>
      </w:r>
      <w:bookmarkEnd w:id="30"/>
      <w:bookmarkEnd w:id="31"/>
      <w:bookmarkEnd w:id="32"/>
      <w:bookmarkEnd w:id="33"/>
    </w:p>
    <w:p w14:paraId="2AD802D7" w14:textId="77777777" w:rsidR="003F4CFF" w:rsidRPr="006D6F7C" w:rsidRDefault="003F4CFF" w:rsidP="003F4CFF">
      <w:pPr>
        <w:ind w:firstLine="567"/>
        <w:jc w:val="both"/>
        <w:rPr>
          <w:rFonts w:ascii="Times New Roman" w:eastAsia="Times New Roman" w:hAnsi="Times New Roman" w:cs="Times New Roman"/>
          <w:sz w:val="28"/>
          <w:szCs w:val="28"/>
        </w:rPr>
      </w:pPr>
      <w:bookmarkStart w:id="34" w:name="page21"/>
      <w:bookmarkEnd w:id="34"/>
      <w:r w:rsidRPr="006D6F7C">
        <w:rPr>
          <w:rFonts w:ascii="Times New Roman" w:eastAsia="Times New Roman" w:hAnsi="Times New Roman" w:cs="Times New Roman"/>
          <w:sz w:val="28"/>
          <w:szCs w:val="28"/>
        </w:rPr>
        <w:t xml:space="preserve">В состав Новосибирской области </w:t>
      </w:r>
      <w:r>
        <w:rPr>
          <w:rFonts w:ascii="Times New Roman" w:eastAsia="Times New Roman" w:hAnsi="Times New Roman" w:cs="Times New Roman"/>
          <w:sz w:val="28"/>
          <w:szCs w:val="28"/>
        </w:rPr>
        <w:t>входят 5 городских округов и 30 </w:t>
      </w:r>
      <w:r w:rsidRPr="006D6F7C">
        <w:rPr>
          <w:rFonts w:ascii="Times New Roman" w:eastAsia="Times New Roman" w:hAnsi="Times New Roman" w:cs="Times New Roman"/>
          <w:sz w:val="28"/>
          <w:szCs w:val="28"/>
        </w:rPr>
        <w:t>муниципальных районов (включают 26 городских и 429 сельских поселений).</w:t>
      </w:r>
    </w:p>
    <w:p w14:paraId="3BF1CAE5" w14:textId="129F35B8" w:rsidR="003F4CFF" w:rsidRPr="00FD76F6" w:rsidRDefault="003F4CFF" w:rsidP="003F4CFF">
      <w:pPr>
        <w:autoSpaceDE w:val="0"/>
        <w:autoSpaceDN w:val="0"/>
        <w:adjustRightInd w:val="0"/>
        <w:ind w:firstLine="567"/>
        <w:jc w:val="both"/>
        <w:rPr>
          <w:rFonts w:ascii="Times New Roman" w:hAnsi="Times New Roman" w:cs="Times New Roman"/>
          <w:sz w:val="28"/>
          <w:szCs w:val="28"/>
        </w:rPr>
      </w:pPr>
      <w:r w:rsidRPr="006D6F7C">
        <w:rPr>
          <w:rFonts w:ascii="Times New Roman" w:eastAsia="Times New Roman" w:hAnsi="Times New Roman" w:cs="Times New Roman"/>
          <w:sz w:val="28"/>
          <w:szCs w:val="28"/>
        </w:rPr>
        <w:t xml:space="preserve">В целях содействия развитию конкуренции в Новосибирской области между министерством экономического развития Новосибирской области, </w:t>
      </w:r>
      <w:r>
        <w:rPr>
          <w:rFonts w:ascii="Times New Roman" w:eastAsia="Times New Roman" w:hAnsi="Times New Roman" w:cs="Times New Roman"/>
          <w:sz w:val="28"/>
          <w:szCs w:val="28"/>
        </w:rPr>
        <w:t>являющимся</w:t>
      </w:r>
      <w:r w:rsidRPr="006D6F7C">
        <w:rPr>
          <w:rFonts w:ascii="Times New Roman" w:eastAsia="Times New Roman" w:hAnsi="Times New Roman" w:cs="Times New Roman"/>
          <w:sz w:val="28"/>
          <w:szCs w:val="28"/>
        </w:rPr>
        <w:t xml:space="preserve"> органом</w:t>
      </w:r>
      <w:r>
        <w:rPr>
          <w:rFonts w:ascii="Times New Roman" w:eastAsia="Times New Roman" w:hAnsi="Times New Roman" w:cs="Times New Roman"/>
          <w:sz w:val="28"/>
          <w:szCs w:val="28"/>
        </w:rPr>
        <w:t xml:space="preserve">, уполномоченным </w:t>
      </w:r>
      <w:r w:rsidRPr="006D6F7C">
        <w:rPr>
          <w:rFonts w:ascii="Times New Roman" w:eastAsia="Times New Roman" w:hAnsi="Times New Roman" w:cs="Times New Roman"/>
          <w:sz w:val="28"/>
          <w:szCs w:val="28"/>
        </w:rPr>
        <w:t>содейств</w:t>
      </w:r>
      <w:r>
        <w:rPr>
          <w:rFonts w:ascii="Times New Roman" w:eastAsia="Times New Roman" w:hAnsi="Times New Roman" w:cs="Times New Roman"/>
          <w:sz w:val="28"/>
          <w:szCs w:val="28"/>
        </w:rPr>
        <w:t xml:space="preserve">овать развитию конкуренции в </w:t>
      </w:r>
      <w:r w:rsidRPr="006D6F7C">
        <w:rPr>
          <w:rFonts w:ascii="Times New Roman" w:eastAsia="Times New Roman" w:hAnsi="Times New Roman" w:cs="Times New Roman"/>
          <w:sz w:val="28"/>
          <w:szCs w:val="28"/>
        </w:rPr>
        <w:t xml:space="preserve">Новосибирской области, и администрациями всех муниципальных районов и городских округов Новосибирской области заключены </w:t>
      </w:r>
      <w:r>
        <w:rPr>
          <w:rFonts w:ascii="Times New Roman" w:eastAsia="Times New Roman" w:hAnsi="Times New Roman" w:cs="Times New Roman"/>
          <w:sz w:val="28"/>
          <w:szCs w:val="28"/>
        </w:rPr>
        <w:t xml:space="preserve">новые </w:t>
      </w:r>
      <w:r w:rsidRPr="006D6F7C">
        <w:rPr>
          <w:rFonts w:ascii="Times New Roman" w:eastAsia="Times New Roman" w:hAnsi="Times New Roman" w:cs="Times New Roman"/>
          <w:sz w:val="28"/>
          <w:szCs w:val="28"/>
        </w:rPr>
        <w:t xml:space="preserve">соглашения о внедрении </w:t>
      </w:r>
      <w:r>
        <w:rPr>
          <w:rFonts w:ascii="Times New Roman" w:eastAsia="Times New Roman" w:hAnsi="Times New Roman" w:cs="Times New Roman"/>
          <w:sz w:val="28"/>
          <w:szCs w:val="28"/>
        </w:rPr>
        <w:t xml:space="preserve">на территории Новосибирской области </w:t>
      </w:r>
      <w:r w:rsidRPr="006D6F7C">
        <w:rPr>
          <w:rFonts w:ascii="Times New Roman" w:eastAsia="Times New Roman" w:hAnsi="Times New Roman" w:cs="Times New Roman"/>
          <w:sz w:val="28"/>
          <w:szCs w:val="28"/>
        </w:rPr>
        <w:t>стандарта развития конкуренции</w:t>
      </w:r>
      <w:r>
        <w:rPr>
          <w:rFonts w:ascii="Times New Roman" w:eastAsia="Times New Roman" w:hAnsi="Times New Roman" w:cs="Times New Roman"/>
          <w:sz w:val="28"/>
          <w:szCs w:val="28"/>
        </w:rPr>
        <w:t xml:space="preserve">, утвержденного </w:t>
      </w:r>
      <w:r>
        <w:rPr>
          <w:rFonts w:ascii="Times New Roman" w:hAnsi="Times New Roman" w:cs="Times New Roman"/>
          <w:sz w:val="28"/>
          <w:szCs w:val="28"/>
        </w:rPr>
        <w:t>распоряжением П</w:t>
      </w:r>
      <w:r w:rsidR="00E11625">
        <w:rPr>
          <w:rFonts w:ascii="Times New Roman" w:hAnsi="Times New Roman" w:cs="Times New Roman"/>
          <w:sz w:val="28"/>
          <w:szCs w:val="28"/>
        </w:rPr>
        <w:t>равительства РФ от 17.04.2019 № </w:t>
      </w:r>
      <w:r>
        <w:rPr>
          <w:rFonts w:ascii="Times New Roman" w:hAnsi="Times New Roman" w:cs="Times New Roman"/>
          <w:sz w:val="28"/>
          <w:szCs w:val="28"/>
        </w:rPr>
        <w:t xml:space="preserve">768-р </w:t>
      </w:r>
      <w:r w:rsidRPr="006D6F7C">
        <w:rPr>
          <w:rFonts w:ascii="Times New Roman" w:eastAsia="Times New Roman" w:hAnsi="Times New Roman" w:cs="Times New Roman"/>
          <w:sz w:val="28"/>
          <w:szCs w:val="28"/>
        </w:rPr>
        <w:t>(далее – соглашения). Информация о заклю</w:t>
      </w:r>
      <w:r>
        <w:rPr>
          <w:rFonts w:ascii="Times New Roman" w:eastAsia="Times New Roman" w:hAnsi="Times New Roman" w:cs="Times New Roman"/>
          <w:sz w:val="28"/>
          <w:szCs w:val="28"/>
        </w:rPr>
        <w:t>ченных соглашениях представлена в таблице 3</w:t>
      </w:r>
      <w:r w:rsidRPr="00472529">
        <w:rPr>
          <w:rFonts w:ascii="Times New Roman" w:eastAsia="Times New Roman" w:hAnsi="Times New Roman" w:cs="Times New Roman"/>
          <w:sz w:val="28"/>
          <w:szCs w:val="28"/>
        </w:rPr>
        <w:t xml:space="preserve">. </w:t>
      </w:r>
    </w:p>
    <w:p w14:paraId="46019665" w14:textId="77777777" w:rsidR="003F4CFF" w:rsidRDefault="003F4CFF" w:rsidP="003F4CFF">
      <w:pPr>
        <w:autoSpaceDE w:val="0"/>
        <w:autoSpaceDN w:val="0"/>
        <w:adjustRightInd w:val="0"/>
        <w:contextualSpacing/>
        <w:rPr>
          <w:rFonts w:ascii="Times New Roman" w:eastAsia="Times New Roman" w:hAnsi="Times New Roman" w:cs="Times New Roman"/>
          <w:sz w:val="28"/>
          <w:szCs w:val="28"/>
        </w:rPr>
      </w:pPr>
    </w:p>
    <w:p w14:paraId="45F38D6A" w14:textId="77777777" w:rsidR="003F4CFF" w:rsidRPr="005B076E" w:rsidRDefault="003F4CFF" w:rsidP="003F4CFF">
      <w:pPr>
        <w:autoSpaceDE w:val="0"/>
        <w:autoSpaceDN w:val="0"/>
        <w:adjustRightInd w:val="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w:t>
      </w:r>
      <w:r w:rsidRPr="00350166">
        <w:rPr>
          <w:rFonts w:ascii="Times New Roman" w:eastAsia="Times New Roman" w:hAnsi="Times New Roman" w:cs="Times New Roman"/>
          <w:sz w:val="28"/>
          <w:szCs w:val="28"/>
        </w:rPr>
        <w:t>3</w:t>
      </w:r>
      <w:r>
        <w:rPr>
          <w:rFonts w:ascii="Times New Roman" w:eastAsia="Times New Roman" w:hAnsi="Times New Roman" w:cs="Times New Roman"/>
          <w:sz w:val="28"/>
          <w:szCs w:val="28"/>
        </w:rPr>
        <w:t> – </w:t>
      </w:r>
      <w:r w:rsidRPr="00755DE3">
        <w:rPr>
          <w:rFonts w:ascii="Times New Roman" w:eastAsia="Times New Roman" w:hAnsi="Times New Roman" w:cs="Times New Roman"/>
          <w:sz w:val="28"/>
          <w:szCs w:val="28"/>
        </w:rPr>
        <w:t xml:space="preserve">Сведения о заключенных соглашениях </w:t>
      </w:r>
      <w:r w:rsidRPr="006132B7">
        <w:rPr>
          <w:rFonts w:ascii="Times New Roman" w:hAnsi="Times New Roman" w:cs="Times New Roman"/>
          <w:sz w:val="28"/>
          <w:szCs w:val="28"/>
        </w:rPr>
        <w:t>между министерством экономического развития Новосибирской области и администрациями муниципальных районов и городских округов Новосибирской области о вн</w:t>
      </w:r>
      <w:r>
        <w:rPr>
          <w:rFonts w:ascii="Times New Roman" w:hAnsi="Times New Roman" w:cs="Times New Roman"/>
          <w:sz w:val="28"/>
          <w:szCs w:val="28"/>
        </w:rPr>
        <w:t xml:space="preserve">едрении в Новосибирской области </w:t>
      </w:r>
      <w:r w:rsidRPr="006132B7">
        <w:rPr>
          <w:rFonts w:ascii="Times New Roman" w:hAnsi="Times New Roman" w:cs="Times New Roman"/>
          <w:sz w:val="28"/>
          <w:szCs w:val="28"/>
        </w:rPr>
        <w:t>Стандарта развития конкуренции в субъектах Российской Федерации</w:t>
      </w:r>
    </w:p>
    <w:tbl>
      <w:tblPr>
        <w:tblW w:w="5000" w:type="pct"/>
        <w:tblCellMar>
          <w:left w:w="0" w:type="dxa"/>
          <w:right w:w="0" w:type="dxa"/>
        </w:tblCellMar>
        <w:tblLook w:val="04A0" w:firstRow="1" w:lastRow="0" w:firstColumn="1" w:lastColumn="0" w:noHBand="0" w:noVBand="1"/>
      </w:tblPr>
      <w:tblGrid>
        <w:gridCol w:w="789"/>
        <w:gridCol w:w="3310"/>
        <w:gridCol w:w="3326"/>
        <w:gridCol w:w="2486"/>
      </w:tblGrid>
      <w:tr w:rsidR="003F4CFF" w:rsidRPr="00755DE3" w14:paraId="29276B30" w14:textId="77777777" w:rsidTr="003F4CFF">
        <w:trPr>
          <w:trHeight w:val="20"/>
          <w:tblHeader/>
        </w:trPr>
        <w:tc>
          <w:tcPr>
            <w:tcW w:w="398" w:type="pct"/>
            <w:tcBorders>
              <w:top w:val="single" w:sz="4" w:space="0" w:color="auto"/>
              <w:left w:val="single" w:sz="4" w:space="0" w:color="auto"/>
              <w:bottom w:val="single" w:sz="4" w:space="0" w:color="auto"/>
              <w:right w:val="single" w:sz="4" w:space="0" w:color="auto"/>
            </w:tcBorders>
            <w:shd w:val="clear" w:color="auto" w:fill="FFFFFF"/>
            <w:noWrap/>
            <w:hideMark/>
          </w:tcPr>
          <w:p w14:paraId="2B84E47D"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w:t>
            </w:r>
          </w:p>
          <w:p w14:paraId="243E661B"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п/п</w:t>
            </w:r>
          </w:p>
        </w:tc>
        <w:tc>
          <w:tcPr>
            <w:tcW w:w="1670" w:type="pct"/>
            <w:tcBorders>
              <w:top w:val="single" w:sz="4" w:space="0" w:color="auto"/>
              <w:left w:val="nil"/>
              <w:bottom w:val="single" w:sz="4" w:space="0" w:color="auto"/>
              <w:right w:val="single" w:sz="4" w:space="0" w:color="auto"/>
            </w:tcBorders>
            <w:shd w:val="clear" w:color="auto" w:fill="FFFFFF"/>
            <w:noWrap/>
            <w:hideMark/>
          </w:tcPr>
          <w:p w14:paraId="08DFD35B"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Городские округа/</w:t>
            </w:r>
          </w:p>
          <w:p w14:paraId="0DBC10B8"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муниципальные районы</w:t>
            </w:r>
          </w:p>
        </w:tc>
        <w:tc>
          <w:tcPr>
            <w:tcW w:w="1678" w:type="pct"/>
            <w:tcBorders>
              <w:top w:val="single" w:sz="4" w:space="0" w:color="auto"/>
              <w:left w:val="nil"/>
              <w:bottom w:val="single" w:sz="4" w:space="0" w:color="auto"/>
              <w:right w:val="single" w:sz="4" w:space="0" w:color="auto"/>
            </w:tcBorders>
            <w:shd w:val="clear" w:color="auto" w:fill="FFFFFF"/>
            <w:hideMark/>
          </w:tcPr>
          <w:p w14:paraId="02DA2157" w14:textId="77777777" w:rsidR="003F4CFF" w:rsidRPr="00A12C43" w:rsidRDefault="00E11625"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3F4CFF" w:rsidRPr="00A12C43">
              <w:rPr>
                <w:rFonts w:ascii="Times New Roman" w:eastAsia="Times New Roman" w:hAnsi="Times New Roman" w:cs="Times New Roman"/>
                <w:sz w:val="24"/>
                <w:szCs w:val="24"/>
              </w:rPr>
              <w:t>соглашения</w:t>
            </w:r>
          </w:p>
        </w:tc>
        <w:tc>
          <w:tcPr>
            <w:tcW w:w="1254" w:type="pct"/>
            <w:tcBorders>
              <w:top w:val="single" w:sz="4" w:space="0" w:color="auto"/>
              <w:left w:val="nil"/>
              <w:bottom w:val="single" w:sz="4" w:space="0" w:color="auto"/>
              <w:right w:val="single" w:sz="4" w:space="0" w:color="auto"/>
            </w:tcBorders>
            <w:shd w:val="clear" w:color="auto" w:fill="FFFFFF"/>
            <w:hideMark/>
          </w:tcPr>
          <w:p w14:paraId="053DA674"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Дата заключения соглашения</w:t>
            </w:r>
          </w:p>
        </w:tc>
      </w:tr>
      <w:tr w:rsidR="003F4CFF" w:rsidRPr="00755DE3" w14:paraId="28694D36" w14:textId="77777777" w:rsidTr="003F4CF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847E000"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Городские округа</w:t>
            </w:r>
          </w:p>
        </w:tc>
      </w:tr>
      <w:tr w:rsidR="003F4CFF" w:rsidRPr="00755DE3" w14:paraId="0C5488C2"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6AC3CD4F"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w:t>
            </w:r>
          </w:p>
        </w:tc>
        <w:tc>
          <w:tcPr>
            <w:tcW w:w="1670" w:type="pct"/>
            <w:tcBorders>
              <w:top w:val="nil"/>
              <w:left w:val="nil"/>
              <w:bottom w:val="single" w:sz="4" w:space="0" w:color="auto"/>
              <w:right w:val="single" w:sz="4" w:space="0" w:color="auto"/>
            </w:tcBorders>
            <w:shd w:val="clear" w:color="auto" w:fill="auto"/>
            <w:noWrap/>
            <w:vAlign w:val="bottom"/>
            <w:hideMark/>
          </w:tcPr>
          <w:p w14:paraId="74A82E7B"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г. Обь</w:t>
            </w:r>
          </w:p>
        </w:tc>
        <w:tc>
          <w:tcPr>
            <w:tcW w:w="1678" w:type="pct"/>
            <w:tcBorders>
              <w:top w:val="nil"/>
              <w:left w:val="nil"/>
              <w:bottom w:val="single" w:sz="4" w:space="0" w:color="auto"/>
              <w:right w:val="single" w:sz="4" w:space="0" w:color="auto"/>
            </w:tcBorders>
            <w:shd w:val="clear" w:color="auto" w:fill="auto"/>
            <w:noWrap/>
            <w:vAlign w:val="center"/>
          </w:tcPr>
          <w:p w14:paraId="730C1C44"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w:t>
            </w:r>
          </w:p>
        </w:tc>
        <w:tc>
          <w:tcPr>
            <w:tcW w:w="1254" w:type="pct"/>
            <w:tcBorders>
              <w:top w:val="nil"/>
              <w:left w:val="nil"/>
              <w:bottom w:val="single" w:sz="4" w:space="0" w:color="auto"/>
              <w:right w:val="single" w:sz="4" w:space="0" w:color="auto"/>
            </w:tcBorders>
            <w:shd w:val="clear" w:color="auto" w:fill="auto"/>
            <w:noWrap/>
            <w:vAlign w:val="center"/>
          </w:tcPr>
          <w:p w14:paraId="32A55903"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662CD5D9"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220F2497"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w:t>
            </w:r>
          </w:p>
        </w:tc>
        <w:tc>
          <w:tcPr>
            <w:tcW w:w="1670" w:type="pct"/>
            <w:tcBorders>
              <w:top w:val="nil"/>
              <w:left w:val="nil"/>
              <w:bottom w:val="single" w:sz="4" w:space="0" w:color="auto"/>
              <w:right w:val="single" w:sz="4" w:space="0" w:color="auto"/>
            </w:tcBorders>
            <w:shd w:val="clear" w:color="auto" w:fill="auto"/>
            <w:noWrap/>
            <w:vAlign w:val="bottom"/>
            <w:hideMark/>
          </w:tcPr>
          <w:p w14:paraId="39FB6B7B"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г. Бердск</w:t>
            </w:r>
          </w:p>
        </w:tc>
        <w:tc>
          <w:tcPr>
            <w:tcW w:w="1678" w:type="pct"/>
            <w:tcBorders>
              <w:top w:val="nil"/>
              <w:left w:val="nil"/>
              <w:bottom w:val="single" w:sz="4" w:space="0" w:color="auto"/>
              <w:right w:val="single" w:sz="4" w:space="0" w:color="auto"/>
            </w:tcBorders>
            <w:shd w:val="clear" w:color="auto" w:fill="auto"/>
            <w:noWrap/>
            <w:vAlign w:val="center"/>
          </w:tcPr>
          <w:p w14:paraId="7D57111E"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20</w:t>
            </w:r>
          </w:p>
        </w:tc>
        <w:tc>
          <w:tcPr>
            <w:tcW w:w="1254" w:type="pct"/>
            <w:tcBorders>
              <w:top w:val="nil"/>
              <w:left w:val="nil"/>
              <w:bottom w:val="single" w:sz="4" w:space="0" w:color="auto"/>
              <w:right w:val="single" w:sz="4" w:space="0" w:color="auto"/>
            </w:tcBorders>
            <w:shd w:val="clear" w:color="auto" w:fill="auto"/>
            <w:noWrap/>
            <w:vAlign w:val="center"/>
          </w:tcPr>
          <w:p w14:paraId="10389806"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5D60104C"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6114E476"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w:t>
            </w:r>
          </w:p>
        </w:tc>
        <w:tc>
          <w:tcPr>
            <w:tcW w:w="1670" w:type="pct"/>
            <w:tcBorders>
              <w:top w:val="nil"/>
              <w:left w:val="nil"/>
              <w:bottom w:val="single" w:sz="4" w:space="0" w:color="auto"/>
              <w:right w:val="single" w:sz="4" w:space="0" w:color="auto"/>
            </w:tcBorders>
            <w:shd w:val="clear" w:color="auto" w:fill="auto"/>
            <w:noWrap/>
            <w:vAlign w:val="bottom"/>
            <w:hideMark/>
          </w:tcPr>
          <w:p w14:paraId="798D5BA7"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г. Искитим</w:t>
            </w:r>
          </w:p>
        </w:tc>
        <w:tc>
          <w:tcPr>
            <w:tcW w:w="1678" w:type="pct"/>
            <w:tcBorders>
              <w:top w:val="nil"/>
              <w:left w:val="nil"/>
              <w:bottom w:val="single" w:sz="4" w:space="0" w:color="auto"/>
              <w:right w:val="single" w:sz="4" w:space="0" w:color="auto"/>
            </w:tcBorders>
            <w:shd w:val="clear" w:color="auto" w:fill="auto"/>
            <w:noWrap/>
            <w:vAlign w:val="center"/>
          </w:tcPr>
          <w:p w14:paraId="3F021F3D"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17</w:t>
            </w:r>
          </w:p>
        </w:tc>
        <w:tc>
          <w:tcPr>
            <w:tcW w:w="1254" w:type="pct"/>
            <w:tcBorders>
              <w:top w:val="nil"/>
              <w:left w:val="nil"/>
              <w:bottom w:val="single" w:sz="4" w:space="0" w:color="auto"/>
              <w:right w:val="single" w:sz="4" w:space="0" w:color="auto"/>
            </w:tcBorders>
            <w:shd w:val="clear" w:color="auto" w:fill="auto"/>
            <w:noWrap/>
            <w:vAlign w:val="center"/>
          </w:tcPr>
          <w:p w14:paraId="4F752D84"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77033915"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495E0A4D"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4</w:t>
            </w:r>
          </w:p>
        </w:tc>
        <w:tc>
          <w:tcPr>
            <w:tcW w:w="1670" w:type="pct"/>
            <w:tcBorders>
              <w:top w:val="nil"/>
              <w:left w:val="nil"/>
              <w:bottom w:val="single" w:sz="4" w:space="0" w:color="auto"/>
              <w:right w:val="single" w:sz="4" w:space="0" w:color="auto"/>
            </w:tcBorders>
            <w:shd w:val="clear" w:color="auto" w:fill="auto"/>
            <w:noWrap/>
            <w:vAlign w:val="bottom"/>
            <w:hideMark/>
          </w:tcPr>
          <w:p w14:paraId="37BE0BE2"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г. Новосибирск</w:t>
            </w:r>
          </w:p>
        </w:tc>
        <w:tc>
          <w:tcPr>
            <w:tcW w:w="1678" w:type="pct"/>
            <w:tcBorders>
              <w:top w:val="nil"/>
              <w:left w:val="nil"/>
              <w:bottom w:val="single" w:sz="4" w:space="0" w:color="auto"/>
              <w:right w:val="single" w:sz="4" w:space="0" w:color="auto"/>
            </w:tcBorders>
            <w:shd w:val="clear" w:color="auto" w:fill="auto"/>
            <w:noWrap/>
            <w:vAlign w:val="center"/>
          </w:tcPr>
          <w:p w14:paraId="10DAA3C3"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35</w:t>
            </w:r>
          </w:p>
        </w:tc>
        <w:tc>
          <w:tcPr>
            <w:tcW w:w="1254" w:type="pct"/>
            <w:tcBorders>
              <w:top w:val="nil"/>
              <w:left w:val="nil"/>
              <w:bottom w:val="single" w:sz="4" w:space="0" w:color="auto"/>
              <w:right w:val="single" w:sz="4" w:space="0" w:color="auto"/>
            </w:tcBorders>
            <w:shd w:val="clear" w:color="auto" w:fill="auto"/>
            <w:noWrap/>
            <w:vAlign w:val="center"/>
          </w:tcPr>
          <w:p w14:paraId="2EC92E55"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3C28A1DD"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51B1E266"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5</w:t>
            </w:r>
          </w:p>
        </w:tc>
        <w:tc>
          <w:tcPr>
            <w:tcW w:w="1670" w:type="pct"/>
            <w:tcBorders>
              <w:top w:val="nil"/>
              <w:left w:val="nil"/>
              <w:bottom w:val="single" w:sz="4" w:space="0" w:color="auto"/>
              <w:right w:val="single" w:sz="4" w:space="0" w:color="auto"/>
            </w:tcBorders>
            <w:shd w:val="clear" w:color="auto" w:fill="auto"/>
            <w:noWrap/>
            <w:vAlign w:val="bottom"/>
            <w:hideMark/>
          </w:tcPr>
          <w:p w14:paraId="304741FD"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р.п. Кольцово</w:t>
            </w:r>
          </w:p>
        </w:tc>
        <w:tc>
          <w:tcPr>
            <w:tcW w:w="1678" w:type="pct"/>
            <w:tcBorders>
              <w:top w:val="nil"/>
              <w:left w:val="nil"/>
              <w:bottom w:val="single" w:sz="4" w:space="0" w:color="auto"/>
              <w:right w:val="single" w:sz="4" w:space="0" w:color="auto"/>
            </w:tcBorders>
            <w:shd w:val="clear" w:color="auto" w:fill="auto"/>
            <w:noWrap/>
            <w:vAlign w:val="center"/>
          </w:tcPr>
          <w:p w14:paraId="38BB6612"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6</w:t>
            </w:r>
          </w:p>
        </w:tc>
        <w:tc>
          <w:tcPr>
            <w:tcW w:w="1254" w:type="pct"/>
            <w:tcBorders>
              <w:top w:val="nil"/>
              <w:left w:val="nil"/>
              <w:bottom w:val="single" w:sz="4" w:space="0" w:color="auto"/>
              <w:right w:val="single" w:sz="4" w:space="0" w:color="auto"/>
            </w:tcBorders>
            <w:shd w:val="clear" w:color="auto" w:fill="auto"/>
            <w:noWrap/>
            <w:vAlign w:val="center"/>
          </w:tcPr>
          <w:p w14:paraId="08478E3E"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23D746A6" w14:textId="77777777" w:rsidTr="003F4CFF">
        <w:trPr>
          <w:trHeight w:val="20"/>
        </w:trPr>
        <w:tc>
          <w:tcPr>
            <w:tcW w:w="5000" w:type="pct"/>
            <w:gridSpan w:val="4"/>
            <w:tcBorders>
              <w:top w:val="nil"/>
              <w:left w:val="single" w:sz="4" w:space="0" w:color="auto"/>
              <w:bottom w:val="single" w:sz="4" w:space="0" w:color="auto"/>
              <w:right w:val="single" w:sz="4" w:space="0" w:color="auto"/>
            </w:tcBorders>
            <w:shd w:val="clear" w:color="auto" w:fill="auto"/>
            <w:noWrap/>
            <w:vAlign w:val="center"/>
            <w:hideMark/>
          </w:tcPr>
          <w:p w14:paraId="7DD65DBE"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Муниципальные районы</w:t>
            </w:r>
          </w:p>
        </w:tc>
      </w:tr>
      <w:tr w:rsidR="003F4CFF" w:rsidRPr="00755DE3" w14:paraId="1A85F6EC"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14BE1544"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6</w:t>
            </w:r>
          </w:p>
        </w:tc>
        <w:tc>
          <w:tcPr>
            <w:tcW w:w="1670" w:type="pct"/>
            <w:tcBorders>
              <w:top w:val="nil"/>
              <w:left w:val="nil"/>
              <w:bottom w:val="single" w:sz="4" w:space="0" w:color="auto"/>
              <w:right w:val="single" w:sz="4" w:space="0" w:color="auto"/>
            </w:tcBorders>
            <w:shd w:val="clear" w:color="auto" w:fill="auto"/>
            <w:noWrap/>
            <w:vAlign w:val="bottom"/>
            <w:hideMark/>
          </w:tcPr>
          <w:p w14:paraId="5B4285B4"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Баганский район</w:t>
            </w:r>
          </w:p>
        </w:tc>
        <w:tc>
          <w:tcPr>
            <w:tcW w:w="1678" w:type="pct"/>
            <w:tcBorders>
              <w:top w:val="nil"/>
              <w:left w:val="nil"/>
              <w:bottom w:val="single" w:sz="4" w:space="0" w:color="auto"/>
              <w:right w:val="single" w:sz="4" w:space="0" w:color="auto"/>
            </w:tcBorders>
            <w:shd w:val="clear" w:color="auto" w:fill="auto"/>
            <w:noWrap/>
            <w:vAlign w:val="center"/>
          </w:tcPr>
          <w:p w14:paraId="2210267B"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29</w:t>
            </w:r>
          </w:p>
        </w:tc>
        <w:tc>
          <w:tcPr>
            <w:tcW w:w="1254" w:type="pct"/>
            <w:tcBorders>
              <w:top w:val="nil"/>
              <w:left w:val="nil"/>
              <w:bottom w:val="single" w:sz="4" w:space="0" w:color="auto"/>
              <w:right w:val="single" w:sz="4" w:space="0" w:color="auto"/>
            </w:tcBorders>
            <w:shd w:val="clear" w:color="auto" w:fill="auto"/>
            <w:noWrap/>
            <w:vAlign w:val="center"/>
          </w:tcPr>
          <w:p w14:paraId="60A0F939"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7CC79EEF"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205E6ED6"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7</w:t>
            </w:r>
          </w:p>
        </w:tc>
        <w:tc>
          <w:tcPr>
            <w:tcW w:w="1670" w:type="pct"/>
            <w:tcBorders>
              <w:top w:val="nil"/>
              <w:left w:val="nil"/>
              <w:bottom w:val="single" w:sz="4" w:space="0" w:color="auto"/>
              <w:right w:val="single" w:sz="4" w:space="0" w:color="auto"/>
            </w:tcBorders>
            <w:shd w:val="clear" w:color="auto" w:fill="auto"/>
            <w:noWrap/>
            <w:vAlign w:val="bottom"/>
            <w:hideMark/>
          </w:tcPr>
          <w:p w14:paraId="61CEDCEF"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Барабинский район</w:t>
            </w:r>
          </w:p>
        </w:tc>
        <w:tc>
          <w:tcPr>
            <w:tcW w:w="1678" w:type="pct"/>
            <w:tcBorders>
              <w:top w:val="nil"/>
              <w:left w:val="nil"/>
              <w:bottom w:val="single" w:sz="4" w:space="0" w:color="auto"/>
              <w:right w:val="single" w:sz="4" w:space="0" w:color="auto"/>
            </w:tcBorders>
            <w:shd w:val="clear" w:color="auto" w:fill="auto"/>
            <w:noWrap/>
            <w:vAlign w:val="center"/>
          </w:tcPr>
          <w:p w14:paraId="57FEAAD1"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7</w:t>
            </w:r>
          </w:p>
        </w:tc>
        <w:tc>
          <w:tcPr>
            <w:tcW w:w="1254" w:type="pct"/>
            <w:tcBorders>
              <w:top w:val="nil"/>
              <w:left w:val="nil"/>
              <w:bottom w:val="single" w:sz="4" w:space="0" w:color="auto"/>
              <w:right w:val="single" w:sz="4" w:space="0" w:color="auto"/>
            </w:tcBorders>
            <w:shd w:val="clear" w:color="auto" w:fill="auto"/>
            <w:noWrap/>
            <w:vAlign w:val="center"/>
          </w:tcPr>
          <w:p w14:paraId="5FEC06A4"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141603F2"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11294378"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8</w:t>
            </w:r>
          </w:p>
        </w:tc>
        <w:tc>
          <w:tcPr>
            <w:tcW w:w="1670" w:type="pct"/>
            <w:tcBorders>
              <w:top w:val="nil"/>
              <w:left w:val="nil"/>
              <w:bottom w:val="single" w:sz="4" w:space="0" w:color="auto"/>
              <w:right w:val="single" w:sz="4" w:space="0" w:color="auto"/>
            </w:tcBorders>
            <w:shd w:val="clear" w:color="auto" w:fill="auto"/>
            <w:noWrap/>
            <w:vAlign w:val="bottom"/>
            <w:hideMark/>
          </w:tcPr>
          <w:p w14:paraId="770E03D2"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Болотнинский район</w:t>
            </w:r>
          </w:p>
        </w:tc>
        <w:tc>
          <w:tcPr>
            <w:tcW w:w="1678" w:type="pct"/>
            <w:tcBorders>
              <w:top w:val="nil"/>
              <w:left w:val="nil"/>
              <w:bottom w:val="single" w:sz="4" w:space="0" w:color="auto"/>
              <w:right w:val="single" w:sz="4" w:space="0" w:color="auto"/>
            </w:tcBorders>
            <w:shd w:val="clear" w:color="auto" w:fill="auto"/>
            <w:noWrap/>
            <w:vAlign w:val="center"/>
          </w:tcPr>
          <w:p w14:paraId="6FB57617"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24</w:t>
            </w:r>
          </w:p>
        </w:tc>
        <w:tc>
          <w:tcPr>
            <w:tcW w:w="1254" w:type="pct"/>
            <w:tcBorders>
              <w:top w:val="nil"/>
              <w:left w:val="nil"/>
              <w:bottom w:val="single" w:sz="4" w:space="0" w:color="auto"/>
              <w:right w:val="single" w:sz="4" w:space="0" w:color="auto"/>
            </w:tcBorders>
            <w:shd w:val="clear" w:color="auto" w:fill="auto"/>
            <w:noWrap/>
            <w:vAlign w:val="center"/>
          </w:tcPr>
          <w:p w14:paraId="1F80324A"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5AC11AB7"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2BA22432"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9</w:t>
            </w:r>
          </w:p>
        </w:tc>
        <w:tc>
          <w:tcPr>
            <w:tcW w:w="1670" w:type="pct"/>
            <w:tcBorders>
              <w:top w:val="nil"/>
              <w:left w:val="nil"/>
              <w:bottom w:val="single" w:sz="4" w:space="0" w:color="auto"/>
              <w:right w:val="single" w:sz="4" w:space="0" w:color="auto"/>
            </w:tcBorders>
            <w:shd w:val="clear" w:color="auto" w:fill="auto"/>
            <w:noWrap/>
            <w:vAlign w:val="bottom"/>
            <w:hideMark/>
          </w:tcPr>
          <w:p w14:paraId="06535E5F"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Венгеровский район</w:t>
            </w:r>
          </w:p>
        </w:tc>
        <w:tc>
          <w:tcPr>
            <w:tcW w:w="1678" w:type="pct"/>
            <w:tcBorders>
              <w:top w:val="nil"/>
              <w:left w:val="nil"/>
              <w:bottom w:val="single" w:sz="4" w:space="0" w:color="auto"/>
              <w:right w:val="single" w:sz="4" w:space="0" w:color="auto"/>
            </w:tcBorders>
            <w:shd w:val="clear" w:color="auto" w:fill="auto"/>
            <w:noWrap/>
            <w:vAlign w:val="center"/>
          </w:tcPr>
          <w:p w14:paraId="47580B93"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32</w:t>
            </w:r>
          </w:p>
        </w:tc>
        <w:tc>
          <w:tcPr>
            <w:tcW w:w="1254" w:type="pct"/>
            <w:tcBorders>
              <w:top w:val="nil"/>
              <w:left w:val="nil"/>
              <w:bottom w:val="single" w:sz="4" w:space="0" w:color="auto"/>
              <w:right w:val="single" w:sz="4" w:space="0" w:color="auto"/>
            </w:tcBorders>
            <w:shd w:val="clear" w:color="auto" w:fill="auto"/>
            <w:noWrap/>
            <w:vAlign w:val="center"/>
          </w:tcPr>
          <w:p w14:paraId="17C0CE90"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24F02A00"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3D2AC55C"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10</w:t>
            </w:r>
          </w:p>
        </w:tc>
        <w:tc>
          <w:tcPr>
            <w:tcW w:w="1670" w:type="pct"/>
            <w:tcBorders>
              <w:top w:val="nil"/>
              <w:left w:val="nil"/>
              <w:bottom w:val="single" w:sz="4" w:space="0" w:color="auto"/>
              <w:right w:val="single" w:sz="4" w:space="0" w:color="auto"/>
            </w:tcBorders>
            <w:shd w:val="clear" w:color="auto" w:fill="auto"/>
            <w:noWrap/>
            <w:vAlign w:val="bottom"/>
            <w:hideMark/>
          </w:tcPr>
          <w:p w14:paraId="2CE21CF6"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Доволенский район</w:t>
            </w:r>
          </w:p>
        </w:tc>
        <w:tc>
          <w:tcPr>
            <w:tcW w:w="1678" w:type="pct"/>
            <w:tcBorders>
              <w:top w:val="nil"/>
              <w:left w:val="nil"/>
              <w:bottom w:val="single" w:sz="4" w:space="0" w:color="auto"/>
              <w:right w:val="single" w:sz="4" w:space="0" w:color="auto"/>
            </w:tcBorders>
            <w:shd w:val="clear" w:color="auto" w:fill="auto"/>
            <w:noWrap/>
            <w:vAlign w:val="center"/>
          </w:tcPr>
          <w:p w14:paraId="797DC83B"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4</w:t>
            </w:r>
          </w:p>
        </w:tc>
        <w:tc>
          <w:tcPr>
            <w:tcW w:w="1254" w:type="pct"/>
            <w:tcBorders>
              <w:top w:val="nil"/>
              <w:left w:val="nil"/>
              <w:bottom w:val="single" w:sz="4" w:space="0" w:color="auto"/>
              <w:right w:val="single" w:sz="4" w:space="0" w:color="auto"/>
            </w:tcBorders>
            <w:shd w:val="clear" w:color="auto" w:fill="auto"/>
            <w:noWrap/>
            <w:vAlign w:val="center"/>
          </w:tcPr>
          <w:p w14:paraId="6977687B"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44A28540"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2C880A62"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11</w:t>
            </w:r>
          </w:p>
        </w:tc>
        <w:tc>
          <w:tcPr>
            <w:tcW w:w="1670" w:type="pct"/>
            <w:tcBorders>
              <w:top w:val="nil"/>
              <w:left w:val="nil"/>
              <w:bottom w:val="single" w:sz="4" w:space="0" w:color="auto"/>
              <w:right w:val="single" w:sz="4" w:space="0" w:color="auto"/>
            </w:tcBorders>
            <w:shd w:val="clear" w:color="auto" w:fill="auto"/>
            <w:noWrap/>
            <w:vAlign w:val="bottom"/>
            <w:hideMark/>
          </w:tcPr>
          <w:p w14:paraId="7A0316E8"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Здвинский район</w:t>
            </w:r>
          </w:p>
        </w:tc>
        <w:tc>
          <w:tcPr>
            <w:tcW w:w="1678" w:type="pct"/>
            <w:tcBorders>
              <w:top w:val="nil"/>
              <w:left w:val="nil"/>
              <w:bottom w:val="single" w:sz="4" w:space="0" w:color="auto"/>
              <w:right w:val="single" w:sz="4" w:space="0" w:color="auto"/>
            </w:tcBorders>
            <w:shd w:val="clear" w:color="auto" w:fill="auto"/>
            <w:noWrap/>
            <w:vAlign w:val="center"/>
          </w:tcPr>
          <w:p w14:paraId="6392C328"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28</w:t>
            </w:r>
          </w:p>
        </w:tc>
        <w:tc>
          <w:tcPr>
            <w:tcW w:w="1254" w:type="pct"/>
            <w:tcBorders>
              <w:top w:val="nil"/>
              <w:left w:val="nil"/>
              <w:bottom w:val="single" w:sz="4" w:space="0" w:color="auto"/>
              <w:right w:val="single" w:sz="4" w:space="0" w:color="auto"/>
            </w:tcBorders>
            <w:shd w:val="clear" w:color="auto" w:fill="auto"/>
            <w:noWrap/>
            <w:vAlign w:val="center"/>
          </w:tcPr>
          <w:p w14:paraId="1055BF8F"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0C8B79E4"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29DEB9D9"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12</w:t>
            </w:r>
          </w:p>
        </w:tc>
        <w:tc>
          <w:tcPr>
            <w:tcW w:w="1670" w:type="pct"/>
            <w:tcBorders>
              <w:top w:val="nil"/>
              <w:left w:val="nil"/>
              <w:bottom w:val="single" w:sz="4" w:space="0" w:color="auto"/>
              <w:right w:val="single" w:sz="4" w:space="0" w:color="auto"/>
            </w:tcBorders>
            <w:shd w:val="clear" w:color="auto" w:fill="auto"/>
            <w:noWrap/>
            <w:vAlign w:val="bottom"/>
            <w:hideMark/>
          </w:tcPr>
          <w:p w14:paraId="608C8C40"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Искитимский район</w:t>
            </w:r>
          </w:p>
        </w:tc>
        <w:tc>
          <w:tcPr>
            <w:tcW w:w="1678" w:type="pct"/>
            <w:tcBorders>
              <w:top w:val="nil"/>
              <w:left w:val="nil"/>
              <w:bottom w:val="single" w:sz="4" w:space="0" w:color="auto"/>
              <w:right w:val="single" w:sz="4" w:space="0" w:color="auto"/>
            </w:tcBorders>
            <w:shd w:val="clear" w:color="auto" w:fill="auto"/>
            <w:noWrap/>
            <w:vAlign w:val="center"/>
          </w:tcPr>
          <w:p w14:paraId="0AED6BF7"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5</w:t>
            </w:r>
          </w:p>
        </w:tc>
        <w:tc>
          <w:tcPr>
            <w:tcW w:w="1254" w:type="pct"/>
            <w:tcBorders>
              <w:top w:val="nil"/>
              <w:left w:val="nil"/>
              <w:bottom w:val="single" w:sz="4" w:space="0" w:color="auto"/>
              <w:right w:val="single" w:sz="4" w:space="0" w:color="auto"/>
            </w:tcBorders>
            <w:shd w:val="clear" w:color="auto" w:fill="auto"/>
            <w:noWrap/>
            <w:vAlign w:val="center"/>
          </w:tcPr>
          <w:p w14:paraId="515387BF"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01EBE59E"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5DCFC896"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13</w:t>
            </w:r>
          </w:p>
        </w:tc>
        <w:tc>
          <w:tcPr>
            <w:tcW w:w="1670" w:type="pct"/>
            <w:tcBorders>
              <w:top w:val="nil"/>
              <w:left w:val="nil"/>
              <w:bottom w:val="single" w:sz="4" w:space="0" w:color="auto"/>
              <w:right w:val="single" w:sz="4" w:space="0" w:color="auto"/>
            </w:tcBorders>
            <w:shd w:val="clear" w:color="auto" w:fill="auto"/>
            <w:noWrap/>
            <w:vAlign w:val="bottom"/>
            <w:hideMark/>
          </w:tcPr>
          <w:p w14:paraId="074F1B81"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Карасукский район</w:t>
            </w:r>
          </w:p>
        </w:tc>
        <w:tc>
          <w:tcPr>
            <w:tcW w:w="1678" w:type="pct"/>
            <w:tcBorders>
              <w:top w:val="nil"/>
              <w:left w:val="nil"/>
              <w:bottom w:val="single" w:sz="4" w:space="0" w:color="auto"/>
              <w:right w:val="single" w:sz="4" w:space="0" w:color="auto"/>
            </w:tcBorders>
            <w:shd w:val="clear" w:color="auto" w:fill="auto"/>
            <w:noWrap/>
            <w:vAlign w:val="center"/>
          </w:tcPr>
          <w:p w14:paraId="00DEE4C1"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25</w:t>
            </w:r>
          </w:p>
        </w:tc>
        <w:tc>
          <w:tcPr>
            <w:tcW w:w="1254" w:type="pct"/>
            <w:tcBorders>
              <w:top w:val="nil"/>
              <w:left w:val="nil"/>
              <w:bottom w:val="single" w:sz="4" w:space="0" w:color="auto"/>
              <w:right w:val="single" w:sz="4" w:space="0" w:color="auto"/>
            </w:tcBorders>
            <w:shd w:val="clear" w:color="auto" w:fill="auto"/>
            <w:noWrap/>
            <w:vAlign w:val="center"/>
          </w:tcPr>
          <w:p w14:paraId="01FA7F22"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0EAF4B77"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51D48818"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14</w:t>
            </w:r>
          </w:p>
        </w:tc>
        <w:tc>
          <w:tcPr>
            <w:tcW w:w="1670" w:type="pct"/>
            <w:tcBorders>
              <w:top w:val="nil"/>
              <w:left w:val="nil"/>
              <w:bottom w:val="single" w:sz="4" w:space="0" w:color="auto"/>
              <w:right w:val="single" w:sz="4" w:space="0" w:color="auto"/>
            </w:tcBorders>
            <w:shd w:val="clear" w:color="auto" w:fill="auto"/>
            <w:noWrap/>
            <w:vAlign w:val="bottom"/>
            <w:hideMark/>
          </w:tcPr>
          <w:p w14:paraId="6175D9EE"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Каргатский район</w:t>
            </w:r>
          </w:p>
        </w:tc>
        <w:tc>
          <w:tcPr>
            <w:tcW w:w="1678" w:type="pct"/>
            <w:tcBorders>
              <w:top w:val="nil"/>
              <w:left w:val="nil"/>
              <w:bottom w:val="single" w:sz="4" w:space="0" w:color="auto"/>
              <w:right w:val="single" w:sz="4" w:space="0" w:color="auto"/>
            </w:tcBorders>
            <w:shd w:val="clear" w:color="auto" w:fill="auto"/>
            <w:noWrap/>
            <w:vAlign w:val="center"/>
          </w:tcPr>
          <w:p w14:paraId="01365EB3"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15</w:t>
            </w:r>
          </w:p>
        </w:tc>
        <w:tc>
          <w:tcPr>
            <w:tcW w:w="1254" w:type="pct"/>
            <w:tcBorders>
              <w:top w:val="nil"/>
              <w:left w:val="nil"/>
              <w:bottom w:val="single" w:sz="4" w:space="0" w:color="auto"/>
              <w:right w:val="single" w:sz="4" w:space="0" w:color="auto"/>
            </w:tcBorders>
            <w:shd w:val="clear" w:color="auto" w:fill="auto"/>
            <w:noWrap/>
            <w:vAlign w:val="center"/>
          </w:tcPr>
          <w:p w14:paraId="1DDBA756"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6FB7A829"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75EEBC34"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15</w:t>
            </w:r>
          </w:p>
        </w:tc>
        <w:tc>
          <w:tcPr>
            <w:tcW w:w="1670" w:type="pct"/>
            <w:tcBorders>
              <w:top w:val="nil"/>
              <w:left w:val="nil"/>
              <w:bottom w:val="single" w:sz="4" w:space="0" w:color="auto"/>
              <w:right w:val="single" w:sz="4" w:space="0" w:color="auto"/>
            </w:tcBorders>
            <w:shd w:val="clear" w:color="auto" w:fill="auto"/>
            <w:noWrap/>
            <w:vAlign w:val="bottom"/>
            <w:hideMark/>
          </w:tcPr>
          <w:p w14:paraId="62B70047"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Колыванский район</w:t>
            </w:r>
          </w:p>
        </w:tc>
        <w:tc>
          <w:tcPr>
            <w:tcW w:w="1678" w:type="pct"/>
            <w:tcBorders>
              <w:top w:val="nil"/>
              <w:left w:val="nil"/>
              <w:bottom w:val="single" w:sz="4" w:space="0" w:color="auto"/>
              <w:right w:val="single" w:sz="4" w:space="0" w:color="auto"/>
            </w:tcBorders>
            <w:shd w:val="clear" w:color="auto" w:fill="auto"/>
            <w:noWrap/>
            <w:vAlign w:val="center"/>
          </w:tcPr>
          <w:p w14:paraId="21927CE3"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w:t>
            </w:r>
          </w:p>
        </w:tc>
        <w:tc>
          <w:tcPr>
            <w:tcW w:w="1254" w:type="pct"/>
            <w:tcBorders>
              <w:top w:val="nil"/>
              <w:left w:val="nil"/>
              <w:bottom w:val="single" w:sz="4" w:space="0" w:color="auto"/>
              <w:right w:val="single" w:sz="4" w:space="0" w:color="auto"/>
            </w:tcBorders>
            <w:shd w:val="clear" w:color="auto" w:fill="auto"/>
            <w:noWrap/>
            <w:vAlign w:val="center"/>
          </w:tcPr>
          <w:p w14:paraId="0BCDC2D2"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18FEA2A2"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73BB1DBC"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w:t>
            </w:r>
          </w:p>
        </w:tc>
        <w:tc>
          <w:tcPr>
            <w:tcW w:w="1670" w:type="pct"/>
            <w:tcBorders>
              <w:top w:val="nil"/>
              <w:left w:val="nil"/>
              <w:bottom w:val="single" w:sz="4" w:space="0" w:color="auto"/>
              <w:right w:val="single" w:sz="4" w:space="0" w:color="auto"/>
            </w:tcBorders>
            <w:shd w:val="clear" w:color="auto" w:fill="auto"/>
            <w:noWrap/>
            <w:vAlign w:val="bottom"/>
            <w:hideMark/>
          </w:tcPr>
          <w:p w14:paraId="6C70A46A"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Коченевский район</w:t>
            </w:r>
          </w:p>
        </w:tc>
        <w:tc>
          <w:tcPr>
            <w:tcW w:w="1678" w:type="pct"/>
            <w:tcBorders>
              <w:top w:val="nil"/>
              <w:left w:val="nil"/>
              <w:bottom w:val="single" w:sz="4" w:space="0" w:color="auto"/>
              <w:right w:val="single" w:sz="4" w:space="0" w:color="auto"/>
            </w:tcBorders>
            <w:shd w:val="clear" w:color="auto" w:fill="auto"/>
            <w:noWrap/>
            <w:vAlign w:val="center"/>
          </w:tcPr>
          <w:p w14:paraId="38605EBC"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w:t>
            </w:r>
          </w:p>
        </w:tc>
        <w:tc>
          <w:tcPr>
            <w:tcW w:w="1254" w:type="pct"/>
            <w:tcBorders>
              <w:top w:val="nil"/>
              <w:left w:val="nil"/>
              <w:bottom w:val="single" w:sz="4" w:space="0" w:color="auto"/>
              <w:right w:val="single" w:sz="4" w:space="0" w:color="auto"/>
            </w:tcBorders>
            <w:shd w:val="clear" w:color="auto" w:fill="auto"/>
            <w:noWrap/>
            <w:vAlign w:val="center"/>
          </w:tcPr>
          <w:p w14:paraId="641F1F3F"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66FB8CF7"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7BB1E628"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17</w:t>
            </w:r>
          </w:p>
        </w:tc>
        <w:tc>
          <w:tcPr>
            <w:tcW w:w="1670" w:type="pct"/>
            <w:tcBorders>
              <w:top w:val="nil"/>
              <w:left w:val="nil"/>
              <w:bottom w:val="single" w:sz="4" w:space="0" w:color="auto"/>
              <w:right w:val="single" w:sz="4" w:space="0" w:color="auto"/>
            </w:tcBorders>
            <w:shd w:val="clear" w:color="auto" w:fill="auto"/>
            <w:noWrap/>
            <w:vAlign w:val="bottom"/>
            <w:hideMark/>
          </w:tcPr>
          <w:p w14:paraId="72D78D68"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Кочковский район</w:t>
            </w:r>
          </w:p>
        </w:tc>
        <w:tc>
          <w:tcPr>
            <w:tcW w:w="1678" w:type="pct"/>
            <w:tcBorders>
              <w:top w:val="nil"/>
              <w:left w:val="nil"/>
              <w:bottom w:val="single" w:sz="4" w:space="0" w:color="auto"/>
              <w:right w:val="single" w:sz="4" w:space="0" w:color="auto"/>
            </w:tcBorders>
            <w:shd w:val="clear" w:color="auto" w:fill="auto"/>
            <w:noWrap/>
            <w:vAlign w:val="center"/>
          </w:tcPr>
          <w:p w14:paraId="5258B8CE"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8</w:t>
            </w:r>
          </w:p>
        </w:tc>
        <w:tc>
          <w:tcPr>
            <w:tcW w:w="1254" w:type="pct"/>
            <w:tcBorders>
              <w:top w:val="nil"/>
              <w:left w:val="nil"/>
              <w:bottom w:val="single" w:sz="4" w:space="0" w:color="auto"/>
              <w:right w:val="single" w:sz="4" w:space="0" w:color="auto"/>
            </w:tcBorders>
            <w:shd w:val="clear" w:color="auto" w:fill="auto"/>
            <w:noWrap/>
            <w:vAlign w:val="center"/>
          </w:tcPr>
          <w:p w14:paraId="30B69193"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0E109ADE"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5B5BD464"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18</w:t>
            </w:r>
          </w:p>
        </w:tc>
        <w:tc>
          <w:tcPr>
            <w:tcW w:w="1670" w:type="pct"/>
            <w:tcBorders>
              <w:top w:val="nil"/>
              <w:left w:val="nil"/>
              <w:bottom w:val="single" w:sz="4" w:space="0" w:color="auto"/>
              <w:right w:val="single" w:sz="4" w:space="0" w:color="auto"/>
            </w:tcBorders>
            <w:shd w:val="clear" w:color="auto" w:fill="auto"/>
            <w:noWrap/>
            <w:vAlign w:val="bottom"/>
            <w:hideMark/>
          </w:tcPr>
          <w:p w14:paraId="6CEFF969" w14:textId="00DC8C6B"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Краснозерский район</w:t>
            </w:r>
          </w:p>
        </w:tc>
        <w:tc>
          <w:tcPr>
            <w:tcW w:w="1678" w:type="pct"/>
            <w:tcBorders>
              <w:top w:val="nil"/>
              <w:left w:val="nil"/>
              <w:bottom w:val="single" w:sz="4" w:space="0" w:color="auto"/>
              <w:right w:val="single" w:sz="4" w:space="0" w:color="auto"/>
            </w:tcBorders>
            <w:shd w:val="clear" w:color="auto" w:fill="auto"/>
            <w:noWrap/>
            <w:vAlign w:val="center"/>
          </w:tcPr>
          <w:p w14:paraId="4D401F5D"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11</w:t>
            </w:r>
          </w:p>
        </w:tc>
        <w:tc>
          <w:tcPr>
            <w:tcW w:w="1254" w:type="pct"/>
            <w:tcBorders>
              <w:top w:val="nil"/>
              <w:left w:val="nil"/>
              <w:bottom w:val="single" w:sz="4" w:space="0" w:color="auto"/>
              <w:right w:val="single" w:sz="4" w:space="0" w:color="auto"/>
            </w:tcBorders>
            <w:shd w:val="clear" w:color="auto" w:fill="auto"/>
            <w:noWrap/>
            <w:vAlign w:val="center"/>
          </w:tcPr>
          <w:p w14:paraId="3000141E"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09516A53"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2E11F391"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19</w:t>
            </w:r>
          </w:p>
        </w:tc>
        <w:tc>
          <w:tcPr>
            <w:tcW w:w="1670" w:type="pct"/>
            <w:tcBorders>
              <w:top w:val="nil"/>
              <w:left w:val="nil"/>
              <w:bottom w:val="single" w:sz="4" w:space="0" w:color="auto"/>
              <w:right w:val="single" w:sz="4" w:space="0" w:color="auto"/>
            </w:tcBorders>
            <w:shd w:val="clear" w:color="auto" w:fill="auto"/>
            <w:noWrap/>
            <w:vAlign w:val="bottom"/>
            <w:hideMark/>
          </w:tcPr>
          <w:p w14:paraId="01B9CF02"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Куйбышевский район</w:t>
            </w:r>
          </w:p>
        </w:tc>
        <w:tc>
          <w:tcPr>
            <w:tcW w:w="1678" w:type="pct"/>
            <w:tcBorders>
              <w:top w:val="nil"/>
              <w:left w:val="nil"/>
              <w:bottom w:val="single" w:sz="4" w:space="0" w:color="auto"/>
              <w:right w:val="single" w:sz="4" w:space="0" w:color="auto"/>
            </w:tcBorders>
            <w:shd w:val="clear" w:color="auto" w:fill="auto"/>
            <w:noWrap/>
            <w:vAlign w:val="center"/>
          </w:tcPr>
          <w:p w14:paraId="50471E39"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23</w:t>
            </w:r>
          </w:p>
        </w:tc>
        <w:tc>
          <w:tcPr>
            <w:tcW w:w="1254" w:type="pct"/>
            <w:tcBorders>
              <w:top w:val="nil"/>
              <w:left w:val="nil"/>
              <w:bottom w:val="single" w:sz="4" w:space="0" w:color="auto"/>
              <w:right w:val="single" w:sz="4" w:space="0" w:color="auto"/>
            </w:tcBorders>
            <w:shd w:val="clear" w:color="auto" w:fill="auto"/>
            <w:noWrap/>
            <w:vAlign w:val="center"/>
          </w:tcPr>
          <w:p w14:paraId="535F47C6"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1011867C"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13689B24"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lastRenderedPageBreak/>
              <w:t>20</w:t>
            </w:r>
          </w:p>
        </w:tc>
        <w:tc>
          <w:tcPr>
            <w:tcW w:w="1670" w:type="pct"/>
            <w:tcBorders>
              <w:top w:val="nil"/>
              <w:left w:val="nil"/>
              <w:bottom w:val="single" w:sz="4" w:space="0" w:color="auto"/>
              <w:right w:val="single" w:sz="4" w:space="0" w:color="auto"/>
            </w:tcBorders>
            <w:shd w:val="clear" w:color="auto" w:fill="auto"/>
            <w:noWrap/>
            <w:vAlign w:val="bottom"/>
            <w:hideMark/>
          </w:tcPr>
          <w:p w14:paraId="2F147544"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Купинский район</w:t>
            </w:r>
          </w:p>
        </w:tc>
        <w:tc>
          <w:tcPr>
            <w:tcW w:w="1678" w:type="pct"/>
            <w:tcBorders>
              <w:top w:val="nil"/>
              <w:left w:val="nil"/>
              <w:bottom w:val="single" w:sz="4" w:space="0" w:color="auto"/>
              <w:right w:val="single" w:sz="4" w:space="0" w:color="auto"/>
            </w:tcBorders>
            <w:shd w:val="clear" w:color="auto" w:fill="auto"/>
            <w:noWrap/>
            <w:vAlign w:val="center"/>
          </w:tcPr>
          <w:p w14:paraId="3EE38C97"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27</w:t>
            </w:r>
          </w:p>
        </w:tc>
        <w:tc>
          <w:tcPr>
            <w:tcW w:w="1254" w:type="pct"/>
            <w:tcBorders>
              <w:top w:val="nil"/>
              <w:left w:val="nil"/>
              <w:bottom w:val="single" w:sz="4" w:space="0" w:color="auto"/>
              <w:right w:val="single" w:sz="4" w:space="0" w:color="auto"/>
            </w:tcBorders>
            <w:shd w:val="clear" w:color="auto" w:fill="auto"/>
            <w:noWrap/>
            <w:vAlign w:val="center"/>
          </w:tcPr>
          <w:p w14:paraId="3A95635C"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5E05F9BB"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0B60F028"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21</w:t>
            </w:r>
          </w:p>
        </w:tc>
        <w:tc>
          <w:tcPr>
            <w:tcW w:w="1670" w:type="pct"/>
            <w:tcBorders>
              <w:top w:val="nil"/>
              <w:left w:val="nil"/>
              <w:bottom w:val="single" w:sz="4" w:space="0" w:color="auto"/>
              <w:right w:val="single" w:sz="4" w:space="0" w:color="auto"/>
            </w:tcBorders>
            <w:shd w:val="clear" w:color="auto" w:fill="auto"/>
            <w:noWrap/>
            <w:vAlign w:val="bottom"/>
            <w:hideMark/>
          </w:tcPr>
          <w:p w14:paraId="20E9EF59"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Кыштовский район</w:t>
            </w:r>
          </w:p>
        </w:tc>
        <w:tc>
          <w:tcPr>
            <w:tcW w:w="1678" w:type="pct"/>
            <w:tcBorders>
              <w:top w:val="nil"/>
              <w:left w:val="nil"/>
              <w:bottom w:val="single" w:sz="4" w:space="0" w:color="auto"/>
              <w:right w:val="single" w:sz="4" w:space="0" w:color="auto"/>
            </w:tcBorders>
            <w:shd w:val="clear" w:color="auto" w:fill="auto"/>
            <w:noWrap/>
            <w:vAlign w:val="center"/>
          </w:tcPr>
          <w:p w14:paraId="498FE161"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34</w:t>
            </w:r>
          </w:p>
        </w:tc>
        <w:tc>
          <w:tcPr>
            <w:tcW w:w="1254" w:type="pct"/>
            <w:tcBorders>
              <w:top w:val="nil"/>
              <w:left w:val="nil"/>
              <w:bottom w:val="single" w:sz="4" w:space="0" w:color="auto"/>
              <w:right w:val="single" w:sz="4" w:space="0" w:color="auto"/>
            </w:tcBorders>
            <w:shd w:val="clear" w:color="auto" w:fill="auto"/>
            <w:noWrap/>
            <w:vAlign w:val="center"/>
          </w:tcPr>
          <w:p w14:paraId="2FC61AFC"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391D5FB3"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264A6004"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22</w:t>
            </w:r>
          </w:p>
        </w:tc>
        <w:tc>
          <w:tcPr>
            <w:tcW w:w="1670" w:type="pct"/>
            <w:tcBorders>
              <w:top w:val="nil"/>
              <w:left w:val="nil"/>
              <w:bottom w:val="single" w:sz="4" w:space="0" w:color="auto"/>
              <w:right w:val="single" w:sz="4" w:space="0" w:color="auto"/>
            </w:tcBorders>
            <w:shd w:val="clear" w:color="auto" w:fill="auto"/>
            <w:noWrap/>
            <w:vAlign w:val="bottom"/>
            <w:hideMark/>
          </w:tcPr>
          <w:p w14:paraId="0E522E35"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Маслянинский район</w:t>
            </w:r>
          </w:p>
        </w:tc>
        <w:tc>
          <w:tcPr>
            <w:tcW w:w="1678" w:type="pct"/>
            <w:tcBorders>
              <w:top w:val="nil"/>
              <w:left w:val="nil"/>
              <w:bottom w:val="single" w:sz="4" w:space="0" w:color="auto"/>
              <w:right w:val="single" w:sz="4" w:space="0" w:color="auto"/>
            </w:tcBorders>
            <w:shd w:val="clear" w:color="auto" w:fill="auto"/>
            <w:noWrap/>
            <w:vAlign w:val="center"/>
          </w:tcPr>
          <w:p w14:paraId="01C355F0"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13</w:t>
            </w:r>
          </w:p>
        </w:tc>
        <w:tc>
          <w:tcPr>
            <w:tcW w:w="1254" w:type="pct"/>
            <w:tcBorders>
              <w:top w:val="nil"/>
              <w:left w:val="nil"/>
              <w:bottom w:val="single" w:sz="4" w:space="0" w:color="auto"/>
              <w:right w:val="single" w:sz="4" w:space="0" w:color="auto"/>
            </w:tcBorders>
            <w:shd w:val="clear" w:color="auto" w:fill="auto"/>
            <w:noWrap/>
            <w:vAlign w:val="center"/>
          </w:tcPr>
          <w:p w14:paraId="3DC491E2"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476D5EF3"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36ED2347"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23</w:t>
            </w:r>
          </w:p>
        </w:tc>
        <w:tc>
          <w:tcPr>
            <w:tcW w:w="1670" w:type="pct"/>
            <w:tcBorders>
              <w:top w:val="nil"/>
              <w:left w:val="nil"/>
              <w:bottom w:val="single" w:sz="4" w:space="0" w:color="auto"/>
              <w:right w:val="single" w:sz="4" w:space="0" w:color="auto"/>
            </w:tcBorders>
            <w:shd w:val="clear" w:color="auto" w:fill="auto"/>
            <w:noWrap/>
            <w:vAlign w:val="bottom"/>
            <w:hideMark/>
          </w:tcPr>
          <w:p w14:paraId="426F3F0C"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Мошковский район</w:t>
            </w:r>
          </w:p>
        </w:tc>
        <w:tc>
          <w:tcPr>
            <w:tcW w:w="1678" w:type="pct"/>
            <w:tcBorders>
              <w:top w:val="nil"/>
              <w:left w:val="nil"/>
              <w:bottom w:val="single" w:sz="4" w:space="0" w:color="auto"/>
              <w:right w:val="single" w:sz="4" w:space="0" w:color="auto"/>
            </w:tcBorders>
            <w:shd w:val="clear" w:color="auto" w:fill="auto"/>
            <w:noWrap/>
            <w:vAlign w:val="center"/>
          </w:tcPr>
          <w:p w14:paraId="40D28A8C"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9</w:t>
            </w:r>
          </w:p>
        </w:tc>
        <w:tc>
          <w:tcPr>
            <w:tcW w:w="1254" w:type="pct"/>
            <w:tcBorders>
              <w:top w:val="nil"/>
              <w:left w:val="nil"/>
              <w:bottom w:val="single" w:sz="4" w:space="0" w:color="auto"/>
              <w:right w:val="single" w:sz="4" w:space="0" w:color="auto"/>
            </w:tcBorders>
            <w:shd w:val="clear" w:color="auto" w:fill="auto"/>
            <w:noWrap/>
            <w:vAlign w:val="center"/>
          </w:tcPr>
          <w:p w14:paraId="6819F8DF"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2F265435"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49E0653F"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24</w:t>
            </w:r>
          </w:p>
        </w:tc>
        <w:tc>
          <w:tcPr>
            <w:tcW w:w="1670" w:type="pct"/>
            <w:tcBorders>
              <w:top w:val="nil"/>
              <w:left w:val="nil"/>
              <w:bottom w:val="single" w:sz="4" w:space="0" w:color="auto"/>
              <w:right w:val="single" w:sz="4" w:space="0" w:color="auto"/>
            </w:tcBorders>
            <w:shd w:val="clear" w:color="auto" w:fill="auto"/>
            <w:noWrap/>
            <w:vAlign w:val="bottom"/>
            <w:hideMark/>
          </w:tcPr>
          <w:p w14:paraId="4098FAFA"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Новосибирский район</w:t>
            </w:r>
          </w:p>
        </w:tc>
        <w:tc>
          <w:tcPr>
            <w:tcW w:w="1678" w:type="pct"/>
            <w:tcBorders>
              <w:top w:val="nil"/>
              <w:left w:val="nil"/>
              <w:bottom w:val="single" w:sz="4" w:space="0" w:color="auto"/>
              <w:right w:val="single" w:sz="4" w:space="0" w:color="auto"/>
            </w:tcBorders>
            <w:shd w:val="clear" w:color="auto" w:fill="auto"/>
            <w:noWrap/>
            <w:vAlign w:val="center"/>
          </w:tcPr>
          <w:p w14:paraId="47E12189"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19</w:t>
            </w:r>
          </w:p>
        </w:tc>
        <w:tc>
          <w:tcPr>
            <w:tcW w:w="1254" w:type="pct"/>
            <w:tcBorders>
              <w:top w:val="nil"/>
              <w:left w:val="nil"/>
              <w:bottom w:val="single" w:sz="4" w:space="0" w:color="auto"/>
              <w:right w:val="single" w:sz="4" w:space="0" w:color="auto"/>
            </w:tcBorders>
            <w:shd w:val="clear" w:color="auto" w:fill="auto"/>
            <w:noWrap/>
            <w:vAlign w:val="center"/>
          </w:tcPr>
          <w:p w14:paraId="22D06102"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38AF2180"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6C793DDB"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25</w:t>
            </w:r>
          </w:p>
        </w:tc>
        <w:tc>
          <w:tcPr>
            <w:tcW w:w="1670" w:type="pct"/>
            <w:tcBorders>
              <w:top w:val="nil"/>
              <w:left w:val="nil"/>
              <w:bottom w:val="single" w:sz="4" w:space="0" w:color="auto"/>
              <w:right w:val="single" w:sz="4" w:space="0" w:color="auto"/>
            </w:tcBorders>
            <w:shd w:val="clear" w:color="auto" w:fill="auto"/>
            <w:noWrap/>
            <w:vAlign w:val="bottom"/>
            <w:hideMark/>
          </w:tcPr>
          <w:p w14:paraId="0246FB24"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Ордынский район</w:t>
            </w:r>
          </w:p>
        </w:tc>
        <w:tc>
          <w:tcPr>
            <w:tcW w:w="1678" w:type="pct"/>
            <w:tcBorders>
              <w:top w:val="nil"/>
              <w:left w:val="nil"/>
              <w:bottom w:val="single" w:sz="4" w:space="0" w:color="auto"/>
              <w:right w:val="single" w:sz="4" w:space="0" w:color="auto"/>
            </w:tcBorders>
            <w:shd w:val="clear" w:color="auto" w:fill="auto"/>
            <w:noWrap/>
            <w:vAlign w:val="center"/>
          </w:tcPr>
          <w:p w14:paraId="781D3BDD"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12</w:t>
            </w:r>
          </w:p>
        </w:tc>
        <w:tc>
          <w:tcPr>
            <w:tcW w:w="1254" w:type="pct"/>
            <w:tcBorders>
              <w:top w:val="nil"/>
              <w:left w:val="nil"/>
              <w:bottom w:val="single" w:sz="4" w:space="0" w:color="auto"/>
              <w:right w:val="single" w:sz="4" w:space="0" w:color="auto"/>
            </w:tcBorders>
            <w:shd w:val="clear" w:color="auto" w:fill="auto"/>
            <w:noWrap/>
            <w:vAlign w:val="center"/>
          </w:tcPr>
          <w:p w14:paraId="148E7870"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1FE6FD3C"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31A509E9"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26</w:t>
            </w:r>
          </w:p>
        </w:tc>
        <w:tc>
          <w:tcPr>
            <w:tcW w:w="1670" w:type="pct"/>
            <w:tcBorders>
              <w:top w:val="nil"/>
              <w:left w:val="nil"/>
              <w:bottom w:val="single" w:sz="4" w:space="0" w:color="auto"/>
              <w:right w:val="single" w:sz="4" w:space="0" w:color="auto"/>
            </w:tcBorders>
            <w:shd w:val="clear" w:color="auto" w:fill="auto"/>
            <w:noWrap/>
            <w:vAlign w:val="bottom"/>
            <w:hideMark/>
          </w:tcPr>
          <w:p w14:paraId="237A0464"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Северный район</w:t>
            </w:r>
          </w:p>
        </w:tc>
        <w:tc>
          <w:tcPr>
            <w:tcW w:w="1678" w:type="pct"/>
            <w:tcBorders>
              <w:top w:val="nil"/>
              <w:left w:val="nil"/>
              <w:bottom w:val="single" w:sz="4" w:space="0" w:color="auto"/>
              <w:right w:val="single" w:sz="4" w:space="0" w:color="auto"/>
            </w:tcBorders>
            <w:shd w:val="clear" w:color="auto" w:fill="auto"/>
            <w:noWrap/>
            <w:vAlign w:val="center"/>
          </w:tcPr>
          <w:p w14:paraId="1B073484"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21</w:t>
            </w:r>
          </w:p>
        </w:tc>
        <w:tc>
          <w:tcPr>
            <w:tcW w:w="1254" w:type="pct"/>
            <w:tcBorders>
              <w:top w:val="nil"/>
              <w:left w:val="nil"/>
              <w:bottom w:val="single" w:sz="4" w:space="0" w:color="auto"/>
              <w:right w:val="single" w:sz="4" w:space="0" w:color="auto"/>
            </w:tcBorders>
            <w:shd w:val="clear" w:color="auto" w:fill="auto"/>
            <w:noWrap/>
            <w:vAlign w:val="center"/>
          </w:tcPr>
          <w:p w14:paraId="7E766AAA"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69C724EF"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7B8DBBD6"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27</w:t>
            </w:r>
          </w:p>
        </w:tc>
        <w:tc>
          <w:tcPr>
            <w:tcW w:w="1670" w:type="pct"/>
            <w:tcBorders>
              <w:top w:val="nil"/>
              <w:left w:val="nil"/>
              <w:bottom w:val="single" w:sz="4" w:space="0" w:color="auto"/>
              <w:right w:val="single" w:sz="4" w:space="0" w:color="auto"/>
            </w:tcBorders>
            <w:shd w:val="clear" w:color="auto" w:fill="auto"/>
            <w:noWrap/>
            <w:vAlign w:val="bottom"/>
            <w:hideMark/>
          </w:tcPr>
          <w:p w14:paraId="076C072B"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Сузунский район</w:t>
            </w:r>
          </w:p>
        </w:tc>
        <w:tc>
          <w:tcPr>
            <w:tcW w:w="1678" w:type="pct"/>
            <w:tcBorders>
              <w:top w:val="nil"/>
              <w:left w:val="nil"/>
              <w:bottom w:val="single" w:sz="4" w:space="0" w:color="auto"/>
              <w:right w:val="single" w:sz="4" w:space="0" w:color="auto"/>
            </w:tcBorders>
            <w:shd w:val="clear" w:color="auto" w:fill="auto"/>
            <w:noWrap/>
            <w:vAlign w:val="center"/>
          </w:tcPr>
          <w:p w14:paraId="565BAB00"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10</w:t>
            </w:r>
          </w:p>
        </w:tc>
        <w:tc>
          <w:tcPr>
            <w:tcW w:w="1254" w:type="pct"/>
            <w:tcBorders>
              <w:top w:val="nil"/>
              <w:left w:val="nil"/>
              <w:bottom w:val="single" w:sz="4" w:space="0" w:color="auto"/>
              <w:right w:val="single" w:sz="4" w:space="0" w:color="auto"/>
            </w:tcBorders>
            <w:shd w:val="clear" w:color="auto" w:fill="auto"/>
            <w:noWrap/>
            <w:vAlign w:val="center"/>
          </w:tcPr>
          <w:p w14:paraId="15BC098D"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582367C2"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17E0E64E"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28</w:t>
            </w:r>
          </w:p>
        </w:tc>
        <w:tc>
          <w:tcPr>
            <w:tcW w:w="1670" w:type="pct"/>
            <w:tcBorders>
              <w:top w:val="nil"/>
              <w:left w:val="nil"/>
              <w:bottom w:val="single" w:sz="4" w:space="0" w:color="auto"/>
              <w:right w:val="single" w:sz="4" w:space="0" w:color="auto"/>
            </w:tcBorders>
            <w:shd w:val="clear" w:color="auto" w:fill="auto"/>
            <w:noWrap/>
            <w:vAlign w:val="bottom"/>
            <w:hideMark/>
          </w:tcPr>
          <w:p w14:paraId="29EFED05"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Татарский район</w:t>
            </w:r>
          </w:p>
        </w:tc>
        <w:tc>
          <w:tcPr>
            <w:tcW w:w="1678" w:type="pct"/>
            <w:tcBorders>
              <w:top w:val="nil"/>
              <w:left w:val="nil"/>
              <w:bottom w:val="single" w:sz="4" w:space="0" w:color="auto"/>
              <w:right w:val="single" w:sz="4" w:space="0" w:color="auto"/>
            </w:tcBorders>
            <w:shd w:val="clear" w:color="auto" w:fill="auto"/>
            <w:noWrap/>
            <w:vAlign w:val="center"/>
          </w:tcPr>
          <w:p w14:paraId="74649282"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33</w:t>
            </w:r>
          </w:p>
        </w:tc>
        <w:tc>
          <w:tcPr>
            <w:tcW w:w="1254" w:type="pct"/>
            <w:tcBorders>
              <w:top w:val="nil"/>
              <w:left w:val="nil"/>
              <w:bottom w:val="single" w:sz="4" w:space="0" w:color="auto"/>
              <w:right w:val="single" w:sz="4" w:space="0" w:color="auto"/>
            </w:tcBorders>
            <w:shd w:val="clear" w:color="auto" w:fill="auto"/>
            <w:noWrap/>
            <w:vAlign w:val="center"/>
          </w:tcPr>
          <w:p w14:paraId="5155802F"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34762815"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615071C3"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29</w:t>
            </w:r>
          </w:p>
        </w:tc>
        <w:tc>
          <w:tcPr>
            <w:tcW w:w="1670" w:type="pct"/>
            <w:tcBorders>
              <w:top w:val="nil"/>
              <w:left w:val="nil"/>
              <w:bottom w:val="single" w:sz="4" w:space="0" w:color="auto"/>
              <w:right w:val="single" w:sz="4" w:space="0" w:color="auto"/>
            </w:tcBorders>
            <w:shd w:val="clear" w:color="auto" w:fill="auto"/>
            <w:noWrap/>
            <w:vAlign w:val="bottom"/>
            <w:hideMark/>
          </w:tcPr>
          <w:p w14:paraId="66294272"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Тогучинский район</w:t>
            </w:r>
          </w:p>
        </w:tc>
        <w:tc>
          <w:tcPr>
            <w:tcW w:w="1678" w:type="pct"/>
            <w:tcBorders>
              <w:top w:val="nil"/>
              <w:left w:val="nil"/>
              <w:bottom w:val="single" w:sz="4" w:space="0" w:color="auto"/>
              <w:right w:val="single" w:sz="4" w:space="0" w:color="auto"/>
            </w:tcBorders>
            <w:shd w:val="clear" w:color="auto" w:fill="auto"/>
            <w:noWrap/>
            <w:vAlign w:val="center"/>
          </w:tcPr>
          <w:p w14:paraId="57E6EBE0"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31</w:t>
            </w:r>
          </w:p>
        </w:tc>
        <w:tc>
          <w:tcPr>
            <w:tcW w:w="1254" w:type="pct"/>
            <w:tcBorders>
              <w:top w:val="nil"/>
              <w:left w:val="nil"/>
              <w:bottom w:val="single" w:sz="4" w:space="0" w:color="auto"/>
              <w:right w:val="single" w:sz="4" w:space="0" w:color="auto"/>
            </w:tcBorders>
            <w:shd w:val="clear" w:color="auto" w:fill="auto"/>
            <w:noWrap/>
            <w:vAlign w:val="center"/>
          </w:tcPr>
          <w:p w14:paraId="50F3CFC2"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1E81030D"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33EC88F8"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30</w:t>
            </w:r>
          </w:p>
        </w:tc>
        <w:tc>
          <w:tcPr>
            <w:tcW w:w="1670" w:type="pct"/>
            <w:tcBorders>
              <w:top w:val="nil"/>
              <w:left w:val="nil"/>
              <w:bottom w:val="single" w:sz="4" w:space="0" w:color="auto"/>
              <w:right w:val="single" w:sz="4" w:space="0" w:color="auto"/>
            </w:tcBorders>
            <w:shd w:val="clear" w:color="auto" w:fill="auto"/>
            <w:noWrap/>
            <w:vAlign w:val="bottom"/>
            <w:hideMark/>
          </w:tcPr>
          <w:p w14:paraId="144F55AF"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Убинский район</w:t>
            </w:r>
          </w:p>
        </w:tc>
        <w:tc>
          <w:tcPr>
            <w:tcW w:w="1678" w:type="pct"/>
            <w:tcBorders>
              <w:top w:val="nil"/>
              <w:left w:val="nil"/>
              <w:bottom w:val="single" w:sz="4" w:space="0" w:color="auto"/>
              <w:right w:val="single" w:sz="4" w:space="0" w:color="auto"/>
            </w:tcBorders>
            <w:shd w:val="clear" w:color="auto" w:fill="auto"/>
            <w:noWrap/>
            <w:vAlign w:val="center"/>
          </w:tcPr>
          <w:p w14:paraId="4296C7E8"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30</w:t>
            </w:r>
          </w:p>
        </w:tc>
        <w:tc>
          <w:tcPr>
            <w:tcW w:w="1254" w:type="pct"/>
            <w:tcBorders>
              <w:top w:val="nil"/>
              <w:left w:val="nil"/>
              <w:bottom w:val="single" w:sz="4" w:space="0" w:color="auto"/>
              <w:right w:val="single" w:sz="4" w:space="0" w:color="auto"/>
            </w:tcBorders>
            <w:shd w:val="clear" w:color="auto" w:fill="auto"/>
            <w:noWrap/>
            <w:vAlign w:val="center"/>
          </w:tcPr>
          <w:p w14:paraId="2D7FE500"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6A5FB3DA"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565EB93A"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31</w:t>
            </w:r>
          </w:p>
        </w:tc>
        <w:tc>
          <w:tcPr>
            <w:tcW w:w="1670" w:type="pct"/>
            <w:tcBorders>
              <w:top w:val="nil"/>
              <w:left w:val="nil"/>
              <w:bottom w:val="single" w:sz="4" w:space="0" w:color="auto"/>
              <w:right w:val="single" w:sz="4" w:space="0" w:color="auto"/>
            </w:tcBorders>
            <w:shd w:val="clear" w:color="auto" w:fill="auto"/>
            <w:noWrap/>
            <w:vAlign w:val="bottom"/>
            <w:hideMark/>
          </w:tcPr>
          <w:p w14:paraId="0AF4C60F"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Усть-Тарский район</w:t>
            </w:r>
          </w:p>
        </w:tc>
        <w:tc>
          <w:tcPr>
            <w:tcW w:w="1678" w:type="pct"/>
            <w:tcBorders>
              <w:top w:val="nil"/>
              <w:left w:val="nil"/>
              <w:bottom w:val="single" w:sz="4" w:space="0" w:color="auto"/>
              <w:right w:val="single" w:sz="4" w:space="0" w:color="auto"/>
            </w:tcBorders>
            <w:shd w:val="clear" w:color="auto" w:fill="auto"/>
            <w:noWrap/>
            <w:vAlign w:val="center"/>
          </w:tcPr>
          <w:p w14:paraId="6B5ED4B6"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w:t>
            </w:r>
          </w:p>
        </w:tc>
        <w:tc>
          <w:tcPr>
            <w:tcW w:w="1254" w:type="pct"/>
            <w:tcBorders>
              <w:top w:val="nil"/>
              <w:left w:val="nil"/>
              <w:bottom w:val="single" w:sz="4" w:space="0" w:color="auto"/>
              <w:right w:val="single" w:sz="4" w:space="0" w:color="auto"/>
            </w:tcBorders>
            <w:shd w:val="clear" w:color="auto" w:fill="auto"/>
            <w:noWrap/>
            <w:vAlign w:val="center"/>
          </w:tcPr>
          <w:p w14:paraId="30132ADA"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4756360D" w14:textId="77777777" w:rsidTr="003F4CFF">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7483970C"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32</w:t>
            </w:r>
          </w:p>
        </w:tc>
        <w:tc>
          <w:tcPr>
            <w:tcW w:w="1670" w:type="pct"/>
            <w:tcBorders>
              <w:top w:val="nil"/>
              <w:left w:val="nil"/>
              <w:bottom w:val="single" w:sz="4" w:space="0" w:color="auto"/>
              <w:right w:val="single" w:sz="4" w:space="0" w:color="auto"/>
            </w:tcBorders>
            <w:shd w:val="clear" w:color="auto" w:fill="auto"/>
            <w:noWrap/>
            <w:vAlign w:val="bottom"/>
            <w:hideMark/>
          </w:tcPr>
          <w:p w14:paraId="774693ED"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Чановский район</w:t>
            </w:r>
          </w:p>
        </w:tc>
        <w:tc>
          <w:tcPr>
            <w:tcW w:w="1678" w:type="pct"/>
            <w:tcBorders>
              <w:top w:val="nil"/>
              <w:left w:val="nil"/>
              <w:bottom w:val="single" w:sz="4" w:space="0" w:color="auto"/>
              <w:right w:val="single" w:sz="4" w:space="0" w:color="auto"/>
            </w:tcBorders>
            <w:shd w:val="clear" w:color="auto" w:fill="auto"/>
            <w:noWrap/>
            <w:vAlign w:val="center"/>
          </w:tcPr>
          <w:p w14:paraId="69A5F2F1"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18</w:t>
            </w:r>
          </w:p>
        </w:tc>
        <w:tc>
          <w:tcPr>
            <w:tcW w:w="1254" w:type="pct"/>
            <w:tcBorders>
              <w:top w:val="nil"/>
              <w:left w:val="nil"/>
              <w:bottom w:val="single" w:sz="4" w:space="0" w:color="auto"/>
              <w:right w:val="single" w:sz="4" w:space="0" w:color="auto"/>
            </w:tcBorders>
            <w:shd w:val="clear" w:color="auto" w:fill="auto"/>
            <w:noWrap/>
            <w:vAlign w:val="center"/>
          </w:tcPr>
          <w:p w14:paraId="1E65ED88"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16FCE409" w14:textId="77777777" w:rsidTr="003F4CFF">
        <w:trPr>
          <w:trHeight w:val="20"/>
        </w:trPr>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45AAD"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33</w:t>
            </w:r>
          </w:p>
        </w:tc>
        <w:tc>
          <w:tcPr>
            <w:tcW w:w="16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78368"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Черепановский район</w:t>
            </w:r>
          </w:p>
        </w:tc>
        <w:tc>
          <w:tcPr>
            <w:tcW w:w="1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78D71D"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14</w:t>
            </w:r>
          </w:p>
        </w:tc>
        <w:tc>
          <w:tcPr>
            <w:tcW w:w="1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1656D"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57DCF217" w14:textId="77777777" w:rsidTr="003F4CFF">
        <w:trPr>
          <w:trHeight w:val="20"/>
        </w:trPr>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4F426"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34</w:t>
            </w:r>
          </w:p>
        </w:tc>
        <w:tc>
          <w:tcPr>
            <w:tcW w:w="16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74F90"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Чистоозерный район</w:t>
            </w:r>
          </w:p>
        </w:tc>
        <w:tc>
          <w:tcPr>
            <w:tcW w:w="1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142799"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26</w:t>
            </w:r>
          </w:p>
        </w:tc>
        <w:tc>
          <w:tcPr>
            <w:tcW w:w="1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FDBB8"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r w:rsidR="003F4CFF" w:rsidRPr="00755DE3" w14:paraId="4A9605FE" w14:textId="77777777" w:rsidTr="003F4CFF">
        <w:trPr>
          <w:trHeight w:val="20"/>
        </w:trPr>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04ACD"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35</w:t>
            </w:r>
          </w:p>
        </w:tc>
        <w:tc>
          <w:tcPr>
            <w:tcW w:w="16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26A46" w14:textId="77777777" w:rsidR="003F4CFF" w:rsidRPr="00A12C43" w:rsidRDefault="003F4CFF" w:rsidP="003F4CFF">
            <w:pPr>
              <w:ind w:left="47"/>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Чулымский район</w:t>
            </w:r>
          </w:p>
        </w:tc>
        <w:tc>
          <w:tcPr>
            <w:tcW w:w="1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3C411"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22</w:t>
            </w:r>
          </w:p>
        </w:tc>
        <w:tc>
          <w:tcPr>
            <w:tcW w:w="1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58257" w14:textId="77777777" w:rsidR="003F4CFF" w:rsidRPr="00A12C43" w:rsidRDefault="003F4CFF" w:rsidP="003F4CFF">
            <w:pPr>
              <w:rPr>
                <w:rFonts w:ascii="Times New Roman" w:eastAsia="Times New Roman" w:hAnsi="Times New Roman" w:cs="Times New Roman"/>
                <w:sz w:val="24"/>
                <w:szCs w:val="24"/>
              </w:rPr>
            </w:pPr>
            <w:r w:rsidRPr="00A12C43">
              <w:rPr>
                <w:rFonts w:ascii="Times New Roman" w:eastAsia="Times New Roman" w:hAnsi="Times New Roman" w:cs="Times New Roman"/>
                <w:sz w:val="24"/>
                <w:szCs w:val="24"/>
              </w:rPr>
              <w:t>16.08.2019</w:t>
            </w:r>
          </w:p>
        </w:tc>
      </w:tr>
    </w:tbl>
    <w:p w14:paraId="7870B890" w14:textId="77777777" w:rsidR="003F4CFF" w:rsidRDefault="003F4CFF" w:rsidP="003F4CFF">
      <w:pPr>
        <w:tabs>
          <w:tab w:val="left" w:pos="567"/>
        </w:tabs>
        <w:ind w:firstLine="567"/>
        <w:jc w:val="both"/>
        <w:rPr>
          <w:rFonts w:ascii="Times New Roman" w:eastAsia="Times New Roman" w:hAnsi="Times New Roman" w:cs="Times New Roman"/>
          <w:sz w:val="28"/>
          <w:szCs w:val="28"/>
        </w:rPr>
      </w:pPr>
    </w:p>
    <w:p w14:paraId="17655D9B" w14:textId="77777777" w:rsidR="003F4CFF" w:rsidRDefault="003F4CFF" w:rsidP="003F4CFF">
      <w:pPr>
        <w:tabs>
          <w:tab w:val="left" w:pos="0"/>
        </w:tabs>
        <w:ind w:firstLine="567"/>
        <w:jc w:val="both"/>
        <w:rPr>
          <w:rFonts w:ascii="Times New Roman" w:eastAsia="Times New Roman" w:hAnsi="Times New Roman" w:cs="Times New Roman"/>
          <w:sz w:val="28"/>
          <w:szCs w:val="28"/>
        </w:rPr>
      </w:pPr>
      <w:r w:rsidRPr="00755DE3">
        <w:rPr>
          <w:rFonts w:ascii="Times New Roman" w:eastAsia="Times New Roman" w:hAnsi="Times New Roman" w:cs="Times New Roman"/>
          <w:sz w:val="28"/>
          <w:szCs w:val="28"/>
        </w:rPr>
        <w:t>Копии заключенных соглашений между министерством экономического развития Новосибирской области и администрациями муниципальных районов и городских округов Новосибирской области размещены на официальном сайте министерства экономического развития Новосибирской области</w:t>
      </w:r>
      <w:r>
        <w:rPr>
          <w:rFonts w:ascii="Times New Roman" w:eastAsia="Times New Roman" w:hAnsi="Times New Roman" w:cs="Times New Roman"/>
          <w:sz w:val="28"/>
          <w:szCs w:val="28"/>
        </w:rPr>
        <w:t xml:space="preserve"> </w:t>
      </w:r>
      <w:r w:rsidRPr="00755DE3">
        <w:rPr>
          <w:rFonts w:ascii="Times New Roman" w:eastAsia="Times New Roman" w:hAnsi="Times New Roman" w:cs="Times New Roman"/>
          <w:sz w:val="28"/>
          <w:szCs w:val="28"/>
        </w:rPr>
        <w:t>(</w:t>
      </w:r>
      <w:hyperlink r:id="rId42" w:history="1">
        <w:r w:rsidRPr="00755DE3">
          <w:rPr>
            <w:rFonts w:ascii="Times New Roman" w:eastAsia="Times New Roman" w:hAnsi="Times New Roman" w:cs="Times New Roman"/>
            <w:color w:val="0000FF"/>
            <w:sz w:val="28"/>
            <w:szCs w:val="28"/>
            <w:u w:val="single"/>
          </w:rPr>
          <w:t>http://www.econom.nso.ru/page/460</w:t>
        </w:r>
      </w:hyperlink>
      <w:r w:rsidRPr="00755DE3">
        <w:rPr>
          <w:rFonts w:ascii="Times New Roman" w:eastAsia="Times New Roman" w:hAnsi="Times New Roman" w:cs="Times New Roman"/>
          <w:sz w:val="28"/>
          <w:szCs w:val="28"/>
        </w:rPr>
        <w:t>) и Инвестиционном портале Новосибирской области (</w:t>
      </w:r>
      <w:hyperlink r:id="rId43" w:history="1">
        <w:r w:rsidRPr="00755DE3">
          <w:rPr>
            <w:rFonts w:ascii="Times New Roman" w:eastAsia="Times New Roman" w:hAnsi="Times New Roman" w:cs="Times New Roman"/>
            <w:color w:val="0000FF"/>
            <w:sz w:val="28"/>
            <w:szCs w:val="28"/>
            <w:u w:val="single"/>
          </w:rPr>
          <w:t>http://www.invest.nso.ru/ru/content/normativno-pravovye-akty-3</w:t>
        </w:r>
      </w:hyperlink>
      <w:r w:rsidRPr="00755DE3">
        <w:rPr>
          <w:rFonts w:ascii="Times New Roman" w:eastAsia="Times New Roman" w:hAnsi="Times New Roman" w:cs="Times New Roman"/>
          <w:sz w:val="28"/>
          <w:szCs w:val="28"/>
        </w:rPr>
        <w:t>).</w:t>
      </w:r>
    </w:p>
    <w:p w14:paraId="26C4CF5D" w14:textId="77777777" w:rsidR="003F4CFF" w:rsidRPr="00046D27" w:rsidRDefault="003F4CFF" w:rsidP="003F4CFF">
      <w:pPr>
        <w:tabs>
          <w:tab w:val="left" w:pos="567"/>
        </w:tabs>
        <w:ind w:firstLine="567"/>
        <w:jc w:val="both"/>
        <w:rPr>
          <w:rFonts w:ascii="Times New Roman" w:eastAsia="Times New Roman" w:hAnsi="Times New Roman" w:cs="Times New Roman"/>
          <w:sz w:val="28"/>
          <w:szCs w:val="28"/>
        </w:rPr>
      </w:pPr>
      <w:r w:rsidRPr="00046D27">
        <w:rPr>
          <w:rFonts w:ascii="Times New Roman" w:eastAsia="Times New Roman" w:hAnsi="Times New Roman" w:cs="Times New Roman"/>
          <w:sz w:val="28"/>
          <w:szCs w:val="28"/>
        </w:rPr>
        <w:t>В к</w:t>
      </w:r>
      <w:r>
        <w:rPr>
          <w:rFonts w:ascii="Times New Roman" w:eastAsia="Times New Roman" w:hAnsi="Times New Roman" w:cs="Times New Roman"/>
          <w:sz w:val="28"/>
          <w:szCs w:val="28"/>
        </w:rPr>
        <w:t xml:space="preserve">ачестве образца в </w:t>
      </w:r>
      <w:r w:rsidRPr="00F966E6">
        <w:rPr>
          <w:rFonts w:ascii="Times New Roman" w:eastAsia="Times New Roman" w:hAnsi="Times New Roman" w:cs="Times New Roman"/>
          <w:sz w:val="28"/>
          <w:szCs w:val="28"/>
        </w:rPr>
        <w:t>Приложении </w:t>
      </w:r>
      <w:r w:rsidR="000A11D1">
        <w:rPr>
          <w:rFonts w:ascii="Times New Roman" w:eastAsia="Times New Roman" w:hAnsi="Times New Roman" w:cs="Times New Roman"/>
          <w:sz w:val="28"/>
          <w:szCs w:val="28"/>
        </w:rPr>
        <w:t>3</w:t>
      </w:r>
      <w:r w:rsidRPr="00F966E6">
        <w:rPr>
          <w:rFonts w:ascii="Times New Roman" w:eastAsia="Times New Roman" w:hAnsi="Times New Roman" w:cs="Times New Roman"/>
          <w:sz w:val="28"/>
          <w:szCs w:val="28"/>
        </w:rPr>
        <w:t xml:space="preserve"> представлено</w:t>
      </w:r>
      <w:r w:rsidRPr="00046D27">
        <w:rPr>
          <w:rFonts w:ascii="Times New Roman" w:eastAsia="Times New Roman" w:hAnsi="Times New Roman" w:cs="Times New Roman"/>
          <w:sz w:val="28"/>
          <w:szCs w:val="28"/>
        </w:rPr>
        <w:t xml:space="preserve"> соглашение между министерством экономического развития Новосибирской области и администрацией Карасукского района. </w:t>
      </w:r>
    </w:p>
    <w:p w14:paraId="6753E445" w14:textId="77777777" w:rsidR="003F4CFF" w:rsidRPr="00E77388" w:rsidRDefault="003F4CFF" w:rsidP="003F4CFF">
      <w:pPr>
        <w:spacing w:line="239" w:lineRule="exact"/>
        <w:ind w:firstLine="567"/>
        <w:rPr>
          <w:rFonts w:ascii="Times New Roman" w:eastAsia="Times New Roman" w:hAnsi="Times New Roman" w:cs="Times New Roman"/>
          <w:sz w:val="28"/>
          <w:szCs w:val="28"/>
          <w:highlight w:val="yellow"/>
        </w:rPr>
      </w:pPr>
    </w:p>
    <w:p w14:paraId="186921D5" w14:textId="77777777" w:rsidR="003F4CFF" w:rsidRPr="00F732D1" w:rsidRDefault="003F4CFF" w:rsidP="003F4CFF">
      <w:pPr>
        <w:pStyle w:val="ac"/>
        <w:ind w:firstLine="567"/>
        <w:jc w:val="both"/>
        <w:outlineLvl w:val="1"/>
        <w:rPr>
          <w:rFonts w:ascii="Times New Roman" w:hAnsi="Times New Roman"/>
          <w:b/>
        </w:rPr>
      </w:pPr>
      <w:bookmarkStart w:id="35" w:name="_Toc31983969"/>
      <w:bookmarkStart w:id="36" w:name="_Toc32240309"/>
      <w:bookmarkStart w:id="37" w:name="_Toc32421894"/>
      <w:bookmarkStart w:id="38" w:name="_Toc34129173"/>
      <w:r w:rsidRPr="00F732D1">
        <w:rPr>
          <w:rFonts w:ascii="Times New Roman" w:hAnsi="Times New Roman"/>
          <w:b/>
        </w:rPr>
        <w:t>2.2. 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w:t>
      </w:r>
      <w:bookmarkEnd w:id="35"/>
      <w:bookmarkEnd w:id="36"/>
      <w:bookmarkEnd w:id="37"/>
      <w:bookmarkEnd w:id="38"/>
    </w:p>
    <w:p w14:paraId="14439809" w14:textId="168D1134" w:rsidR="003F4CFF" w:rsidRDefault="00B755D5" w:rsidP="003F4CFF">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A429A8">
        <w:rPr>
          <w:rFonts w:ascii="Times New Roman" w:eastAsia="Times New Roman" w:hAnsi="Times New Roman" w:cs="Times New Roman"/>
          <w:sz w:val="28"/>
          <w:szCs w:val="28"/>
        </w:rPr>
        <w:t xml:space="preserve">остановлением </w:t>
      </w:r>
      <w:r>
        <w:rPr>
          <w:rFonts w:ascii="Times New Roman" w:hAnsi="Times New Roman" w:cs="Times New Roman"/>
          <w:sz w:val="28"/>
          <w:szCs w:val="28"/>
        </w:rPr>
        <w:t xml:space="preserve">Правительства Новосибирской области от 22.07.2019 № 271-п «Об определении органа исполнительной власти Новосибирской области, уполномоченного содействовать развитию конкуренции» </w:t>
      </w:r>
      <w:r>
        <w:rPr>
          <w:rFonts w:ascii="Times New Roman" w:eastAsia="Times New Roman" w:hAnsi="Times New Roman" w:cs="Times New Roman"/>
          <w:sz w:val="28"/>
          <w:szCs w:val="28"/>
        </w:rPr>
        <w:t>м</w:t>
      </w:r>
      <w:r w:rsidR="003F4CFF" w:rsidRPr="00A429A8">
        <w:rPr>
          <w:rFonts w:ascii="Times New Roman" w:eastAsia="Times New Roman" w:hAnsi="Times New Roman" w:cs="Times New Roman"/>
          <w:sz w:val="28"/>
          <w:szCs w:val="28"/>
        </w:rPr>
        <w:t>инистерство экономического развития Новосибирской области определено органом</w:t>
      </w:r>
      <w:r w:rsidR="003F4CFF">
        <w:rPr>
          <w:rFonts w:ascii="Times New Roman" w:eastAsia="Times New Roman" w:hAnsi="Times New Roman" w:cs="Times New Roman"/>
          <w:sz w:val="28"/>
          <w:szCs w:val="28"/>
        </w:rPr>
        <w:t>, уполномоченным</w:t>
      </w:r>
      <w:r w:rsidR="003F4CFF" w:rsidRPr="00A429A8">
        <w:rPr>
          <w:rFonts w:ascii="Times New Roman" w:eastAsia="Times New Roman" w:hAnsi="Times New Roman" w:cs="Times New Roman"/>
          <w:sz w:val="28"/>
          <w:szCs w:val="28"/>
        </w:rPr>
        <w:t xml:space="preserve"> содейств</w:t>
      </w:r>
      <w:r w:rsidR="003F4CFF">
        <w:rPr>
          <w:rFonts w:ascii="Times New Roman" w:eastAsia="Times New Roman" w:hAnsi="Times New Roman" w:cs="Times New Roman"/>
          <w:sz w:val="28"/>
          <w:szCs w:val="28"/>
        </w:rPr>
        <w:t>овать</w:t>
      </w:r>
      <w:r w:rsidR="003F4CFF" w:rsidRPr="00A429A8">
        <w:rPr>
          <w:rFonts w:ascii="Times New Roman" w:eastAsia="Times New Roman" w:hAnsi="Times New Roman" w:cs="Times New Roman"/>
          <w:sz w:val="28"/>
          <w:szCs w:val="28"/>
        </w:rPr>
        <w:t xml:space="preserve"> развитию конкуренции в Новосибирской области</w:t>
      </w:r>
      <w:r>
        <w:rPr>
          <w:rFonts w:ascii="Times New Roman" w:eastAsia="Times New Roman" w:hAnsi="Times New Roman" w:cs="Times New Roman"/>
          <w:sz w:val="28"/>
          <w:szCs w:val="28"/>
        </w:rPr>
        <w:t xml:space="preserve"> </w:t>
      </w:r>
      <w:r w:rsidR="003F4CFF" w:rsidRPr="00A429A8">
        <w:rPr>
          <w:rFonts w:ascii="Times New Roman" w:eastAsia="Times New Roman" w:hAnsi="Times New Roman" w:cs="Times New Roman"/>
          <w:sz w:val="28"/>
          <w:szCs w:val="28"/>
        </w:rPr>
        <w:t xml:space="preserve"> </w:t>
      </w:r>
      <w:r w:rsidR="003F4CFF" w:rsidRPr="00F966E6">
        <w:rPr>
          <w:rFonts w:ascii="Times New Roman" w:hAnsi="Times New Roman" w:cs="Times New Roman"/>
          <w:sz w:val="28"/>
          <w:szCs w:val="28"/>
        </w:rPr>
        <w:t xml:space="preserve">(Приложение </w:t>
      </w:r>
      <w:r w:rsidR="000A11D1">
        <w:rPr>
          <w:rFonts w:ascii="Times New Roman" w:hAnsi="Times New Roman" w:cs="Times New Roman"/>
          <w:sz w:val="28"/>
          <w:szCs w:val="28"/>
        </w:rPr>
        <w:t>4</w:t>
      </w:r>
      <w:r w:rsidR="003F4CFF" w:rsidRPr="00F966E6">
        <w:rPr>
          <w:rFonts w:ascii="Times New Roman" w:hAnsi="Times New Roman" w:cs="Times New Roman"/>
          <w:sz w:val="28"/>
          <w:szCs w:val="28"/>
        </w:rPr>
        <w:t>)</w:t>
      </w:r>
      <w:r w:rsidR="003F4CFF" w:rsidRPr="00F966E6">
        <w:rPr>
          <w:rFonts w:ascii="Times New Roman" w:eastAsia="Times New Roman" w:hAnsi="Times New Roman" w:cs="Times New Roman"/>
          <w:i/>
          <w:sz w:val="28"/>
          <w:szCs w:val="28"/>
        </w:rPr>
        <w:t>.</w:t>
      </w:r>
      <w:r w:rsidR="003F4CFF" w:rsidRPr="00A429A8">
        <w:rPr>
          <w:rFonts w:ascii="Times New Roman" w:eastAsia="Times New Roman" w:hAnsi="Times New Roman" w:cs="Times New Roman"/>
          <w:sz w:val="28"/>
          <w:szCs w:val="28"/>
        </w:rPr>
        <w:t xml:space="preserve"> Документ размещен на официальном сайте министерства экономического развития Новосибирской области (</w:t>
      </w:r>
      <w:hyperlink r:id="rId44" w:history="1">
        <w:r w:rsidR="003F4CFF" w:rsidRPr="00A429A8">
          <w:rPr>
            <w:rFonts w:ascii="Times New Roman" w:eastAsia="Times New Roman" w:hAnsi="Times New Roman" w:cs="Times New Roman"/>
            <w:color w:val="0000FF"/>
            <w:sz w:val="28"/>
            <w:szCs w:val="28"/>
            <w:u w:val="single"/>
          </w:rPr>
          <w:t>http://www.econom.nso.ru/page/460</w:t>
        </w:r>
      </w:hyperlink>
      <w:r w:rsidR="003F4CFF" w:rsidRPr="00A429A8">
        <w:rPr>
          <w:rFonts w:ascii="Times New Roman" w:eastAsia="Times New Roman" w:hAnsi="Times New Roman" w:cs="Times New Roman"/>
          <w:sz w:val="28"/>
          <w:szCs w:val="28"/>
        </w:rPr>
        <w:t>) и Инвестиционном портале Новосибирской области (</w:t>
      </w:r>
      <w:hyperlink r:id="rId45" w:history="1">
        <w:r w:rsidR="003F4CFF" w:rsidRPr="00A429A8">
          <w:rPr>
            <w:rFonts w:ascii="Times New Roman" w:eastAsia="Times New Roman" w:hAnsi="Times New Roman" w:cs="Times New Roman"/>
            <w:color w:val="0000FF"/>
            <w:sz w:val="28"/>
            <w:szCs w:val="28"/>
            <w:u w:val="single"/>
          </w:rPr>
          <w:t>http://www.invest.nso.ru/ru/content/normativno-pravovye-akty-3</w:t>
        </w:r>
      </w:hyperlink>
      <w:r w:rsidR="003F4CFF" w:rsidRPr="00A429A8">
        <w:rPr>
          <w:rFonts w:ascii="Times New Roman" w:eastAsia="Times New Roman" w:hAnsi="Times New Roman" w:cs="Times New Roman"/>
          <w:sz w:val="28"/>
          <w:szCs w:val="28"/>
        </w:rPr>
        <w:t>).</w:t>
      </w:r>
    </w:p>
    <w:p w14:paraId="002C58D5" w14:textId="77777777" w:rsidR="003F4CFF" w:rsidRDefault="003F4CFF" w:rsidP="003F4CFF">
      <w:pPr>
        <w:autoSpaceDE w:val="0"/>
        <w:autoSpaceDN w:val="0"/>
        <w:adjustRightInd w:val="0"/>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Контроль </w:t>
      </w:r>
      <w:r>
        <w:rPr>
          <w:rFonts w:ascii="Times New Roman" w:hAnsi="Times New Roman" w:cs="Times New Roman"/>
          <w:sz w:val="28"/>
          <w:szCs w:val="28"/>
        </w:rPr>
        <w:t>за исполнением настоящего постановления возложен на первого заместителя Председателя Правительства Ново</w:t>
      </w:r>
      <w:r w:rsidR="00A84580">
        <w:rPr>
          <w:rFonts w:ascii="Times New Roman" w:hAnsi="Times New Roman" w:cs="Times New Roman"/>
          <w:sz w:val="28"/>
          <w:szCs w:val="28"/>
        </w:rPr>
        <w:t>сибирской области Знаткова В.М.</w:t>
      </w:r>
    </w:p>
    <w:p w14:paraId="40588266" w14:textId="3CD9B64E" w:rsidR="003F4CFF" w:rsidRPr="00F966E6" w:rsidRDefault="003F4CFF" w:rsidP="003F4CFF">
      <w:pPr>
        <w:ind w:firstLine="567"/>
        <w:jc w:val="both"/>
        <w:rPr>
          <w:rFonts w:ascii="Times New Roman" w:eastAsia="Times New Roman" w:hAnsi="Times New Roman" w:cs="Times New Roman"/>
          <w:sz w:val="28"/>
          <w:szCs w:val="28"/>
        </w:rPr>
      </w:pPr>
      <w:r w:rsidRPr="00E60B4E">
        <w:rPr>
          <w:rFonts w:ascii="Times New Roman" w:eastAsia="Times New Roman" w:hAnsi="Times New Roman" w:cs="Times New Roman"/>
          <w:sz w:val="28"/>
          <w:szCs w:val="28"/>
        </w:rPr>
        <w:t>Приказом министерства экономического развития Новосибирской области от</w:t>
      </w:r>
      <w:r w:rsidR="00B755D5">
        <w:rPr>
          <w:rFonts w:ascii="Times New Roman" w:eastAsia="Times New Roman" w:hAnsi="Times New Roman" w:cs="Times New Roman"/>
          <w:sz w:val="28"/>
          <w:szCs w:val="28"/>
        </w:rPr>
        <w:t> </w:t>
      </w:r>
      <w:r w:rsidRPr="00E60B4E">
        <w:rPr>
          <w:rFonts w:ascii="Times New Roman" w:eastAsia="Times New Roman" w:hAnsi="Times New Roman" w:cs="Times New Roman"/>
          <w:sz w:val="28"/>
          <w:szCs w:val="28"/>
        </w:rPr>
        <w:t>16.12.2019 № 132</w:t>
      </w:r>
      <w:r>
        <w:rPr>
          <w:rFonts w:ascii="Times New Roman" w:eastAsia="Times New Roman" w:hAnsi="Times New Roman" w:cs="Times New Roman"/>
          <w:sz w:val="28"/>
          <w:szCs w:val="28"/>
        </w:rPr>
        <w:t xml:space="preserve"> </w:t>
      </w:r>
      <w:r w:rsidR="005B5088" w:rsidRPr="00E77388">
        <w:rPr>
          <w:rFonts w:ascii="Times New Roman" w:hAnsi="Times New Roman" w:cs="Times New Roman"/>
          <w:sz w:val="28"/>
          <w:szCs w:val="28"/>
          <w:lang w:eastAsia="en-US"/>
        </w:rPr>
        <w:t xml:space="preserve">«Об определении ответственного за координацию вопросов содействия развитию конкуренции и ответственного структурного подразделения </w:t>
      </w:r>
      <w:r w:rsidR="005B5088" w:rsidRPr="00E77388">
        <w:rPr>
          <w:rFonts w:ascii="Times New Roman" w:hAnsi="Times New Roman" w:cs="Times New Roman"/>
          <w:sz w:val="28"/>
          <w:szCs w:val="28"/>
          <w:lang w:eastAsia="en-US"/>
        </w:rPr>
        <w:lastRenderedPageBreak/>
        <w:t>за разработку и реализацию планов мероприятий («дорожных карт») по содействию развитию конкуренции в подведомственной сфере деятельности»</w:t>
      </w:r>
      <w:r w:rsidR="005B5088" w:rsidRPr="00F966E6">
        <w:rPr>
          <w:rFonts w:ascii="Times New Roman" w:eastAsia="Times New Roman" w:hAnsi="Times New Roman" w:cs="Times New Roman"/>
          <w:sz w:val="28"/>
          <w:szCs w:val="28"/>
        </w:rPr>
        <w:t xml:space="preserve"> </w:t>
      </w:r>
      <w:r w:rsidRPr="00F966E6">
        <w:rPr>
          <w:rFonts w:ascii="Times New Roman" w:eastAsia="Times New Roman" w:hAnsi="Times New Roman" w:cs="Times New Roman"/>
          <w:sz w:val="28"/>
          <w:szCs w:val="28"/>
        </w:rPr>
        <w:t xml:space="preserve">(Приложение </w:t>
      </w:r>
      <w:r w:rsidR="000A11D1">
        <w:rPr>
          <w:rFonts w:ascii="Times New Roman" w:eastAsia="Times New Roman" w:hAnsi="Times New Roman" w:cs="Times New Roman"/>
          <w:sz w:val="28"/>
          <w:szCs w:val="28"/>
        </w:rPr>
        <w:t>5</w:t>
      </w:r>
      <w:r w:rsidRPr="00F966E6">
        <w:rPr>
          <w:rFonts w:ascii="Times New Roman" w:eastAsia="Times New Roman" w:hAnsi="Times New Roman" w:cs="Times New Roman"/>
          <w:sz w:val="28"/>
          <w:szCs w:val="28"/>
        </w:rPr>
        <w:t>) определены:</w:t>
      </w:r>
    </w:p>
    <w:p w14:paraId="1E8F648A" w14:textId="77777777" w:rsidR="003F4CFF" w:rsidRPr="00F966E6" w:rsidRDefault="003F4CFF" w:rsidP="0095528A">
      <w:pPr>
        <w:ind w:firstLine="567"/>
        <w:jc w:val="both"/>
        <w:rPr>
          <w:rFonts w:ascii="Times New Roman" w:eastAsia="Times New Roman" w:hAnsi="Times New Roman" w:cs="Times New Roman"/>
          <w:sz w:val="28"/>
          <w:szCs w:val="28"/>
        </w:rPr>
      </w:pPr>
      <w:r w:rsidRPr="00F966E6">
        <w:rPr>
          <w:rFonts w:ascii="Times New Roman" w:eastAsia="Times New Roman" w:hAnsi="Times New Roman" w:cs="Times New Roman"/>
          <w:sz w:val="28"/>
          <w:szCs w:val="28"/>
        </w:rPr>
        <w:t>должностное лицо, ответственное за координацию вопросов содействия развитию конкуренции (Шовтак В.Б.,</w:t>
      </w:r>
      <w:r w:rsidRPr="00F966E6">
        <w:rPr>
          <w:rFonts w:ascii="Times New Roman" w:hAnsi="Times New Roman" w:cs="Times New Roman"/>
          <w:sz w:val="28"/>
          <w:szCs w:val="28"/>
        </w:rPr>
        <w:t xml:space="preserve"> заместитель министра экономического развития Новосибирской области</w:t>
      </w:r>
      <w:r w:rsidRPr="00F966E6">
        <w:rPr>
          <w:rFonts w:ascii="Times New Roman" w:eastAsia="Times New Roman" w:hAnsi="Times New Roman" w:cs="Times New Roman"/>
          <w:sz w:val="28"/>
          <w:szCs w:val="28"/>
        </w:rPr>
        <w:t>);</w:t>
      </w:r>
    </w:p>
    <w:p w14:paraId="7E10D00E" w14:textId="77777777" w:rsidR="003F4CFF" w:rsidRPr="00F966E6" w:rsidRDefault="003F4CFF">
      <w:pPr>
        <w:ind w:firstLine="567"/>
        <w:jc w:val="both"/>
        <w:rPr>
          <w:rFonts w:ascii="Times New Roman" w:hAnsi="Times New Roman" w:cs="Times New Roman"/>
          <w:sz w:val="28"/>
          <w:szCs w:val="28"/>
        </w:rPr>
      </w:pPr>
      <w:r w:rsidRPr="00F966E6">
        <w:rPr>
          <w:rFonts w:ascii="Times New Roman" w:eastAsia="Times New Roman" w:hAnsi="Times New Roman" w:cs="Times New Roman"/>
          <w:sz w:val="28"/>
          <w:szCs w:val="28"/>
        </w:rPr>
        <w:t>структурное подразделение, ответственное за разработку и реализацию планов мероприятий («дорожных карт») по содействию развитию конкуренции в подведомственной сфере деятельности (</w:t>
      </w:r>
      <w:r w:rsidRPr="00F966E6">
        <w:rPr>
          <w:rFonts w:ascii="Times New Roman" w:hAnsi="Times New Roman" w:cs="Times New Roman"/>
          <w:sz w:val="28"/>
          <w:szCs w:val="28"/>
        </w:rPr>
        <w:t>отдел программ территориального развития экономики управления инвестиционной политики и территориального развития экономики министерства экономического развития Новосибирской области).</w:t>
      </w:r>
    </w:p>
    <w:p w14:paraId="660AA5B1" w14:textId="77777777" w:rsidR="003F4CFF" w:rsidRPr="00F966E6" w:rsidRDefault="003F4CFF">
      <w:pPr>
        <w:ind w:firstLine="567"/>
        <w:jc w:val="both"/>
        <w:rPr>
          <w:rFonts w:ascii="Times New Roman" w:eastAsia="Times New Roman" w:hAnsi="Times New Roman" w:cs="Times New Roman"/>
          <w:sz w:val="28"/>
          <w:szCs w:val="28"/>
        </w:rPr>
      </w:pPr>
      <w:r w:rsidRPr="00F966E6">
        <w:rPr>
          <w:rFonts w:ascii="Times New Roman" w:hAnsi="Times New Roman" w:cs="Times New Roman"/>
          <w:sz w:val="28"/>
          <w:szCs w:val="28"/>
        </w:rPr>
        <w:t xml:space="preserve">Копия должностного регламента должностного лица Уполномоченного органа, ответственного за координацию вопросов </w:t>
      </w:r>
      <w:r w:rsidRPr="00F966E6">
        <w:rPr>
          <w:rFonts w:ascii="Times New Roman" w:eastAsia="Times New Roman" w:hAnsi="Times New Roman" w:cs="Times New Roman"/>
          <w:sz w:val="28"/>
          <w:szCs w:val="28"/>
        </w:rPr>
        <w:t xml:space="preserve">содействия развитию конкуренции представлена в Приложении </w:t>
      </w:r>
      <w:r w:rsidR="000A11D1">
        <w:rPr>
          <w:rFonts w:ascii="Times New Roman" w:eastAsia="Times New Roman" w:hAnsi="Times New Roman" w:cs="Times New Roman"/>
          <w:sz w:val="28"/>
          <w:szCs w:val="28"/>
        </w:rPr>
        <w:t>6</w:t>
      </w:r>
      <w:r w:rsidRPr="00F966E6">
        <w:rPr>
          <w:rFonts w:ascii="Times New Roman" w:eastAsia="Times New Roman" w:hAnsi="Times New Roman" w:cs="Times New Roman"/>
          <w:sz w:val="28"/>
          <w:szCs w:val="28"/>
        </w:rPr>
        <w:t>.</w:t>
      </w:r>
    </w:p>
    <w:p w14:paraId="418353D6" w14:textId="77777777" w:rsidR="003F4CFF" w:rsidRDefault="003F4CFF">
      <w:pPr>
        <w:ind w:firstLine="567"/>
        <w:jc w:val="both"/>
        <w:rPr>
          <w:rFonts w:ascii="Times New Roman" w:hAnsi="Times New Roman" w:cs="Times New Roman"/>
          <w:sz w:val="28"/>
          <w:szCs w:val="28"/>
        </w:rPr>
      </w:pPr>
      <w:r w:rsidRPr="00F966E6">
        <w:rPr>
          <w:rFonts w:ascii="Times New Roman" w:eastAsia="Times New Roman" w:hAnsi="Times New Roman" w:cs="Times New Roman"/>
          <w:sz w:val="28"/>
          <w:szCs w:val="28"/>
        </w:rPr>
        <w:t>Копия положения структурного подразделения Уполномоченного органа, ответственного за координацию вопросов содействия развитию конкуренции</w:t>
      </w:r>
      <w:r w:rsidR="005B5088">
        <w:rPr>
          <w:rFonts w:ascii="Times New Roman" w:eastAsia="Times New Roman" w:hAnsi="Times New Roman" w:cs="Times New Roman"/>
          <w:sz w:val="28"/>
          <w:szCs w:val="28"/>
        </w:rPr>
        <w:t>,</w:t>
      </w:r>
      <w:r w:rsidRPr="00F966E6">
        <w:rPr>
          <w:rFonts w:ascii="Times New Roman" w:eastAsia="Times New Roman" w:hAnsi="Times New Roman" w:cs="Times New Roman"/>
          <w:sz w:val="28"/>
          <w:szCs w:val="28"/>
        </w:rPr>
        <w:t xml:space="preserve"> представлена в Приложении </w:t>
      </w:r>
      <w:r w:rsidR="000A11D1">
        <w:rPr>
          <w:rFonts w:ascii="Times New Roman" w:eastAsia="Times New Roman" w:hAnsi="Times New Roman" w:cs="Times New Roman"/>
          <w:sz w:val="28"/>
          <w:szCs w:val="28"/>
        </w:rPr>
        <w:t>7</w:t>
      </w:r>
      <w:r w:rsidRPr="00F966E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66341F18" w14:textId="77777777" w:rsidR="003F4CFF" w:rsidRPr="002E662C" w:rsidRDefault="003F4CFF" w:rsidP="003F4CFF">
      <w:pPr>
        <w:rPr>
          <w:rFonts w:ascii="Times New Roman" w:hAnsi="Times New Roman" w:cs="Times New Roman"/>
          <w:sz w:val="28"/>
          <w:szCs w:val="28"/>
        </w:rPr>
      </w:pPr>
      <w:bookmarkStart w:id="39" w:name="_Toc31983970"/>
    </w:p>
    <w:p w14:paraId="7899BA33" w14:textId="77777777" w:rsidR="003F4CFF" w:rsidRPr="00CD0B7C" w:rsidRDefault="003F4CFF" w:rsidP="003F4CFF">
      <w:pPr>
        <w:pStyle w:val="ac"/>
        <w:ind w:firstLine="567"/>
        <w:jc w:val="both"/>
        <w:outlineLvl w:val="2"/>
        <w:rPr>
          <w:rFonts w:ascii="Times New Roman" w:hAnsi="Times New Roman"/>
          <w:b/>
        </w:rPr>
      </w:pPr>
      <w:bookmarkStart w:id="40" w:name="_Toc32240310"/>
      <w:bookmarkStart w:id="41" w:name="_Toc32421895"/>
      <w:bookmarkStart w:id="42" w:name="_Toc34129174"/>
      <w:r w:rsidRPr="00CD0B7C">
        <w:rPr>
          <w:rFonts w:ascii="Times New Roman" w:hAnsi="Times New Roman"/>
          <w:b/>
        </w:rPr>
        <w:t xml:space="preserve">2.2.1. Сведения о проведенных в отчетном периоде в субъекте Российской Федерации обучающих мероприятиях и тренингах для органов местного самоуправления по вопросам </w:t>
      </w:r>
      <w:r>
        <w:rPr>
          <w:rFonts w:ascii="Times New Roman" w:hAnsi="Times New Roman"/>
          <w:b/>
        </w:rPr>
        <w:t>содействия развитию конкуренции</w:t>
      </w:r>
      <w:bookmarkEnd w:id="39"/>
      <w:bookmarkEnd w:id="40"/>
      <w:bookmarkEnd w:id="41"/>
      <w:bookmarkEnd w:id="42"/>
    </w:p>
    <w:p w14:paraId="3C89389A" w14:textId="77777777" w:rsidR="003F4CFF"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В 2019 году было проведено </w:t>
      </w:r>
      <w:r w:rsidRPr="00350166">
        <w:rPr>
          <w:rFonts w:ascii="Times New Roman" w:hAnsi="Times New Roman" w:cs="Times New Roman"/>
          <w:sz w:val="28"/>
          <w:szCs w:val="28"/>
        </w:rPr>
        <w:t>9 обучающих мероприятий для органов местного самоуправления по вопросам содействия развитию конкуренции (таблица</w:t>
      </w:r>
      <w:r>
        <w:rPr>
          <w:rFonts w:ascii="Times New Roman" w:hAnsi="Times New Roman" w:cs="Times New Roman"/>
          <w:sz w:val="28"/>
          <w:szCs w:val="28"/>
        </w:rPr>
        <w:t> </w:t>
      </w:r>
      <w:r w:rsidRPr="00350166">
        <w:rPr>
          <w:rFonts w:ascii="Times New Roman" w:hAnsi="Times New Roman" w:cs="Times New Roman"/>
          <w:sz w:val="28"/>
          <w:szCs w:val="28"/>
        </w:rPr>
        <w:t>4).</w:t>
      </w:r>
    </w:p>
    <w:p w14:paraId="774D525F" w14:textId="77777777" w:rsidR="003F4CFF" w:rsidRPr="00350166" w:rsidRDefault="003F4CFF" w:rsidP="003F4CFF">
      <w:pPr>
        <w:ind w:firstLine="567"/>
        <w:jc w:val="both"/>
        <w:rPr>
          <w:rFonts w:ascii="Times New Roman" w:hAnsi="Times New Roman" w:cs="Times New Roman"/>
          <w:sz w:val="28"/>
          <w:szCs w:val="28"/>
        </w:rPr>
      </w:pPr>
    </w:p>
    <w:p w14:paraId="6C5DEBF6" w14:textId="77777777" w:rsidR="003F4CFF" w:rsidRPr="009D2A15" w:rsidRDefault="003F4CFF" w:rsidP="003F4CFF">
      <w:pPr>
        <w:autoSpaceDE w:val="0"/>
        <w:autoSpaceDN w:val="0"/>
        <w:adjustRightInd w:val="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w:t>
      </w:r>
      <w:r w:rsidRPr="00350166">
        <w:rPr>
          <w:rFonts w:ascii="Times New Roman" w:eastAsia="Times New Roman" w:hAnsi="Times New Roman" w:cs="Times New Roman"/>
          <w:sz w:val="28"/>
          <w:szCs w:val="28"/>
        </w:rPr>
        <w:t>4</w:t>
      </w:r>
      <w:r>
        <w:rPr>
          <w:rFonts w:ascii="Times New Roman" w:eastAsia="Times New Roman" w:hAnsi="Times New Roman" w:cs="Times New Roman"/>
          <w:sz w:val="28"/>
          <w:szCs w:val="28"/>
        </w:rPr>
        <w:t> – </w:t>
      </w:r>
      <w:r w:rsidRPr="00350166">
        <w:rPr>
          <w:rFonts w:ascii="Times New Roman" w:eastAsia="Times New Roman" w:hAnsi="Times New Roman" w:cs="Times New Roman"/>
          <w:sz w:val="28"/>
          <w:szCs w:val="28"/>
        </w:rPr>
        <w:t>Сведения</w:t>
      </w:r>
      <w:r>
        <w:rPr>
          <w:rFonts w:ascii="Times New Roman" w:eastAsia="Times New Roman" w:hAnsi="Times New Roman" w:cs="Times New Roman"/>
          <w:sz w:val="28"/>
          <w:szCs w:val="28"/>
        </w:rPr>
        <w:t xml:space="preserve"> </w:t>
      </w:r>
      <w:r w:rsidRPr="00C269CA">
        <w:rPr>
          <w:rFonts w:ascii="Times New Roman" w:eastAsia="Times New Roman" w:hAnsi="Times New Roman" w:cs="Times New Roman"/>
          <w:sz w:val="28"/>
          <w:szCs w:val="28"/>
        </w:rPr>
        <w:t xml:space="preserve">о проведенных в </w:t>
      </w:r>
      <w:r w:rsidRPr="007341EF">
        <w:rPr>
          <w:rFonts w:ascii="Times New Roman" w:eastAsia="Times New Roman" w:hAnsi="Times New Roman" w:cs="Times New Roman"/>
          <w:sz w:val="28"/>
          <w:szCs w:val="28"/>
        </w:rPr>
        <w:t>2019 году</w:t>
      </w:r>
      <w:r w:rsidRPr="00C269CA">
        <w:rPr>
          <w:rFonts w:ascii="Times New Roman" w:eastAsia="Times New Roman" w:hAnsi="Times New Roman" w:cs="Times New Roman"/>
          <w:sz w:val="28"/>
          <w:szCs w:val="28"/>
        </w:rPr>
        <w:t xml:space="preserve"> обучающих мероприятиях и тренингах для органов местного самоуправления по вопросам содействия развитию конкуренции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1937"/>
        <w:gridCol w:w="5503"/>
        <w:gridCol w:w="1851"/>
      </w:tblGrid>
      <w:tr w:rsidR="003F4CFF" w:rsidRPr="00C269CA" w14:paraId="011E09D8" w14:textId="77777777" w:rsidTr="003F4CFF">
        <w:tc>
          <w:tcPr>
            <w:tcW w:w="313" w:type="pct"/>
            <w:shd w:val="clear" w:color="auto" w:fill="FFFFFF"/>
          </w:tcPr>
          <w:p w14:paraId="6A323A78" w14:textId="77777777" w:rsidR="003F4CFF" w:rsidRPr="00AD3536" w:rsidRDefault="003F4CFF" w:rsidP="003F4CFF">
            <w:pPr>
              <w:rPr>
                <w:rFonts w:ascii="Times New Roman" w:hAnsi="Times New Roman" w:cs="Times New Roman"/>
                <w:sz w:val="24"/>
                <w:szCs w:val="24"/>
                <w:lang w:eastAsia="en-US"/>
              </w:rPr>
            </w:pPr>
            <w:r w:rsidRPr="00AD3536">
              <w:rPr>
                <w:rFonts w:ascii="Times New Roman" w:hAnsi="Times New Roman" w:cs="Times New Roman"/>
                <w:sz w:val="24"/>
                <w:szCs w:val="24"/>
                <w:lang w:eastAsia="en-US"/>
              </w:rPr>
              <w:t>№</w:t>
            </w:r>
          </w:p>
          <w:p w14:paraId="23FA0269" w14:textId="77777777" w:rsidR="003F4CFF" w:rsidRPr="00AD3536" w:rsidRDefault="003F4CFF" w:rsidP="003F4CFF">
            <w:pPr>
              <w:rPr>
                <w:rFonts w:ascii="Times New Roman" w:hAnsi="Times New Roman" w:cs="Times New Roman"/>
                <w:sz w:val="24"/>
                <w:szCs w:val="24"/>
                <w:lang w:eastAsia="en-US"/>
              </w:rPr>
            </w:pPr>
            <w:r w:rsidRPr="00AD3536">
              <w:rPr>
                <w:rFonts w:ascii="Times New Roman" w:hAnsi="Times New Roman" w:cs="Times New Roman"/>
                <w:sz w:val="24"/>
                <w:szCs w:val="24"/>
                <w:lang w:eastAsia="en-US"/>
              </w:rPr>
              <w:t>п/п</w:t>
            </w:r>
          </w:p>
        </w:tc>
        <w:tc>
          <w:tcPr>
            <w:tcW w:w="977" w:type="pct"/>
            <w:shd w:val="clear" w:color="auto" w:fill="FFFFFF"/>
            <w:hideMark/>
          </w:tcPr>
          <w:p w14:paraId="493B3070" w14:textId="77777777" w:rsidR="003F4CFF" w:rsidRPr="00AD3536" w:rsidRDefault="003F4CFF" w:rsidP="003F4CFF">
            <w:pPr>
              <w:rPr>
                <w:rFonts w:ascii="Times New Roman" w:hAnsi="Times New Roman" w:cs="Times New Roman"/>
                <w:sz w:val="24"/>
                <w:szCs w:val="24"/>
                <w:lang w:eastAsia="en-US"/>
              </w:rPr>
            </w:pPr>
            <w:r w:rsidRPr="00AD3536">
              <w:rPr>
                <w:rFonts w:ascii="Times New Roman" w:hAnsi="Times New Roman" w:cs="Times New Roman"/>
                <w:sz w:val="24"/>
                <w:szCs w:val="24"/>
                <w:lang w:eastAsia="en-US"/>
              </w:rPr>
              <w:t>Дата</w:t>
            </w:r>
          </w:p>
          <w:p w14:paraId="7EBE1EA9" w14:textId="77777777" w:rsidR="003F4CFF" w:rsidRPr="00AD3536" w:rsidRDefault="003F4CFF" w:rsidP="003F4CFF">
            <w:pPr>
              <w:rPr>
                <w:rFonts w:ascii="Times New Roman" w:hAnsi="Times New Roman" w:cs="Times New Roman"/>
                <w:sz w:val="24"/>
                <w:szCs w:val="24"/>
                <w:lang w:eastAsia="en-US"/>
              </w:rPr>
            </w:pPr>
            <w:r w:rsidRPr="00AD3536">
              <w:rPr>
                <w:rFonts w:ascii="Times New Roman" w:hAnsi="Times New Roman" w:cs="Times New Roman"/>
                <w:sz w:val="24"/>
                <w:szCs w:val="24"/>
                <w:lang w:eastAsia="en-US"/>
              </w:rPr>
              <w:t>проведения</w:t>
            </w:r>
          </w:p>
        </w:tc>
        <w:tc>
          <w:tcPr>
            <w:tcW w:w="2776" w:type="pct"/>
            <w:shd w:val="clear" w:color="auto" w:fill="FFFFFF"/>
            <w:hideMark/>
          </w:tcPr>
          <w:p w14:paraId="5EAB41C3" w14:textId="77777777" w:rsidR="003F4CFF" w:rsidRPr="00AD3536" w:rsidRDefault="003F4CFF" w:rsidP="003F4CFF">
            <w:pPr>
              <w:rPr>
                <w:rFonts w:ascii="Times New Roman" w:hAnsi="Times New Roman" w:cs="Times New Roman"/>
                <w:sz w:val="24"/>
                <w:szCs w:val="24"/>
                <w:lang w:eastAsia="en-US"/>
              </w:rPr>
            </w:pPr>
            <w:r w:rsidRPr="00AD3536">
              <w:rPr>
                <w:rFonts w:ascii="Times New Roman" w:hAnsi="Times New Roman" w:cs="Times New Roman"/>
                <w:sz w:val="24"/>
                <w:szCs w:val="24"/>
                <w:lang w:eastAsia="en-US"/>
              </w:rPr>
              <w:t>Наименование обучающего мероприятия</w:t>
            </w:r>
          </w:p>
        </w:tc>
        <w:tc>
          <w:tcPr>
            <w:tcW w:w="934" w:type="pct"/>
            <w:shd w:val="clear" w:color="auto" w:fill="FFFFFF"/>
          </w:tcPr>
          <w:p w14:paraId="6B06C628" w14:textId="77777777" w:rsidR="003F4CFF" w:rsidRPr="00AD3536" w:rsidRDefault="003F4CFF" w:rsidP="003F4CFF">
            <w:pPr>
              <w:rPr>
                <w:rFonts w:ascii="Times New Roman" w:hAnsi="Times New Roman" w:cs="Times New Roman"/>
                <w:sz w:val="24"/>
                <w:szCs w:val="24"/>
                <w:lang w:eastAsia="en-US"/>
              </w:rPr>
            </w:pPr>
            <w:r w:rsidRPr="00AD3536">
              <w:rPr>
                <w:rFonts w:ascii="Times New Roman" w:hAnsi="Times New Roman" w:cs="Times New Roman"/>
                <w:sz w:val="24"/>
                <w:szCs w:val="24"/>
                <w:lang w:eastAsia="en-US"/>
              </w:rPr>
              <w:t>Количество муниципальных образований –</w:t>
            </w:r>
          </w:p>
          <w:p w14:paraId="7DECD115" w14:textId="77777777" w:rsidR="003F4CFF" w:rsidRPr="00AD3536" w:rsidRDefault="003F4CFF" w:rsidP="003F4CFF">
            <w:pPr>
              <w:rPr>
                <w:rFonts w:ascii="Times New Roman" w:hAnsi="Times New Roman" w:cs="Times New Roman"/>
                <w:sz w:val="24"/>
                <w:szCs w:val="24"/>
                <w:lang w:eastAsia="en-US"/>
              </w:rPr>
            </w:pPr>
            <w:r w:rsidRPr="00AD3536">
              <w:rPr>
                <w:rFonts w:ascii="Times New Roman" w:hAnsi="Times New Roman" w:cs="Times New Roman"/>
                <w:sz w:val="24"/>
                <w:szCs w:val="24"/>
                <w:lang w:eastAsia="en-US"/>
              </w:rPr>
              <w:t>участников мероприятий</w:t>
            </w:r>
          </w:p>
        </w:tc>
      </w:tr>
      <w:tr w:rsidR="003F4CFF" w:rsidRPr="00C269CA" w14:paraId="4C8E6087" w14:textId="77777777" w:rsidTr="003F4CFF">
        <w:tc>
          <w:tcPr>
            <w:tcW w:w="313" w:type="pct"/>
            <w:shd w:val="clear" w:color="auto" w:fill="auto"/>
          </w:tcPr>
          <w:p w14:paraId="786C56A4" w14:textId="77777777" w:rsidR="003F4CFF" w:rsidRPr="00350166" w:rsidRDefault="003F4CFF" w:rsidP="003F4CFF">
            <w:pPr>
              <w:rPr>
                <w:rFonts w:ascii="Times New Roman" w:eastAsia="Times New Roman" w:hAnsi="Times New Roman" w:cs="Times New Roman"/>
                <w:sz w:val="24"/>
                <w:szCs w:val="24"/>
              </w:rPr>
            </w:pPr>
            <w:r w:rsidRPr="00350166">
              <w:rPr>
                <w:rFonts w:ascii="Times New Roman" w:eastAsia="Times New Roman" w:hAnsi="Times New Roman" w:cs="Times New Roman"/>
                <w:sz w:val="24"/>
                <w:szCs w:val="24"/>
              </w:rPr>
              <w:t>1.</w:t>
            </w:r>
          </w:p>
        </w:tc>
        <w:tc>
          <w:tcPr>
            <w:tcW w:w="977" w:type="pct"/>
            <w:shd w:val="clear" w:color="auto" w:fill="auto"/>
          </w:tcPr>
          <w:p w14:paraId="6F44D41A" w14:textId="77777777" w:rsidR="003F4CFF" w:rsidRPr="00AD3536" w:rsidRDefault="003F4CFF" w:rsidP="003F4CFF">
            <w:pPr>
              <w:rPr>
                <w:rFonts w:ascii="Times New Roman" w:eastAsia="Times New Roman" w:hAnsi="Times New Roman" w:cs="Times New Roman"/>
                <w:sz w:val="24"/>
                <w:szCs w:val="24"/>
              </w:rPr>
            </w:pPr>
            <w:r w:rsidRPr="00AD3536">
              <w:rPr>
                <w:rFonts w:ascii="Times New Roman" w:eastAsia="Times New Roman" w:hAnsi="Times New Roman" w:cs="Times New Roman"/>
                <w:sz w:val="24"/>
                <w:szCs w:val="24"/>
              </w:rPr>
              <w:t xml:space="preserve">8-26 апреля </w:t>
            </w:r>
          </w:p>
          <w:p w14:paraId="3E89DEDC" w14:textId="77777777" w:rsidR="003F4CFF" w:rsidRPr="00AD3536" w:rsidRDefault="003A77D5"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2019 г.</w:t>
            </w:r>
          </w:p>
          <w:p w14:paraId="4A3769AD" w14:textId="77777777" w:rsidR="003F4CFF" w:rsidRPr="00AD3536" w:rsidRDefault="003F4CFF" w:rsidP="003F4CFF">
            <w:pPr>
              <w:rPr>
                <w:rFonts w:ascii="Times New Roman" w:eastAsia="Times New Roman" w:hAnsi="Times New Roman" w:cs="Times New Roman"/>
                <w:sz w:val="24"/>
                <w:szCs w:val="24"/>
              </w:rPr>
            </w:pPr>
          </w:p>
        </w:tc>
        <w:tc>
          <w:tcPr>
            <w:tcW w:w="2776" w:type="pct"/>
            <w:shd w:val="clear" w:color="auto" w:fill="auto"/>
          </w:tcPr>
          <w:p w14:paraId="4ADDDDD3" w14:textId="77777777" w:rsidR="003F4CFF" w:rsidRPr="002E662C" w:rsidRDefault="003F4CFF" w:rsidP="003F4CFF">
            <w:pPr>
              <w:rPr>
                <w:rFonts w:ascii="Times New Roman" w:hAnsi="Times New Roman" w:cs="Times New Roman"/>
                <w:sz w:val="24"/>
                <w:szCs w:val="24"/>
              </w:rPr>
            </w:pPr>
            <w:r w:rsidRPr="002E662C">
              <w:rPr>
                <w:rFonts w:ascii="Times New Roman" w:hAnsi="Times New Roman" w:cs="Times New Roman"/>
                <w:sz w:val="24"/>
                <w:szCs w:val="24"/>
              </w:rPr>
              <w:t xml:space="preserve">На площадке Института перспективных транспортных технологий и переподготовки кадров ФГБОУ ВО «Сибирский государственный университет путей сообщения» было проведено обучающее мероприятие для работников 35 муниципальных образований Новосибирской области по теме: «Контроль качества при ремонте и содержании автомобильных дорог». В рамках программы был рассмотрен вопрос в объеме 4 учебных часа «Строительный контроль, ценообразование по нормативам затрат (статья 26 «Централизованные закупки» Федерального закона от 05.04.2013 № 44-ФЗ «О контрактной системе в </w:t>
            </w:r>
            <w:r w:rsidRPr="002E662C">
              <w:rPr>
                <w:rFonts w:ascii="Times New Roman" w:hAnsi="Times New Roman" w:cs="Times New Roman"/>
                <w:sz w:val="24"/>
                <w:szCs w:val="24"/>
              </w:rPr>
              <w:lastRenderedPageBreak/>
              <w:t>сфере закупок товаров, работ, услуг для обеспечения государственных и муниципальных нужд»).</w:t>
            </w:r>
          </w:p>
          <w:p w14:paraId="3C93C889" w14:textId="77777777" w:rsidR="003F4CFF" w:rsidRPr="00467372" w:rsidRDefault="00E3307E" w:rsidP="00467372">
            <w:pPr>
              <w:rPr>
                <w:rFonts w:ascii="Times New Roman" w:hAnsi="Times New Roman" w:cs="Times New Roman"/>
                <w:sz w:val="24"/>
                <w:szCs w:val="24"/>
              </w:rPr>
            </w:pPr>
            <w:hyperlink r:id="rId46" w:history="1">
              <w:r w:rsidR="00467372" w:rsidRPr="000C5462">
                <w:rPr>
                  <w:rStyle w:val="a3"/>
                  <w:rFonts w:ascii="Times New Roman" w:hAnsi="Times New Roman" w:cs="Times New Roman"/>
                  <w:sz w:val="24"/>
                  <w:szCs w:val="24"/>
                  <w:lang w:val="en-US"/>
                </w:rPr>
                <w:t>http</w:t>
              </w:r>
              <w:r w:rsidR="00467372" w:rsidRPr="000C5462">
                <w:rPr>
                  <w:rStyle w:val="a3"/>
                  <w:rFonts w:ascii="Times New Roman" w:hAnsi="Times New Roman" w:cs="Times New Roman"/>
                  <w:sz w:val="24"/>
                  <w:szCs w:val="24"/>
                </w:rPr>
                <w:t>://</w:t>
              </w:r>
              <w:r w:rsidR="00467372" w:rsidRPr="000C5462">
                <w:rPr>
                  <w:rStyle w:val="a3"/>
                  <w:rFonts w:ascii="Times New Roman" w:hAnsi="Times New Roman" w:cs="Times New Roman"/>
                  <w:sz w:val="24"/>
                  <w:szCs w:val="24"/>
                  <w:lang w:val="en-US"/>
                </w:rPr>
                <w:t>ipk</w:t>
              </w:r>
              <w:r w:rsidR="00467372" w:rsidRPr="000C5462">
                <w:rPr>
                  <w:rStyle w:val="a3"/>
                  <w:rFonts w:ascii="Times New Roman" w:hAnsi="Times New Roman" w:cs="Times New Roman"/>
                  <w:sz w:val="24"/>
                  <w:szCs w:val="24"/>
                </w:rPr>
                <w:t>.</w:t>
              </w:r>
              <w:r w:rsidR="00467372" w:rsidRPr="000C5462">
                <w:rPr>
                  <w:rStyle w:val="a3"/>
                  <w:rFonts w:ascii="Times New Roman" w:hAnsi="Times New Roman" w:cs="Times New Roman"/>
                  <w:sz w:val="24"/>
                  <w:szCs w:val="24"/>
                  <w:lang w:val="en-US"/>
                </w:rPr>
                <w:t>stu</w:t>
              </w:r>
              <w:r w:rsidR="00467372" w:rsidRPr="000C5462">
                <w:rPr>
                  <w:rStyle w:val="a3"/>
                  <w:rFonts w:ascii="Times New Roman" w:hAnsi="Times New Roman" w:cs="Times New Roman"/>
                  <w:sz w:val="24"/>
                  <w:szCs w:val="24"/>
                </w:rPr>
                <w:t>.</w:t>
              </w:r>
              <w:r w:rsidR="00467372" w:rsidRPr="000C5462">
                <w:rPr>
                  <w:rStyle w:val="a3"/>
                  <w:rFonts w:ascii="Times New Roman" w:hAnsi="Times New Roman" w:cs="Times New Roman"/>
                  <w:sz w:val="24"/>
                  <w:szCs w:val="24"/>
                  <w:lang w:val="en-US"/>
                </w:rPr>
                <w:t>ru</w:t>
              </w:r>
              <w:r w:rsidR="00467372" w:rsidRPr="000C5462">
                <w:rPr>
                  <w:rStyle w:val="a3"/>
                  <w:rFonts w:ascii="Times New Roman" w:hAnsi="Times New Roman" w:cs="Times New Roman"/>
                  <w:sz w:val="24"/>
                  <w:szCs w:val="24"/>
                </w:rPr>
                <w:t>/</w:t>
              </w:r>
              <w:r w:rsidR="00467372" w:rsidRPr="000C5462">
                <w:rPr>
                  <w:rStyle w:val="a3"/>
                  <w:rFonts w:ascii="Times New Roman" w:hAnsi="Times New Roman" w:cs="Times New Roman"/>
                  <w:sz w:val="24"/>
                  <w:szCs w:val="24"/>
                  <w:lang w:val="en-US"/>
                </w:rPr>
                <w:t>news</w:t>
              </w:r>
              <w:r w:rsidR="00467372" w:rsidRPr="000C5462">
                <w:rPr>
                  <w:rStyle w:val="a3"/>
                  <w:rFonts w:ascii="Times New Roman" w:hAnsi="Times New Roman" w:cs="Times New Roman"/>
                  <w:sz w:val="24"/>
                  <w:szCs w:val="24"/>
                </w:rPr>
                <w:t>.</w:t>
              </w:r>
              <w:r w:rsidR="00467372" w:rsidRPr="000C5462">
                <w:rPr>
                  <w:rStyle w:val="a3"/>
                  <w:rFonts w:ascii="Times New Roman" w:hAnsi="Times New Roman" w:cs="Times New Roman"/>
                  <w:sz w:val="24"/>
                  <w:szCs w:val="24"/>
                  <w:lang w:val="en-US"/>
                </w:rPr>
                <w:t>php</w:t>
              </w:r>
              <w:r w:rsidR="00467372" w:rsidRPr="000C5462">
                <w:rPr>
                  <w:rStyle w:val="a3"/>
                  <w:rFonts w:ascii="Times New Roman" w:hAnsi="Times New Roman" w:cs="Times New Roman"/>
                  <w:sz w:val="24"/>
                  <w:szCs w:val="24"/>
                </w:rPr>
                <w:t>?</w:t>
              </w:r>
              <w:r w:rsidR="00467372" w:rsidRPr="000C5462">
                <w:rPr>
                  <w:rStyle w:val="a3"/>
                  <w:rFonts w:ascii="Times New Roman" w:hAnsi="Times New Roman" w:cs="Times New Roman"/>
                  <w:sz w:val="24"/>
                  <w:szCs w:val="24"/>
                  <w:lang w:val="en-US"/>
                </w:rPr>
                <w:t>news</w:t>
              </w:r>
              <w:r w:rsidR="00467372" w:rsidRPr="000C5462">
                <w:rPr>
                  <w:rStyle w:val="a3"/>
                  <w:rFonts w:ascii="Times New Roman" w:hAnsi="Times New Roman" w:cs="Times New Roman"/>
                  <w:sz w:val="24"/>
                  <w:szCs w:val="24"/>
                </w:rPr>
                <w:t>=71</w:t>
              </w:r>
            </w:hyperlink>
            <w:r w:rsidR="00467372" w:rsidRPr="00467372">
              <w:rPr>
                <w:rFonts w:ascii="Times New Roman" w:hAnsi="Times New Roman" w:cs="Times New Roman"/>
                <w:sz w:val="24"/>
                <w:szCs w:val="24"/>
              </w:rPr>
              <w:t xml:space="preserve"> </w:t>
            </w:r>
          </w:p>
        </w:tc>
        <w:tc>
          <w:tcPr>
            <w:tcW w:w="934" w:type="pct"/>
          </w:tcPr>
          <w:p w14:paraId="0C81044B" w14:textId="77777777" w:rsidR="003F4CFF" w:rsidRPr="00AD3536" w:rsidRDefault="003F4CFF" w:rsidP="003F4CFF">
            <w:pPr>
              <w:rPr>
                <w:rFonts w:ascii="Times New Roman" w:eastAsia="Times New Roman" w:hAnsi="Times New Roman" w:cs="Times New Roman"/>
                <w:sz w:val="24"/>
                <w:szCs w:val="24"/>
              </w:rPr>
            </w:pPr>
            <w:r w:rsidRPr="00AD3536">
              <w:rPr>
                <w:rFonts w:ascii="Times New Roman" w:eastAsia="Times New Roman" w:hAnsi="Times New Roman" w:cs="Times New Roman"/>
                <w:sz w:val="24"/>
                <w:szCs w:val="24"/>
              </w:rPr>
              <w:lastRenderedPageBreak/>
              <w:t>35</w:t>
            </w:r>
          </w:p>
        </w:tc>
      </w:tr>
      <w:tr w:rsidR="003F4CFF" w:rsidRPr="00C269CA" w14:paraId="24C5B3E4" w14:textId="77777777" w:rsidTr="003F4CFF">
        <w:tc>
          <w:tcPr>
            <w:tcW w:w="313" w:type="pct"/>
            <w:shd w:val="clear" w:color="auto" w:fill="auto"/>
          </w:tcPr>
          <w:p w14:paraId="0D19E620" w14:textId="77777777" w:rsidR="003F4CFF" w:rsidRPr="00350166" w:rsidRDefault="003F4CFF" w:rsidP="003F4CFF">
            <w:pPr>
              <w:rPr>
                <w:rFonts w:ascii="Times New Roman" w:eastAsia="Times New Roman" w:hAnsi="Times New Roman" w:cs="Times New Roman"/>
                <w:sz w:val="24"/>
                <w:szCs w:val="24"/>
              </w:rPr>
            </w:pPr>
            <w:r w:rsidRPr="00350166">
              <w:rPr>
                <w:rFonts w:ascii="Times New Roman" w:eastAsia="Times New Roman" w:hAnsi="Times New Roman" w:cs="Times New Roman"/>
                <w:sz w:val="24"/>
                <w:szCs w:val="24"/>
              </w:rPr>
              <w:t>2.</w:t>
            </w:r>
          </w:p>
        </w:tc>
        <w:tc>
          <w:tcPr>
            <w:tcW w:w="977" w:type="pct"/>
            <w:shd w:val="clear" w:color="auto" w:fill="auto"/>
          </w:tcPr>
          <w:p w14:paraId="359E0D40" w14:textId="77777777" w:rsidR="003F4CFF" w:rsidRPr="00AD3536" w:rsidRDefault="003F4CFF" w:rsidP="003F4CFF">
            <w:pPr>
              <w:rPr>
                <w:rFonts w:ascii="Times New Roman" w:eastAsia="Times New Roman" w:hAnsi="Times New Roman" w:cs="Times New Roman"/>
                <w:sz w:val="24"/>
                <w:szCs w:val="24"/>
              </w:rPr>
            </w:pPr>
            <w:r w:rsidRPr="00AD3536">
              <w:rPr>
                <w:rFonts w:ascii="Times New Roman" w:eastAsia="Times New Roman" w:hAnsi="Times New Roman" w:cs="Times New Roman"/>
                <w:sz w:val="24"/>
                <w:szCs w:val="24"/>
              </w:rPr>
              <w:t xml:space="preserve">21-23 мая </w:t>
            </w:r>
          </w:p>
          <w:p w14:paraId="0B6F2FDD" w14:textId="77777777" w:rsidR="003F4CFF" w:rsidRPr="00AD3536" w:rsidRDefault="003A77D5"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2019 г.</w:t>
            </w:r>
          </w:p>
        </w:tc>
        <w:tc>
          <w:tcPr>
            <w:tcW w:w="2776" w:type="pct"/>
            <w:shd w:val="clear" w:color="auto" w:fill="auto"/>
          </w:tcPr>
          <w:p w14:paraId="438BDC12" w14:textId="77777777" w:rsidR="003F4CFF" w:rsidRPr="00AD3536" w:rsidRDefault="003F4CFF" w:rsidP="003F4CFF">
            <w:pPr>
              <w:pStyle w:val="af0"/>
              <w:shd w:val="clear" w:color="auto" w:fill="FFFFFF"/>
              <w:tabs>
                <w:tab w:val="left" w:pos="696"/>
              </w:tabs>
              <w:spacing w:before="0" w:beforeAutospacing="0" w:after="0" w:afterAutospacing="0"/>
              <w:rPr>
                <w:rFonts w:eastAsia="Calibri"/>
                <w:iCs/>
                <w:lang w:eastAsia="en-US"/>
              </w:rPr>
            </w:pPr>
            <w:r w:rsidRPr="00AD3536">
              <w:rPr>
                <w:rFonts w:eastAsia="Calibri"/>
                <w:iCs/>
                <w:lang w:eastAsia="en-US"/>
              </w:rPr>
              <w:t>Программа повышения квалификации муниципальных служащих по теме: «Основные аспекты проведения оценки регулирующего воздействия проек</w:t>
            </w:r>
            <w:r>
              <w:rPr>
                <w:rFonts w:eastAsia="Calibri"/>
                <w:iCs/>
                <w:lang w:eastAsia="en-US"/>
              </w:rPr>
              <w:t>тов нормативных правовых актов»</w:t>
            </w:r>
          </w:p>
          <w:p w14:paraId="67866D83" w14:textId="77777777" w:rsidR="003F4CFF" w:rsidRPr="00AD3536" w:rsidRDefault="00E3307E" w:rsidP="003F4CFF">
            <w:pPr>
              <w:pStyle w:val="af0"/>
              <w:shd w:val="clear" w:color="auto" w:fill="FFFFFF"/>
              <w:tabs>
                <w:tab w:val="left" w:pos="696"/>
              </w:tabs>
              <w:spacing w:before="0" w:beforeAutospacing="0" w:after="0" w:afterAutospacing="0"/>
              <w:rPr>
                <w:rFonts w:eastAsia="Calibri"/>
                <w:iCs/>
                <w:lang w:eastAsia="en-US"/>
              </w:rPr>
            </w:pPr>
            <w:hyperlink r:id="rId47" w:history="1">
              <w:r w:rsidR="003F4CFF" w:rsidRPr="00AD3536">
                <w:rPr>
                  <w:rStyle w:val="a3"/>
                  <w:rFonts w:eastAsia="Calibri"/>
                  <w:iCs/>
                  <w:lang w:eastAsia="en-US"/>
                </w:rPr>
                <w:t>http://econom.nso.ru/news/2639</w:t>
              </w:r>
            </w:hyperlink>
          </w:p>
        </w:tc>
        <w:tc>
          <w:tcPr>
            <w:tcW w:w="934" w:type="pct"/>
          </w:tcPr>
          <w:p w14:paraId="2B2425AA" w14:textId="77777777" w:rsidR="003F4CFF" w:rsidRPr="00AD3536" w:rsidRDefault="003F4CFF" w:rsidP="003F4CFF">
            <w:pPr>
              <w:rPr>
                <w:rFonts w:ascii="Times New Roman" w:eastAsia="Times New Roman" w:hAnsi="Times New Roman" w:cs="Times New Roman"/>
                <w:sz w:val="24"/>
                <w:szCs w:val="24"/>
              </w:rPr>
            </w:pPr>
            <w:r w:rsidRPr="00AD3536">
              <w:rPr>
                <w:rFonts w:ascii="Times New Roman" w:eastAsia="Times New Roman" w:hAnsi="Times New Roman" w:cs="Times New Roman"/>
                <w:sz w:val="24"/>
                <w:szCs w:val="24"/>
              </w:rPr>
              <w:t>26</w:t>
            </w:r>
          </w:p>
        </w:tc>
      </w:tr>
      <w:tr w:rsidR="003F4CFF" w:rsidRPr="00C269CA" w14:paraId="50ACE31B" w14:textId="77777777" w:rsidTr="003F4CFF">
        <w:tc>
          <w:tcPr>
            <w:tcW w:w="313" w:type="pct"/>
            <w:shd w:val="clear" w:color="auto" w:fill="auto"/>
          </w:tcPr>
          <w:p w14:paraId="4F92F018" w14:textId="77777777" w:rsidR="003F4CFF" w:rsidRPr="00E77388" w:rsidRDefault="003F4CFF" w:rsidP="003F4CFF">
            <w:pPr>
              <w:rPr>
                <w:rFonts w:ascii="Times New Roman" w:eastAsia="Times New Roman" w:hAnsi="Times New Roman" w:cs="Times New Roman"/>
                <w:sz w:val="24"/>
                <w:szCs w:val="24"/>
              </w:rPr>
            </w:pPr>
            <w:r w:rsidRPr="00350166">
              <w:rPr>
                <w:rFonts w:ascii="Times New Roman" w:eastAsia="Times New Roman" w:hAnsi="Times New Roman" w:cs="Times New Roman"/>
                <w:sz w:val="24"/>
                <w:szCs w:val="24"/>
                <w:lang w:val="en-US"/>
              </w:rPr>
              <w:t>3</w:t>
            </w:r>
            <w:r w:rsidR="00BF7BFF">
              <w:rPr>
                <w:rFonts w:ascii="Times New Roman" w:eastAsia="Times New Roman" w:hAnsi="Times New Roman" w:cs="Times New Roman"/>
                <w:sz w:val="24"/>
                <w:szCs w:val="24"/>
              </w:rPr>
              <w:t>.</w:t>
            </w:r>
          </w:p>
        </w:tc>
        <w:tc>
          <w:tcPr>
            <w:tcW w:w="977" w:type="pct"/>
            <w:shd w:val="clear" w:color="auto" w:fill="auto"/>
          </w:tcPr>
          <w:p w14:paraId="5311A062" w14:textId="77777777" w:rsidR="003F4CFF"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июня </w:t>
            </w:r>
          </w:p>
          <w:p w14:paraId="6642BD5F" w14:textId="77777777" w:rsidR="003F4CFF" w:rsidRPr="00AD3536" w:rsidRDefault="003A77D5"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2019 г.</w:t>
            </w:r>
          </w:p>
        </w:tc>
        <w:tc>
          <w:tcPr>
            <w:tcW w:w="2776" w:type="pct"/>
            <w:shd w:val="clear" w:color="auto" w:fill="auto"/>
          </w:tcPr>
          <w:p w14:paraId="2967C353" w14:textId="77777777" w:rsidR="003F4CFF" w:rsidRPr="00AD3536" w:rsidRDefault="003F4CFF" w:rsidP="003F4CFF">
            <w:pPr>
              <w:rPr>
                <w:rFonts w:ascii="Times New Roman" w:hAnsi="Times New Roman" w:cs="Times New Roman"/>
                <w:sz w:val="24"/>
                <w:szCs w:val="24"/>
              </w:rPr>
            </w:pPr>
            <w:r w:rsidRPr="00AD3536">
              <w:rPr>
                <w:rFonts w:ascii="Times New Roman" w:hAnsi="Times New Roman" w:cs="Times New Roman"/>
                <w:sz w:val="24"/>
                <w:szCs w:val="24"/>
              </w:rPr>
              <w:t>Семинар-совещание с представителями муниципальных районов и городских округов Новосибирской области</w:t>
            </w:r>
          </w:p>
          <w:p w14:paraId="0CBD0A84" w14:textId="77777777" w:rsidR="003F4CFF" w:rsidRPr="000215C7" w:rsidRDefault="003F4CFF" w:rsidP="003F4CFF">
            <w:pPr>
              <w:rPr>
                <w:rFonts w:ascii="Times New Roman" w:hAnsi="Times New Roman" w:cs="Times New Roman"/>
                <w:iCs/>
                <w:sz w:val="24"/>
                <w:szCs w:val="24"/>
                <w:lang w:eastAsia="en-US"/>
              </w:rPr>
            </w:pPr>
            <w:r w:rsidRPr="000215C7">
              <w:rPr>
                <w:rFonts w:ascii="Times New Roman" w:hAnsi="Times New Roman" w:cs="Times New Roman"/>
                <w:iCs/>
                <w:sz w:val="24"/>
                <w:szCs w:val="24"/>
                <w:lang w:eastAsia="en-US"/>
              </w:rPr>
              <w:t xml:space="preserve"> «Изменение градостроительного законодательства. Практика применения» с представителями администраций муниципальных районов и городских округов Новосибирской области»</w:t>
            </w:r>
          </w:p>
        </w:tc>
        <w:tc>
          <w:tcPr>
            <w:tcW w:w="934" w:type="pct"/>
          </w:tcPr>
          <w:p w14:paraId="4B4928BE" w14:textId="77777777" w:rsidR="003F4CFF" w:rsidRPr="0042517C" w:rsidRDefault="003F4CFF" w:rsidP="003F4CFF">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w:t>
            </w:r>
          </w:p>
        </w:tc>
      </w:tr>
      <w:tr w:rsidR="003F4CFF" w:rsidRPr="00C269CA" w14:paraId="324388D2" w14:textId="77777777" w:rsidTr="003F4CFF">
        <w:tc>
          <w:tcPr>
            <w:tcW w:w="313" w:type="pct"/>
            <w:shd w:val="clear" w:color="auto" w:fill="auto"/>
          </w:tcPr>
          <w:p w14:paraId="139153BC" w14:textId="77777777" w:rsidR="003F4CFF" w:rsidRPr="00350166" w:rsidRDefault="003F4CFF" w:rsidP="003F4CFF">
            <w:pPr>
              <w:rPr>
                <w:rFonts w:ascii="Times New Roman" w:eastAsia="Times New Roman" w:hAnsi="Times New Roman" w:cs="Times New Roman"/>
                <w:sz w:val="24"/>
                <w:szCs w:val="24"/>
              </w:rPr>
            </w:pPr>
            <w:r w:rsidRPr="00350166">
              <w:rPr>
                <w:rFonts w:ascii="Times New Roman" w:eastAsia="Times New Roman" w:hAnsi="Times New Roman" w:cs="Times New Roman"/>
                <w:sz w:val="24"/>
                <w:szCs w:val="24"/>
              </w:rPr>
              <w:t>4.</w:t>
            </w:r>
          </w:p>
        </w:tc>
        <w:tc>
          <w:tcPr>
            <w:tcW w:w="977" w:type="pct"/>
            <w:shd w:val="clear" w:color="auto" w:fill="auto"/>
          </w:tcPr>
          <w:p w14:paraId="49460D5E" w14:textId="77777777" w:rsidR="003F4CFF" w:rsidRPr="00AD3536" w:rsidRDefault="003F4CFF" w:rsidP="003F4CFF">
            <w:pPr>
              <w:rPr>
                <w:rFonts w:ascii="Times New Roman" w:eastAsia="Times New Roman" w:hAnsi="Times New Roman" w:cs="Times New Roman"/>
                <w:sz w:val="24"/>
                <w:szCs w:val="24"/>
              </w:rPr>
            </w:pPr>
            <w:r w:rsidRPr="00AD3536">
              <w:rPr>
                <w:rFonts w:ascii="Times New Roman" w:eastAsia="Times New Roman" w:hAnsi="Times New Roman" w:cs="Times New Roman"/>
                <w:sz w:val="24"/>
                <w:szCs w:val="24"/>
              </w:rPr>
              <w:t xml:space="preserve">19 июня </w:t>
            </w:r>
          </w:p>
          <w:p w14:paraId="1F7BA039" w14:textId="77777777" w:rsidR="003F4CFF" w:rsidRPr="00AD3536" w:rsidRDefault="003F4CFF" w:rsidP="003F4CFF">
            <w:pPr>
              <w:rPr>
                <w:rFonts w:ascii="Times New Roman" w:eastAsia="Times New Roman" w:hAnsi="Times New Roman" w:cs="Times New Roman"/>
                <w:sz w:val="24"/>
                <w:szCs w:val="24"/>
              </w:rPr>
            </w:pPr>
            <w:r w:rsidRPr="00AD3536">
              <w:rPr>
                <w:rFonts w:ascii="Times New Roman" w:eastAsia="Times New Roman" w:hAnsi="Times New Roman" w:cs="Times New Roman"/>
                <w:sz w:val="24"/>
                <w:szCs w:val="24"/>
              </w:rPr>
              <w:t>2019 г.</w:t>
            </w:r>
          </w:p>
        </w:tc>
        <w:tc>
          <w:tcPr>
            <w:tcW w:w="2776" w:type="pct"/>
            <w:shd w:val="clear" w:color="auto" w:fill="auto"/>
          </w:tcPr>
          <w:p w14:paraId="64BE72B6" w14:textId="77777777" w:rsidR="003F4CFF" w:rsidRPr="0042517C" w:rsidRDefault="003F4CFF" w:rsidP="003F4CFF">
            <w:pPr>
              <w:pStyle w:val="af0"/>
              <w:shd w:val="clear" w:color="auto" w:fill="FFFFFF"/>
              <w:tabs>
                <w:tab w:val="left" w:pos="696"/>
              </w:tabs>
              <w:spacing w:before="0" w:beforeAutospacing="0" w:after="0" w:afterAutospacing="0"/>
            </w:pPr>
            <w:r w:rsidRPr="00AD3536">
              <w:t>Семинар-совещание с представителями муниципальных районов и городских округов Новосибирской области</w:t>
            </w:r>
            <w:r>
              <w:t xml:space="preserve"> по вопросу </w:t>
            </w:r>
            <w:r w:rsidRPr="0042517C">
              <w:t>внедрения стандарта развития конкуренции в субъектах Российской Федерации. </w:t>
            </w:r>
            <w:hyperlink r:id="rId48" w:history="1">
              <w:r w:rsidRPr="004A792E">
                <w:rPr>
                  <w:rStyle w:val="a3"/>
                  <w:rFonts w:eastAsiaTheme="majorEastAsia"/>
                  <w:lang w:val="en-US"/>
                </w:rPr>
                <w:t>h</w:t>
              </w:r>
              <w:r w:rsidRPr="004A792E">
                <w:rPr>
                  <w:rStyle w:val="a3"/>
                  <w:rFonts w:eastAsiaTheme="majorEastAsia"/>
                </w:rPr>
                <w:t>ttp://econom.nso.ru/news/2681</w:t>
              </w:r>
            </w:hyperlink>
            <w:r>
              <w:t xml:space="preserve"> </w:t>
            </w:r>
          </w:p>
        </w:tc>
        <w:tc>
          <w:tcPr>
            <w:tcW w:w="934" w:type="pct"/>
          </w:tcPr>
          <w:p w14:paraId="79439F4F" w14:textId="77777777" w:rsidR="003F4CFF" w:rsidRPr="00AD3536" w:rsidRDefault="003F4CFF" w:rsidP="003F4CFF">
            <w:pPr>
              <w:rPr>
                <w:rFonts w:ascii="Times New Roman" w:eastAsia="Times New Roman" w:hAnsi="Times New Roman" w:cs="Times New Roman"/>
                <w:sz w:val="24"/>
                <w:szCs w:val="24"/>
              </w:rPr>
            </w:pPr>
            <w:r w:rsidRPr="00AD3536">
              <w:rPr>
                <w:rFonts w:ascii="Times New Roman" w:eastAsia="Times New Roman" w:hAnsi="Times New Roman" w:cs="Times New Roman"/>
                <w:sz w:val="24"/>
                <w:szCs w:val="24"/>
              </w:rPr>
              <w:t>30</w:t>
            </w:r>
          </w:p>
        </w:tc>
      </w:tr>
      <w:tr w:rsidR="003F4CFF" w:rsidRPr="00C269CA" w14:paraId="6998D40A" w14:textId="77777777" w:rsidTr="003F4CFF">
        <w:tc>
          <w:tcPr>
            <w:tcW w:w="313" w:type="pct"/>
            <w:shd w:val="clear" w:color="auto" w:fill="auto"/>
          </w:tcPr>
          <w:p w14:paraId="63E4A226" w14:textId="77777777" w:rsidR="003F4CFF" w:rsidRPr="00E77388" w:rsidRDefault="003F4CFF" w:rsidP="003F4CFF">
            <w:pPr>
              <w:rPr>
                <w:rFonts w:ascii="Times New Roman" w:eastAsia="Times New Roman" w:hAnsi="Times New Roman" w:cs="Times New Roman"/>
                <w:sz w:val="24"/>
                <w:szCs w:val="24"/>
              </w:rPr>
            </w:pPr>
            <w:r w:rsidRPr="00350166">
              <w:rPr>
                <w:rFonts w:ascii="Times New Roman" w:eastAsia="Times New Roman" w:hAnsi="Times New Roman" w:cs="Times New Roman"/>
                <w:sz w:val="24"/>
                <w:szCs w:val="24"/>
                <w:lang w:val="en-US"/>
              </w:rPr>
              <w:t>5</w:t>
            </w:r>
            <w:r w:rsidR="00BF7BFF">
              <w:rPr>
                <w:rFonts w:ascii="Times New Roman" w:eastAsia="Times New Roman" w:hAnsi="Times New Roman" w:cs="Times New Roman"/>
                <w:sz w:val="24"/>
                <w:szCs w:val="24"/>
              </w:rPr>
              <w:t>.</w:t>
            </w:r>
          </w:p>
        </w:tc>
        <w:tc>
          <w:tcPr>
            <w:tcW w:w="977" w:type="pct"/>
            <w:shd w:val="clear" w:color="auto" w:fill="auto"/>
          </w:tcPr>
          <w:p w14:paraId="552D7F0B" w14:textId="77777777" w:rsidR="003F4CFF"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августа </w:t>
            </w:r>
          </w:p>
          <w:p w14:paraId="4D6FB0C5" w14:textId="77777777" w:rsidR="003F4CFF" w:rsidRPr="00AD3536"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2019 г.</w:t>
            </w:r>
          </w:p>
        </w:tc>
        <w:tc>
          <w:tcPr>
            <w:tcW w:w="2776" w:type="pct"/>
            <w:shd w:val="clear" w:color="auto" w:fill="auto"/>
          </w:tcPr>
          <w:p w14:paraId="50DD655C" w14:textId="77777777" w:rsidR="003F4CFF" w:rsidRPr="00AD3536" w:rsidRDefault="003F4CFF" w:rsidP="003F4CFF">
            <w:pPr>
              <w:rPr>
                <w:rFonts w:ascii="Times New Roman" w:hAnsi="Times New Roman" w:cs="Times New Roman"/>
                <w:sz w:val="24"/>
                <w:szCs w:val="24"/>
              </w:rPr>
            </w:pPr>
            <w:r w:rsidRPr="00AD3536">
              <w:rPr>
                <w:rFonts w:ascii="Times New Roman" w:hAnsi="Times New Roman" w:cs="Times New Roman"/>
                <w:sz w:val="24"/>
                <w:szCs w:val="24"/>
              </w:rPr>
              <w:t>Семинар-совещание с представителями муниципальных районов и городских округов Новосибирской области</w:t>
            </w:r>
          </w:p>
          <w:p w14:paraId="5886548F" w14:textId="77777777" w:rsidR="003F4CFF" w:rsidRPr="00AD3536" w:rsidRDefault="003F4CFF" w:rsidP="003F4CFF">
            <w:pPr>
              <w:rPr>
                <w:rFonts w:ascii="Times New Roman" w:hAnsi="Times New Roman" w:cs="Times New Roman"/>
                <w:sz w:val="24"/>
                <w:szCs w:val="24"/>
              </w:rPr>
            </w:pPr>
            <w:r w:rsidRPr="000215C7">
              <w:rPr>
                <w:rFonts w:ascii="Times New Roman" w:hAnsi="Times New Roman" w:cs="Times New Roman"/>
                <w:sz w:val="24"/>
                <w:szCs w:val="24"/>
              </w:rPr>
              <w:t>«Осуществление полномочий в области контроля за соблюдением органами местного самоуправления законодательства о градостроительной деятельности, организации и проведении государственной экспертизы проектной документации и результатов инженерных изысканий»</w:t>
            </w:r>
          </w:p>
        </w:tc>
        <w:tc>
          <w:tcPr>
            <w:tcW w:w="934" w:type="pct"/>
          </w:tcPr>
          <w:p w14:paraId="3466DF7F" w14:textId="77777777" w:rsidR="003F4CFF" w:rsidRPr="00AD3536"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3F4CFF" w:rsidRPr="00C269CA" w14:paraId="7BE613B2" w14:textId="77777777" w:rsidTr="003F4CFF">
        <w:tc>
          <w:tcPr>
            <w:tcW w:w="313" w:type="pct"/>
            <w:shd w:val="clear" w:color="auto" w:fill="auto"/>
          </w:tcPr>
          <w:p w14:paraId="270B79B9" w14:textId="77777777" w:rsidR="003F4CFF" w:rsidRPr="00350166" w:rsidRDefault="003F4CFF" w:rsidP="003F4CFF">
            <w:pPr>
              <w:rPr>
                <w:rFonts w:ascii="Times New Roman" w:eastAsia="Times New Roman" w:hAnsi="Times New Roman" w:cs="Times New Roman"/>
                <w:sz w:val="24"/>
                <w:szCs w:val="24"/>
              </w:rPr>
            </w:pPr>
            <w:r w:rsidRPr="00350166">
              <w:rPr>
                <w:rFonts w:ascii="Times New Roman" w:eastAsia="Times New Roman" w:hAnsi="Times New Roman" w:cs="Times New Roman"/>
                <w:sz w:val="24"/>
                <w:szCs w:val="24"/>
              </w:rPr>
              <w:t>6.</w:t>
            </w:r>
          </w:p>
        </w:tc>
        <w:tc>
          <w:tcPr>
            <w:tcW w:w="977" w:type="pct"/>
            <w:shd w:val="clear" w:color="auto" w:fill="auto"/>
          </w:tcPr>
          <w:p w14:paraId="7E496BDF" w14:textId="77777777" w:rsidR="003F4CFF" w:rsidRPr="000215C7" w:rsidRDefault="003F4CFF" w:rsidP="003F4CFF">
            <w:pPr>
              <w:pStyle w:val="af0"/>
              <w:shd w:val="clear" w:color="auto" w:fill="FFFFFF"/>
              <w:tabs>
                <w:tab w:val="left" w:pos="696"/>
              </w:tabs>
              <w:spacing w:before="0" w:beforeAutospacing="0" w:after="0" w:afterAutospacing="0"/>
              <w:rPr>
                <w:rFonts w:eastAsia="Calibri"/>
              </w:rPr>
            </w:pPr>
            <w:r w:rsidRPr="000215C7">
              <w:rPr>
                <w:rFonts w:eastAsia="Calibri"/>
              </w:rPr>
              <w:t>9 – 26 сентября 2019 г.</w:t>
            </w:r>
          </w:p>
          <w:p w14:paraId="61BC36A8" w14:textId="77777777" w:rsidR="003F4CFF" w:rsidRPr="000215C7" w:rsidRDefault="003F4CFF" w:rsidP="003F4CFF">
            <w:pPr>
              <w:rPr>
                <w:rFonts w:ascii="Times New Roman" w:hAnsi="Times New Roman" w:cs="Times New Roman"/>
                <w:sz w:val="24"/>
                <w:szCs w:val="24"/>
              </w:rPr>
            </w:pPr>
          </w:p>
        </w:tc>
        <w:tc>
          <w:tcPr>
            <w:tcW w:w="2776" w:type="pct"/>
            <w:shd w:val="clear" w:color="auto" w:fill="auto"/>
          </w:tcPr>
          <w:p w14:paraId="0C89B38F" w14:textId="77777777" w:rsidR="003F4CFF" w:rsidRPr="00AD3536" w:rsidRDefault="003F4CFF" w:rsidP="003F4CFF">
            <w:pPr>
              <w:pStyle w:val="af0"/>
              <w:shd w:val="clear" w:color="auto" w:fill="FFFFFF"/>
              <w:tabs>
                <w:tab w:val="left" w:pos="696"/>
              </w:tabs>
              <w:spacing w:before="0" w:beforeAutospacing="0" w:after="0" w:afterAutospacing="0"/>
              <w:rPr>
                <w:rFonts w:eastAsia="Calibri"/>
                <w:iCs/>
                <w:lang w:eastAsia="en-US"/>
              </w:rPr>
            </w:pPr>
            <w:r w:rsidRPr="00AD3536">
              <w:rPr>
                <w:rFonts w:eastAsia="Calibri"/>
                <w:iCs/>
                <w:lang w:eastAsia="en-US"/>
              </w:rPr>
              <w:t>Программа повышения квалификации муниципальных служащих по теме: «Контрактная система в сфере закупок товаров, работ, услуг для обеспечения государственных и муниципальных нужд»</w:t>
            </w:r>
          </w:p>
          <w:p w14:paraId="19BA3757" w14:textId="77777777" w:rsidR="003F4CFF" w:rsidRPr="00AD3536" w:rsidRDefault="00E3307E" w:rsidP="003F4CFF">
            <w:pPr>
              <w:pStyle w:val="af0"/>
              <w:shd w:val="clear" w:color="auto" w:fill="FFFFFF"/>
              <w:tabs>
                <w:tab w:val="left" w:pos="696"/>
              </w:tabs>
              <w:spacing w:before="0" w:beforeAutospacing="0" w:after="0" w:afterAutospacing="0"/>
              <w:rPr>
                <w:rFonts w:eastAsia="Calibri"/>
                <w:iCs/>
                <w:lang w:eastAsia="en-US"/>
              </w:rPr>
            </w:pPr>
            <w:hyperlink r:id="rId49" w:history="1">
              <w:r w:rsidR="003F4CFF" w:rsidRPr="00AD3536">
                <w:rPr>
                  <w:rStyle w:val="a3"/>
                  <w:rFonts w:eastAsia="Calibri"/>
                  <w:iCs/>
                  <w:lang w:eastAsia="en-US"/>
                </w:rPr>
                <w:t>http://dou.nso.ru/news/773</w:t>
              </w:r>
            </w:hyperlink>
          </w:p>
        </w:tc>
        <w:tc>
          <w:tcPr>
            <w:tcW w:w="934" w:type="pct"/>
          </w:tcPr>
          <w:p w14:paraId="17E9B589" w14:textId="77777777" w:rsidR="003F4CFF" w:rsidRPr="00AD3536" w:rsidRDefault="003F4CFF" w:rsidP="003F4CFF">
            <w:pPr>
              <w:rPr>
                <w:rFonts w:ascii="Times New Roman" w:eastAsia="Times New Roman" w:hAnsi="Times New Roman" w:cs="Times New Roman"/>
                <w:sz w:val="24"/>
                <w:szCs w:val="24"/>
              </w:rPr>
            </w:pPr>
            <w:r w:rsidRPr="00AD3536">
              <w:rPr>
                <w:rFonts w:ascii="Times New Roman" w:eastAsia="Times New Roman" w:hAnsi="Times New Roman" w:cs="Times New Roman"/>
                <w:sz w:val="24"/>
                <w:szCs w:val="24"/>
              </w:rPr>
              <w:t>8</w:t>
            </w:r>
          </w:p>
        </w:tc>
      </w:tr>
      <w:tr w:rsidR="003F4CFF" w:rsidRPr="00C269CA" w14:paraId="41B5FF7D" w14:textId="77777777" w:rsidTr="003F4CFF">
        <w:tc>
          <w:tcPr>
            <w:tcW w:w="313" w:type="pct"/>
            <w:shd w:val="clear" w:color="auto" w:fill="auto"/>
          </w:tcPr>
          <w:p w14:paraId="448E8614" w14:textId="77777777" w:rsidR="003F4CFF" w:rsidRPr="00350166" w:rsidRDefault="003F4CFF" w:rsidP="003F4CFF">
            <w:pPr>
              <w:rPr>
                <w:rFonts w:ascii="Times New Roman" w:eastAsia="Times New Roman" w:hAnsi="Times New Roman" w:cs="Times New Roman"/>
                <w:sz w:val="24"/>
                <w:szCs w:val="24"/>
              </w:rPr>
            </w:pPr>
            <w:r w:rsidRPr="00350166">
              <w:rPr>
                <w:rFonts w:ascii="Times New Roman" w:eastAsia="Times New Roman" w:hAnsi="Times New Roman" w:cs="Times New Roman"/>
                <w:sz w:val="24"/>
                <w:szCs w:val="24"/>
              </w:rPr>
              <w:t>7.</w:t>
            </w:r>
          </w:p>
        </w:tc>
        <w:tc>
          <w:tcPr>
            <w:tcW w:w="977" w:type="pct"/>
            <w:shd w:val="clear" w:color="auto" w:fill="auto"/>
          </w:tcPr>
          <w:p w14:paraId="2ABA9531" w14:textId="77777777" w:rsidR="003F4CFF" w:rsidRPr="000215C7" w:rsidRDefault="003F4CFF" w:rsidP="003F4CFF">
            <w:pPr>
              <w:pStyle w:val="af0"/>
              <w:shd w:val="clear" w:color="auto" w:fill="FFFFFF"/>
              <w:tabs>
                <w:tab w:val="left" w:pos="696"/>
              </w:tabs>
              <w:spacing w:before="0" w:beforeAutospacing="0" w:after="0" w:afterAutospacing="0"/>
              <w:rPr>
                <w:rFonts w:eastAsia="Calibri"/>
              </w:rPr>
            </w:pPr>
            <w:r w:rsidRPr="000215C7">
              <w:rPr>
                <w:rFonts w:eastAsia="Calibri"/>
              </w:rPr>
              <w:t>25 – 29 ноября 2019 г.</w:t>
            </w:r>
          </w:p>
          <w:p w14:paraId="52FA502B" w14:textId="77777777" w:rsidR="003F4CFF" w:rsidRPr="000215C7" w:rsidRDefault="003F4CFF" w:rsidP="003F4CFF">
            <w:pPr>
              <w:rPr>
                <w:rFonts w:ascii="Times New Roman" w:hAnsi="Times New Roman" w:cs="Times New Roman"/>
                <w:sz w:val="24"/>
                <w:szCs w:val="24"/>
              </w:rPr>
            </w:pPr>
          </w:p>
        </w:tc>
        <w:tc>
          <w:tcPr>
            <w:tcW w:w="2776" w:type="pct"/>
            <w:shd w:val="clear" w:color="auto" w:fill="auto"/>
          </w:tcPr>
          <w:p w14:paraId="67E25384" w14:textId="77777777" w:rsidR="003F4CFF" w:rsidRPr="00AD3536" w:rsidRDefault="003F4CFF" w:rsidP="003F4CFF">
            <w:pPr>
              <w:pStyle w:val="af0"/>
              <w:shd w:val="clear" w:color="auto" w:fill="FFFFFF"/>
              <w:tabs>
                <w:tab w:val="left" w:pos="696"/>
              </w:tabs>
              <w:spacing w:before="0" w:beforeAutospacing="0" w:after="0" w:afterAutospacing="0"/>
              <w:rPr>
                <w:rFonts w:eastAsia="Calibri"/>
                <w:iCs/>
                <w:lang w:eastAsia="en-US"/>
              </w:rPr>
            </w:pPr>
            <w:r w:rsidRPr="00AD3536">
              <w:rPr>
                <w:rFonts w:eastAsia="Calibri"/>
                <w:iCs/>
                <w:lang w:eastAsia="en-US"/>
              </w:rPr>
              <w:t>Программа повышения квалификации муниципальных служащих по теме: «Внедрение антимонопольного комплаенса органами местного самоуправления. Внедрение стандарта развития конкуренции в Российской Федерации»</w:t>
            </w:r>
          </w:p>
          <w:p w14:paraId="70AADD3F" w14:textId="77777777" w:rsidR="003F4CFF" w:rsidRPr="00AD3536" w:rsidRDefault="00E3307E" w:rsidP="003F4CFF">
            <w:pPr>
              <w:rPr>
                <w:rFonts w:ascii="Times New Roman" w:eastAsia="Times New Roman" w:hAnsi="Times New Roman" w:cs="Times New Roman"/>
                <w:sz w:val="24"/>
                <w:szCs w:val="24"/>
              </w:rPr>
            </w:pPr>
            <w:hyperlink r:id="rId50" w:history="1">
              <w:r w:rsidR="003F4CFF" w:rsidRPr="00AD3536">
                <w:rPr>
                  <w:rFonts w:ascii="Times New Roman" w:hAnsi="Times New Roman" w:cs="Times New Roman"/>
                  <w:color w:val="0000FF"/>
                  <w:sz w:val="24"/>
                  <w:szCs w:val="24"/>
                  <w:u w:val="single"/>
                  <w:lang w:eastAsia="en-US"/>
                </w:rPr>
                <w:t>http://econom.nso.ru/news/2896</w:t>
              </w:r>
            </w:hyperlink>
          </w:p>
        </w:tc>
        <w:tc>
          <w:tcPr>
            <w:tcW w:w="934" w:type="pct"/>
          </w:tcPr>
          <w:p w14:paraId="65F6A21C" w14:textId="77777777" w:rsidR="003F4CFF" w:rsidRPr="00AD3536" w:rsidRDefault="003F4CFF" w:rsidP="003F4CFF">
            <w:pPr>
              <w:rPr>
                <w:rFonts w:ascii="Times New Roman" w:eastAsia="Times New Roman" w:hAnsi="Times New Roman" w:cs="Times New Roman"/>
                <w:sz w:val="24"/>
                <w:szCs w:val="24"/>
              </w:rPr>
            </w:pPr>
            <w:r w:rsidRPr="00AD3536">
              <w:rPr>
                <w:rFonts w:ascii="Times New Roman" w:eastAsia="Times New Roman" w:hAnsi="Times New Roman" w:cs="Times New Roman"/>
                <w:sz w:val="24"/>
                <w:szCs w:val="24"/>
              </w:rPr>
              <w:t>20</w:t>
            </w:r>
          </w:p>
        </w:tc>
      </w:tr>
      <w:tr w:rsidR="003F4CFF" w:rsidRPr="00C269CA" w14:paraId="13C97A07" w14:textId="77777777" w:rsidTr="003F4CFF">
        <w:tc>
          <w:tcPr>
            <w:tcW w:w="313" w:type="pct"/>
            <w:shd w:val="clear" w:color="auto" w:fill="auto"/>
          </w:tcPr>
          <w:p w14:paraId="7E1726CA" w14:textId="77777777" w:rsidR="003F4CFF" w:rsidRPr="00350166"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8</w:t>
            </w:r>
            <w:r>
              <w:rPr>
                <w:rFonts w:ascii="Times New Roman" w:eastAsia="Times New Roman" w:hAnsi="Times New Roman" w:cs="Times New Roman"/>
                <w:sz w:val="24"/>
                <w:szCs w:val="24"/>
              </w:rPr>
              <w:t>.</w:t>
            </w:r>
          </w:p>
        </w:tc>
        <w:tc>
          <w:tcPr>
            <w:tcW w:w="977" w:type="pct"/>
            <w:shd w:val="clear" w:color="auto" w:fill="auto"/>
          </w:tcPr>
          <w:p w14:paraId="5937FF0E" w14:textId="77777777" w:rsidR="003F4CFF" w:rsidRDefault="003F4CFF" w:rsidP="003F4CFF">
            <w:pPr>
              <w:pStyle w:val="af0"/>
              <w:shd w:val="clear" w:color="auto" w:fill="FFFFFF"/>
              <w:tabs>
                <w:tab w:val="left" w:pos="696"/>
              </w:tabs>
              <w:spacing w:before="0" w:beforeAutospacing="0" w:after="0" w:afterAutospacing="0"/>
              <w:rPr>
                <w:rFonts w:eastAsia="Calibri"/>
              </w:rPr>
            </w:pPr>
            <w:r w:rsidRPr="000215C7">
              <w:rPr>
                <w:rFonts w:eastAsia="Calibri"/>
              </w:rPr>
              <w:t xml:space="preserve">10 декабря </w:t>
            </w:r>
          </w:p>
          <w:p w14:paraId="544096AC" w14:textId="77777777" w:rsidR="003F4CFF" w:rsidRPr="000215C7" w:rsidRDefault="003F4CFF" w:rsidP="003F4CFF">
            <w:pPr>
              <w:pStyle w:val="af0"/>
              <w:shd w:val="clear" w:color="auto" w:fill="FFFFFF"/>
              <w:tabs>
                <w:tab w:val="left" w:pos="696"/>
              </w:tabs>
              <w:spacing w:before="0" w:beforeAutospacing="0" w:after="0" w:afterAutospacing="0"/>
              <w:rPr>
                <w:rFonts w:eastAsia="Calibri"/>
              </w:rPr>
            </w:pPr>
            <w:r>
              <w:rPr>
                <w:rFonts w:eastAsia="Calibri"/>
              </w:rPr>
              <w:t>2019 г.</w:t>
            </w:r>
          </w:p>
        </w:tc>
        <w:tc>
          <w:tcPr>
            <w:tcW w:w="2776" w:type="pct"/>
            <w:shd w:val="clear" w:color="auto" w:fill="auto"/>
          </w:tcPr>
          <w:p w14:paraId="4CE1357A" w14:textId="77777777" w:rsidR="003F4CFF" w:rsidRPr="00AD3536" w:rsidRDefault="003F4CFF" w:rsidP="003F4CFF">
            <w:pPr>
              <w:rPr>
                <w:rFonts w:ascii="Times New Roman" w:hAnsi="Times New Roman" w:cs="Times New Roman"/>
                <w:sz w:val="24"/>
                <w:szCs w:val="24"/>
              </w:rPr>
            </w:pPr>
            <w:r w:rsidRPr="00AD3536">
              <w:rPr>
                <w:rFonts w:ascii="Times New Roman" w:hAnsi="Times New Roman" w:cs="Times New Roman"/>
                <w:sz w:val="24"/>
                <w:szCs w:val="24"/>
              </w:rPr>
              <w:t>Семинар-совещание с представителями муниципальных районов и городских округов Новосибирской области</w:t>
            </w:r>
          </w:p>
          <w:p w14:paraId="76CD5FDC" w14:textId="77777777" w:rsidR="003F4CFF" w:rsidRPr="00AD3536" w:rsidRDefault="003F4CFF" w:rsidP="003F4CFF">
            <w:pPr>
              <w:pStyle w:val="af0"/>
              <w:shd w:val="clear" w:color="auto" w:fill="FFFFFF"/>
              <w:tabs>
                <w:tab w:val="left" w:pos="696"/>
              </w:tabs>
              <w:spacing w:before="0" w:beforeAutospacing="0" w:after="0" w:afterAutospacing="0"/>
              <w:rPr>
                <w:rFonts w:eastAsia="Calibri"/>
                <w:iCs/>
                <w:lang w:eastAsia="en-US"/>
              </w:rPr>
            </w:pPr>
            <w:r>
              <w:rPr>
                <w:rFonts w:eastAsia="Calibri"/>
              </w:rPr>
              <w:t>«</w:t>
            </w:r>
            <w:r w:rsidRPr="000215C7">
              <w:rPr>
                <w:rFonts w:eastAsia="Calibri"/>
              </w:rPr>
              <w:t>Предоставление органами местного самоуправления муниципальных услуг в сфере строительства»</w:t>
            </w:r>
          </w:p>
        </w:tc>
        <w:tc>
          <w:tcPr>
            <w:tcW w:w="934" w:type="pct"/>
          </w:tcPr>
          <w:p w14:paraId="3FE37342" w14:textId="77777777" w:rsidR="003F4CFF" w:rsidRPr="00AD3536"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3F4CFF" w:rsidRPr="00C269CA" w14:paraId="2753BA6A" w14:textId="77777777" w:rsidTr="003F4CFF">
        <w:tc>
          <w:tcPr>
            <w:tcW w:w="313" w:type="pct"/>
            <w:shd w:val="clear" w:color="auto" w:fill="auto"/>
          </w:tcPr>
          <w:p w14:paraId="335B2A39" w14:textId="77777777" w:rsidR="003F4CFF" w:rsidRPr="00350166" w:rsidRDefault="003F4CFF" w:rsidP="003F4CFF">
            <w:pPr>
              <w:rPr>
                <w:rFonts w:ascii="Times New Roman" w:eastAsia="Times New Roman" w:hAnsi="Times New Roman" w:cs="Times New Roman"/>
                <w:sz w:val="24"/>
                <w:szCs w:val="24"/>
                <w:lang w:val="en-US"/>
              </w:rPr>
            </w:pPr>
            <w:r w:rsidRPr="00350166">
              <w:rPr>
                <w:rFonts w:ascii="Times New Roman" w:eastAsia="Times New Roman" w:hAnsi="Times New Roman" w:cs="Times New Roman"/>
                <w:sz w:val="24"/>
                <w:szCs w:val="24"/>
                <w:lang w:val="en-US"/>
              </w:rPr>
              <w:t>9.</w:t>
            </w:r>
          </w:p>
        </w:tc>
        <w:tc>
          <w:tcPr>
            <w:tcW w:w="977" w:type="pct"/>
            <w:shd w:val="clear" w:color="auto" w:fill="auto"/>
          </w:tcPr>
          <w:p w14:paraId="4B6F91B7" w14:textId="77777777" w:rsidR="003F4CFF" w:rsidRDefault="003F4CFF" w:rsidP="003F4CFF">
            <w:pPr>
              <w:pStyle w:val="af0"/>
              <w:shd w:val="clear" w:color="auto" w:fill="FFFFFF"/>
              <w:tabs>
                <w:tab w:val="left" w:pos="696"/>
              </w:tabs>
              <w:spacing w:before="0" w:beforeAutospacing="0" w:after="0" w:afterAutospacing="0"/>
              <w:rPr>
                <w:rFonts w:eastAsia="Calibri"/>
              </w:rPr>
            </w:pPr>
            <w:r w:rsidRPr="000215C7">
              <w:rPr>
                <w:rFonts w:eastAsia="Calibri"/>
              </w:rPr>
              <w:t>12 декабря</w:t>
            </w:r>
          </w:p>
          <w:p w14:paraId="1235FE7D" w14:textId="77777777" w:rsidR="003F4CFF" w:rsidRPr="000215C7" w:rsidRDefault="003F4CFF" w:rsidP="003F4CFF">
            <w:pPr>
              <w:pStyle w:val="af0"/>
              <w:shd w:val="clear" w:color="auto" w:fill="FFFFFF"/>
              <w:tabs>
                <w:tab w:val="left" w:pos="696"/>
              </w:tabs>
              <w:spacing w:before="0" w:beforeAutospacing="0" w:after="0" w:afterAutospacing="0"/>
              <w:rPr>
                <w:rFonts w:eastAsia="Calibri"/>
              </w:rPr>
            </w:pPr>
            <w:r w:rsidRPr="000215C7">
              <w:rPr>
                <w:rFonts w:eastAsia="Calibri"/>
              </w:rPr>
              <w:t xml:space="preserve">2019 </w:t>
            </w:r>
            <w:r>
              <w:rPr>
                <w:rFonts w:eastAsia="Calibri"/>
              </w:rPr>
              <w:t>г.</w:t>
            </w:r>
          </w:p>
        </w:tc>
        <w:tc>
          <w:tcPr>
            <w:tcW w:w="2776" w:type="pct"/>
            <w:shd w:val="clear" w:color="auto" w:fill="auto"/>
          </w:tcPr>
          <w:p w14:paraId="3C70AF31" w14:textId="77777777" w:rsidR="003F4CFF" w:rsidRPr="00FC1499" w:rsidRDefault="003F4CFF" w:rsidP="003F4CFF">
            <w:pPr>
              <w:rPr>
                <w:rFonts w:ascii="Times New Roman" w:hAnsi="Times New Roman" w:cs="Times New Roman"/>
                <w:sz w:val="24"/>
                <w:szCs w:val="24"/>
              </w:rPr>
            </w:pPr>
            <w:r w:rsidRPr="00AD3536">
              <w:rPr>
                <w:rFonts w:ascii="Times New Roman" w:hAnsi="Times New Roman" w:cs="Times New Roman"/>
                <w:sz w:val="24"/>
                <w:szCs w:val="24"/>
              </w:rPr>
              <w:t>Семинар-совещание с представителями муниципальных районов и городских округо</w:t>
            </w:r>
            <w:r>
              <w:rPr>
                <w:rFonts w:ascii="Times New Roman" w:hAnsi="Times New Roman" w:cs="Times New Roman"/>
                <w:sz w:val="24"/>
                <w:szCs w:val="24"/>
              </w:rPr>
              <w:t xml:space="preserve">в </w:t>
            </w:r>
            <w:r>
              <w:rPr>
                <w:rFonts w:ascii="Times New Roman" w:hAnsi="Times New Roman" w:cs="Times New Roman"/>
                <w:sz w:val="24"/>
                <w:szCs w:val="24"/>
              </w:rPr>
              <w:lastRenderedPageBreak/>
              <w:t xml:space="preserve">Новосибирской области </w:t>
            </w:r>
            <w:r w:rsidRPr="00FC1499">
              <w:rPr>
                <w:rFonts w:ascii="Times New Roman" w:hAnsi="Times New Roman" w:cs="Times New Roman"/>
                <w:sz w:val="24"/>
                <w:szCs w:val="24"/>
              </w:rPr>
              <w:t>«Снос объектов капитального строительства»</w:t>
            </w:r>
          </w:p>
        </w:tc>
        <w:tc>
          <w:tcPr>
            <w:tcW w:w="934" w:type="pct"/>
          </w:tcPr>
          <w:p w14:paraId="49FDC3F7" w14:textId="77777777" w:rsidR="003F4CFF" w:rsidRPr="00AD3536" w:rsidRDefault="003F4CFF" w:rsidP="003F4C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w:t>
            </w:r>
          </w:p>
        </w:tc>
      </w:tr>
    </w:tbl>
    <w:p w14:paraId="52234C9F" w14:textId="77777777" w:rsidR="003F4CFF" w:rsidRPr="00C269CA" w:rsidRDefault="003F4CFF" w:rsidP="003F4CFF">
      <w:pPr>
        <w:autoSpaceDE w:val="0"/>
        <w:autoSpaceDN w:val="0"/>
        <w:adjustRightInd w:val="0"/>
        <w:ind w:firstLine="709"/>
        <w:contextualSpacing/>
        <w:jc w:val="both"/>
        <w:rPr>
          <w:rFonts w:ascii="Times New Roman" w:eastAsia="Times New Roman" w:hAnsi="Times New Roman" w:cs="Times New Roman"/>
          <w:sz w:val="28"/>
          <w:szCs w:val="28"/>
        </w:rPr>
      </w:pPr>
    </w:p>
    <w:p w14:paraId="2F3F60FB" w14:textId="77777777" w:rsidR="003F4CFF" w:rsidRPr="00CD0B7C" w:rsidRDefault="003F4CFF" w:rsidP="003F4CFF">
      <w:pPr>
        <w:pStyle w:val="ac"/>
        <w:ind w:firstLine="567"/>
        <w:jc w:val="both"/>
        <w:outlineLvl w:val="2"/>
        <w:rPr>
          <w:rFonts w:ascii="Times New Roman" w:hAnsi="Times New Roman"/>
          <w:b/>
        </w:rPr>
      </w:pPr>
      <w:bookmarkStart w:id="43" w:name="_Toc31983971"/>
      <w:bookmarkStart w:id="44" w:name="_Toc32240311"/>
      <w:bookmarkStart w:id="45" w:name="_Toc32421896"/>
      <w:bookmarkStart w:id="46" w:name="_Toc34129175"/>
      <w:r w:rsidRPr="00CD0B7C">
        <w:rPr>
          <w:rFonts w:ascii="Times New Roman" w:hAnsi="Times New Roman"/>
          <w:b/>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w:t>
      </w:r>
      <w:r>
        <w:rPr>
          <w:rFonts w:ascii="Times New Roman" w:hAnsi="Times New Roman"/>
          <w:b/>
        </w:rPr>
        <w:t>сматривающего систему поощрения</w:t>
      </w:r>
      <w:bookmarkEnd w:id="43"/>
      <w:bookmarkEnd w:id="44"/>
      <w:bookmarkEnd w:id="45"/>
      <w:bookmarkEnd w:id="46"/>
    </w:p>
    <w:p w14:paraId="2D784245" w14:textId="77777777" w:rsidR="003F4CFF" w:rsidRPr="00F966E6" w:rsidRDefault="003F4CFF" w:rsidP="003F4CFF">
      <w:pPr>
        <w:ind w:firstLine="567"/>
        <w:jc w:val="both"/>
        <w:rPr>
          <w:rFonts w:ascii="Times New Roman" w:eastAsia="Times New Roman" w:hAnsi="Times New Roman" w:cs="Times New Roman"/>
          <w:sz w:val="28"/>
          <w:szCs w:val="28"/>
        </w:rPr>
      </w:pPr>
      <w:r w:rsidRPr="00F73CD9">
        <w:rPr>
          <w:rFonts w:ascii="Times New Roman" w:hAnsi="Times New Roman" w:cs="Times New Roman"/>
          <w:sz w:val="28"/>
          <w:szCs w:val="28"/>
        </w:rPr>
        <w:t>Приказом министерства экономического ра</w:t>
      </w:r>
      <w:r w:rsidR="003A77D5">
        <w:rPr>
          <w:rFonts w:ascii="Times New Roman" w:hAnsi="Times New Roman" w:cs="Times New Roman"/>
          <w:sz w:val="28"/>
          <w:szCs w:val="28"/>
        </w:rPr>
        <w:t>звития Новосибирской области от </w:t>
      </w:r>
      <w:r w:rsidRPr="00F73CD9">
        <w:rPr>
          <w:rFonts w:ascii="Times New Roman" w:hAnsi="Times New Roman" w:cs="Times New Roman"/>
          <w:sz w:val="28"/>
          <w:szCs w:val="28"/>
        </w:rPr>
        <w:t xml:space="preserve">27.06.2019 № 69 «О формировании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 </w:t>
      </w:r>
      <w:r>
        <w:rPr>
          <w:rFonts w:ascii="Times New Roman" w:hAnsi="Times New Roman" w:cs="Times New Roman"/>
          <w:sz w:val="28"/>
          <w:szCs w:val="28"/>
        </w:rPr>
        <w:t>утверждена Методика</w:t>
      </w:r>
      <w:r w:rsidRPr="00F73CD9">
        <w:rPr>
          <w:rFonts w:ascii="Times New Roman" w:hAnsi="Times New Roman" w:cs="Times New Roman"/>
          <w:sz w:val="28"/>
          <w:szCs w:val="28"/>
        </w:rPr>
        <w:t xml:space="preserve"> формирования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w:t>
      </w:r>
      <w:r w:rsidR="00F966E6">
        <w:rPr>
          <w:rFonts w:ascii="Times New Roman" w:hAnsi="Times New Roman" w:cs="Times New Roman"/>
          <w:sz w:val="28"/>
          <w:szCs w:val="28"/>
        </w:rPr>
        <w:t xml:space="preserve"> (</w:t>
      </w:r>
      <w:hyperlink r:id="rId51" w:history="1">
        <w:r w:rsidR="00F966E6" w:rsidRPr="00F966E6">
          <w:rPr>
            <w:rFonts w:ascii="Times New Roman" w:eastAsia="Times New Roman" w:hAnsi="Times New Roman" w:cs="Times New Roman"/>
            <w:color w:val="0000FF"/>
            <w:sz w:val="28"/>
            <w:szCs w:val="28"/>
            <w:u w:val="single"/>
          </w:rPr>
          <w:t>http://econom.nso.ru/page/1221</w:t>
        </w:r>
      </w:hyperlink>
      <w:r w:rsidR="00F966E6" w:rsidRPr="000A11D1">
        <w:rPr>
          <w:rFonts w:ascii="Times New Roman" w:eastAsia="Times New Roman" w:hAnsi="Times New Roman" w:cs="Times New Roman"/>
          <w:color w:val="0000FF"/>
          <w:sz w:val="28"/>
          <w:szCs w:val="28"/>
          <w:u w:val="single"/>
        </w:rPr>
        <w:t>)</w:t>
      </w:r>
      <w:r w:rsidR="00F41875" w:rsidRPr="000A11D1">
        <w:rPr>
          <w:rFonts w:ascii="Times New Roman" w:hAnsi="Times New Roman" w:cs="Times New Roman"/>
          <w:sz w:val="28"/>
          <w:szCs w:val="28"/>
        </w:rPr>
        <w:t xml:space="preserve"> (Приложение </w:t>
      </w:r>
      <w:r w:rsidR="000A11D1" w:rsidRPr="000A11D1">
        <w:rPr>
          <w:rFonts w:ascii="Times New Roman" w:hAnsi="Times New Roman" w:cs="Times New Roman"/>
          <w:sz w:val="28"/>
          <w:szCs w:val="28"/>
        </w:rPr>
        <w:t>8</w:t>
      </w:r>
      <w:r w:rsidR="00F41875" w:rsidRPr="000A11D1">
        <w:rPr>
          <w:rFonts w:ascii="Times New Roman" w:hAnsi="Times New Roman" w:cs="Times New Roman"/>
          <w:sz w:val="28"/>
          <w:szCs w:val="28"/>
        </w:rPr>
        <w:t>)</w:t>
      </w:r>
      <w:r w:rsidRPr="000A11D1">
        <w:rPr>
          <w:rFonts w:ascii="Times New Roman" w:hAnsi="Times New Roman" w:cs="Times New Roman"/>
          <w:sz w:val="28"/>
          <w:szCs w:val="28"/>
        </w:rPr>
        <w:t>.</w:t>
      </w:r>
      <w:r w:rsidRPr="00F966E6">
        <w:rPr>
          <w:rFonts w:ascii="Times New Roman" w:eastAsia="Times New Roman" w:hAnsi="Times New Roman" w:cs="Times New Roman"/>
          <w:color w:val="0000FF"/>
          <w:sz w:val="28"/>
          <w:szCs w:val="28"/>
          <w:u w:val="single"/>
        </w:rPr>
        <w:t xml:space="preserve"> </w:t>
      </w:r>
    </w:p>
    <w:p w14:paraId="799316AC" w14:textId="77777777" w:rsidR="003F4CFF" w:rsidRPr="00443417"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443417">
        <w:rPr>
          <w:rFonts w:ascii="Times New Roman" w:eastAsia="Times New Roman" w:hAnsi="Times New Roman" w:cs="Times New Roman"/>
          <w:sz w:val="28"/>
          <w:szCs w:val="28"/>
        </w:rPr>
        <w:t xml:space="preserve">Для расчета рейтинга используются 32 индикатора, из них </w:t>
      </w:r>
      <w:r>
        <w:rPr>
          <w:rFonts w:ascii="Times New Roman" w:eastAsia="Times New Roman" w:hAnsi="Times New Roman" w:cs="Times New Roman"/>
          <w:sz w:val="28"/>
          <w:szCs w:val="28"/>
        </w:rPr>
        <w:t>17 </w:t>
      </w:r>
      <w:r w:rsidRPr="00F73CD9">
        <w:rPr>
          <w:rFonts w:ascii="Times New Roman" w:eastAsia="Times New Roman" w:hAnsi="Times New Roman" w:cs="Times New Roman"/>
          <w:sz w:val="28"/>
          <w:szCs w:val="28"/>
        </w:rPr>
        <w:t>индикаторов по содействию развитию конкуренции</w:t>
      </w:r>
      <w:r>
        <w:rPr>
          <w:rFonts w:ascii="Times New Roman" w:eastAsia="Times New Roman" w:hAnsi="Times New Roman" w:cs="Times New Roman"/>
          <w:sz w:val="28"/>
          <w:szCs w:val="28"/>
        </w:rPr>
        <w:t xml:space="preserve">: </w:t>
      </w:r>
      <w:r w:rsidRPr="00443417">
        <w:rPr>
          <w:rFonts w:ascii="Times New Roman" w:hAnsi="Times New Roman" w:cs="Times New Roman"/>
          <w:sz w:val="28"/>
          <w:szCs w:val="28"/>
        </w:rPr>
        <w:t>наличие плана мероприятий («дорожной карты») по содействию развитию конкуренции в муниципальном образовании</w:t>
      </w:r>
      <w:r w:rsidRPr="00443417">
        <w:rPr>
          <w:rFonts w:ascii="Times New Roman" w:eastAsia="Times New Roman" w:hAnsi="Times New Roman" w:cs="Times New Roman"/>
          <w:sz w:val="28"/>
          <w:szCs w:val="28"/>
        </w:rPr>
        <w:t xml:space="preserve">; </w:t>
      </w:r>
      <w:r w:rsidRPr="00443417">
        <w:rPr>
          <w:rFonts w:ascii="Times New Roman" w:hAnsi="Times New Roman" w:cs="Times New Roman"/>
          <w:sz w:val="28"/>
          <w:szCs w:val="28"/>
        </w:rPr>
        <w:t xml:space="preserve">наличие реестра хозяйствующих субъектов, доля участия муниципального образования в которых составляет 50 и более процентов; сокращение количества хозяйствующих субъектов, доля участия муниципальных образований в которых составляет 50 и более процентов; увеличение прозрачности закупок </w:t>
      </w:r>
      <w:r>
        <w:rPr>
          <w:rFonts w:ascii="Times New Roman" w:hAnsi="Times New Roman" w:cs="Times New Roman"/>
          <w:sz w:val="28"/>
          <w:szCs w:val="28"/>
        </w:rPr>
        <w:t>и др</w:t>
      </w:r>
      <w:r w:rsidRPr="00443417">
        <w:rPr>
          <w:rFonts w:ascii="Times New Roman" w:eastAsia="Times New Roman" w:hAnsi="Times New Roman" w:cs="Times New Roman"/>
          <w:sz w:val="28"/>
          <w:szCs w:val="28"/>
        </w:rPr>
        <w:t>.</w:t>
      </w:r>
    </w:p>
    <w:p w14:paraId="1AD9BAE0" w14:textId="77777777" w:rsidR="003F4CFF" w:rsidRPr="00443417"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443417">
        <w:rPr>
          <w:rFonts w:ascii="Times New Roman" w:eastAsia="Times New Roman" w:hAnsi="Times New Roman" w:cs="Times New Roman"/>
          <w:sz w:val="28"/>
          <w:szCs w:val="28"/>
        </w:rPr>
        <w:t xml:space="preserve">В 2019 году сформирован рейтинг </w:t>
      </w:r>
      <w:r>
        <w:rPr>
          <w:rFonts w:ascii="Times New Roman" w:eastAsia="Times New Roman" w:hAnsi="Times New Roman" w:cs="Times New Roman"/>
          <w:sz w:val="28"/>
          <w:szCs w:val="28"/>
        </w:rPr>
        <w:t>муниципальных образований за 2018 </w:t>
      </w:r>
      <w:r w:rsidRPr="00443417">
        <w:rPr>
          <w:rFonts w:ascii="Times New Roman" w:eastAsia="Times New Roman" w:hAnsi="Times New Roman" w:cs="Times New Roman"/>
          <w:sz w:val="28"/>
          <w:szCs w:val="28"/>
        </w:rPr>
        <w:t xml:space="preserve">год. </w:t>
      </w:r>
    </w:p>
    <w:p w14:paraId="2DE2D68D" w14:textId="77777777" w:rsidR="003F4CFF" w:rsidRPr="00443417" w:rsidRDefault="003F4CFF" w:rsidP="00D02EBE">
      <w:pPr>
        <w:ind w:firstLine="567"/>
        <w:jc w:val="both"/>
        <w:rPr>
          <w:rFonts w:ascii="Times New Roman" w:eastAsia="Times New Roman" w:hAnsi="Times New Roman" w:cs="Times New Roman"/>
          <w:sz w:val="28"/>
          <w:szCs w:val="28"/>
        </w:rPr>
      </w:pPr>
      <w:r w:rsidRPr="00443417">
        <w:rPr>
          <w:rFonts w:ascii="Times New Roman" w:eastAsia="Times New Roman" w:hAnsi="Times New Roman" w:cs="Times New Roman"/>
          <w:sz w:val="28"/>
          <w:szCs w:val="28"/>
        </w:rPr>
        <w:t xml:space="preserve">Информация о рейтинге </w:t>
      </w:r>
      <w:r>
        <w:rPr>
          <w:rFonts w:ascii="Times New Roman" w:eastAsia="Times New Roman" w:hAnsi="Times New Roman" w:cs="Times New Roman"/>
          <w:sz w:val="28"/>
          <w:szCs w:val="28"/>
        </w:rPr>
        <w:t>муниципальных образований</w:t>
      </w:r>
      <w:r w:rsidRPr="00443417">
        <w:rPr>
          <w:rFonts w:ascii="Times New Roman" w:eastAsia="Times New Roman" w:hAnsi="Times New Roman" w:cs="Times New Roman"/>
          <w:sz w:val="28"/>
          <w:szCs w:val="28"/>
        </w:rPr>
        <w:t xml:space="preserve"> размещена на официальном сайте министерств</w:t>
      </w:r>
      <w:r>
        <w:rPr>
          <w:rFonts w:ascii="Times New Roman" w:eastAsia="Times New Roman" w:hAnsi="Times New Roman" w:cs="Times New Roman"/>
          <w:sz w:val="28"/>
          <w:szCs w:val="28"/>
        </w:rPr>
        <w:t>а экономического развития и И</w:t>
      </w:r>
      <w:r w:rsidRPr="00443417">
        <w:rPr>
          <w:rFonts w:ascii="Times New Roman" w:eastAsia="Times New Roman" w:hAnsi="Times New Roman" w:cs="Times New Roman"/>
          <w:sz w:val="28"/>
          <w:szCs w:val="28"/>
        </w:rPr>
        <w:t>нвестиционном портале</w:t>
      </w:r>
      <w:r>
        <w:rPr>
          <w:rFonts w:ascii="Times New Roman" w:eastAsia="Times New Roman" w:hAnsi="Times New Roman" w:cs="Times New Roman"/>
          <w:sz w:val="28"/>
          <w:szCs w:val="28"/>
        </w:rPr>
        <w:t xml:space="preserve"> Новосибирской области </w:t>
      </w:r>
      <w:r w:rsidRPr="00443417">
        <w:rPr>
          <w:rFonts w:ascii="Times New Roman" w:eastAsia="Times New Roman" w:hAnsi="Times New Roman" w:cs="Times New Roman"/>
          <w:sz w:val="28"/>
          <w:szCs w:val="28"/>
        </w:rPr>
        <w:t>(</w:t>
      </w:r>
      <w:hyperlink r:id="rId52" w:history="1">
        <w:r w:rsidRPr="00443417">
          <w:rPr>
            <w:rFonts w:ascii="Times New Roman" w:eastAsia="Times New Roman" w:hAnsi="Times New Roman" w:cs="Times New Roman"/>
            <w:color w:val="0000FF"/>
            <w:sz w:val="28"/>
            <w:szCs w:val="28"/>
            <w:u w:val="single"/>
          </w:rPr>
          <w:t>http://www.econom.nso.ru/page/1221</w:t>
        </w:r>
      </w:hyperlink>
      <w:r w:rsidR="00D02EBE">
        <w:rPr>
          <w:rFonts w:ascii="Times New Roman" w:eastAsia="Times New Roman" w:hAnsi="Times New Roman" w:cs="Times New Roman"/>
          <w:sz w:val="28"/>
          <w:szCs w:val="28"/>
        </w:rPr>
        <w:t xml:space="preserve">; </w:t>
      </w:r>
      <w:hyperlink r:id="rId53" w:history="1">
        <w:r w:rsidRPr="00443417">
          <w:rPr>
            <w:rFonts w:ascii="Times New Roman" w:eastAsia="Times New Roman" w:hAnsi="Times New Roman" w:cs="Times New Roman"/>
            <w:color w:val="0000FF"/>
            <w:sz w:val="28"/>
            <w:szCs w:val="28"/>
            <w:u w:val="single"/>
          </w:rPr>
          <w:t>http://invest.nso.ru/ru/content/metodicheskie-materialy</w:t>
        </w:r>
      </w:hyperlink>
      <w:r w:rsidRPr="00443417">
        <w:rPr>
          <w:rFonts w:ascii="Times New Roman" w:eastAsia="Times New Roman" w:hAnsi="Times New Roman" w:cs="Times New Roman"/>
          <w:sz w:val="28"/>
          <w:szCs w:val="28"/>
        </w:rPr>
        <w:t>).</w:t>
      </w:r>
    </w:p>
    <w:p w14:paraId="724DBB62" w14:textId="1C4EC20B" w:rsidR="003F4CFF" w:rsidRPr="00547020"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443417">
        <w:rPr>
          <w:rFonts w:ascii="Times New Roman" w:eastAsia="Times New Roman" w:hAnsi="Times New Roman" w:cs="Times New Roman"/>
          <w:sz w:val="28"/>
          <w:szCs w:val="28"/>
        </w:rPr>
        <w:t>Постановлением Губернатора Новосибирской области от 19.08.2019 № 213 «О формировании системы поощрений по результатам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w:t>
      </w:r>
      <w:r>
        <w:rPr>
          <w:rFonts w:ascii="Times New Roman" w:eastAsia="Times New Roman" w:hAnsi="Times New Roman" w:cs="Times New Roman"/>
          <w:sz w:val="28"/>
          <w:szCs w:val="28"/>
        </w:rPr>
        <w:t xml:space="preserve"> </w:t>
      </w:r>
      <w:r w:rsidRPr="00443417">
        <w:rPr>
          <w:rFonts w:ascii="Times New Roman" w:eastAsia="Times New Roman" w:hAnsi="Times New Roman" w:cs="Times New Roman"/>
          <w:sz w:val="28"/>
          <w:szCs w:val="28"/>
        </w:rPr>
        <w:t xml:space="preserve">установлена система поощрений по результатам рейтинга </w:t>
      </w:r>
      <w:r w:rsidRPr="00547020">
        <w:rPr>
          <w:rFonts w:ascii="Times New Roman" w:eastAsia="Times New Roman" w:hAnsi="Times New Roman" w:cs="Times New Roman"/>
          <w:sz w:val="28"/>
          <w:szCs w:val="28"/>
        </w:rPr>
        <w:t>(Приложение </w:t>
      </w:r>
      <w:r w:rsidR="000A11D1">
        <w:rPr>
          <w:rFonts w:ascii="Times New Roman" w:eastAsia="Times New Roman" w:hAnsi="Times New Roman" w:cs="Times New Roman"/>
          <w:sz w:val="28"/>
          <w:szCs w:val="28"/>
        </w:rPr>
        <w:t>9</w:t>
      </w:r>
      <w:r w:rsidRPr="00547020">
        <w:rPr>
          <w:rFonts w:ascii="Times New Roman" w:eastAsia="Times New Roman" w:hAnsi="Times New Roman" w:cs="Times New Roman"/>
          <w:sz w:val="28"/>
          <w:szCs w:val="28"/>
        </w:rPr>
        <w:t>)</w:t>
      </w:r>
      <w:r w:rsidR="003A77D5" w:rsidRPr="00547020">
        <w:rPr>
          <w:rFonts w:ascii="Times New Roman" w:eastAsia="Times New Roman" w:hAnsi="Times New Roman" w:cs="Times New Roman"/>
          <w:sz w:val="28"/>
          <w:szCs w:val="28"/>
        </w:rPr>
        <w:t xml:space="preserve"> </w:t>
      </w:r>
      <w:r w:rsidRPr="00547020">
        <w:rPr>
          <w:rFonts w:ascii="Times New Roman" w:eastAsia="Times New Roman" w:hAnsi="Times New Roman" w:cs="Times New Roman"/>
          <w:sz w:val="28"/>
          <w:szCs w:val="28"/>
        </w:rPr>
        <w:t>(</w:t>
      </w:r>
      <w:hyperlink r:id="rId54" w:history="1">
        <w:r w:rsidRPr="00547020">
          <w:rPr>
            <w:rFonts w:ascii="Times New Roman" w:eastAsia="Times New Roman" w:hAnsi="Times New Roman" w:cs="Times New Roman"/>
            <w:color w:val="0000FF"/>
            <w:sz w:val="28"/>
            <w:szCs w:val="28"/>
            <w:u w:val="single"/>
          </w:rPr>
          <w:t>http://econom.nso.ru/page/1221</w:t>
        </w:r>
      </w:hyperlink>
      <w:r w:rsidRPr="00547020">
        <w:rPr>
          <w:rFonts w:ascii="Times New Roman" w:eastAsia="Times New Roman" w:hAnsi="Times New Roman" w:cs="Times New Roman"/>
          <w:sz w:val="28"/>
          <w:szCs w:val="28"/>
        </w:rPr>
        <w:t xml:space="preserve">; </w:t>
      </w:r>
      <w:hyperlink r:id="rId55" w:history="1">
        <w:r w:rsidRPr="00547020">
          <w:rPr>
            <w:rFonts w:ascii="Times New Roman" w:eastAsia="Times New Roman" w:hAnsi="Times New Roman" w:cs="Times New Roman"/>
            <w:color w:val="0000FF"/>
            <w:sz w:val="28"/>
            <w:szCs w:val="28"/>
            <w:u w:val="single"/>
          </w:rPr>
          <w:t>http://invest.nso.ru/ru/page/51</w:t>
        </w:r>
      </w:hyperlink>
      <w:r w:rsidRPr="00547020">
        <w:rPr>
          <w:rFonts w:ascii="Times New Roman" w:eastAsia="Times New Roman" w:hAnsi="Times New Roman" w:cs="Times New Roman"/>
          <w:sz w:val="28"/>
          <w:szCs w:val="28"/>
        </w:rPr>
        <w:t>).</w:t>
      </w:r>
    </w:p>
    <w:p w14:paraId="2B1A887A" w14:textId="77777777" w:rsidR="003F4CFF" w:rsidRPr="00547020"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547020">
        <w:rPr>
          <w:rFonts w:ascii="Times New Roman" w:eastAsia="Times New Roman" w:hAnsi="Times New Roman" w:cs="Times New Roman"/>
          <w:sz w:val="28"/>
          <w:szCs w:val="28"/>
        </w:rPr>
        <w:t>По результатам рейтинга муниципальные районы за места с 1 по 5 и городские округа за места с 1 по 2 награждаются Почетными грамотами Губернатора Новосибирской области.</w:t>
      </w:r>
    </w:p>
    <w:p w14:paraId="33F27D1F" w14:textId="77777777" w:rsidR="003F4CFF" w:rsidRPr="00443417" w:rsidRDefault="003A77D5" w:rsidP="003F4CFF">
      <w:pPr>
        <w:autoSpaceDE w:val="0"/>
        <w:autoSpaceDN w:val="0"/>
        <w:adjustRightInd w:val="0"/>
        <w:ind w:firstLine="567"/>
        <w:jc w:val="both"/>
        <w:rPr>
          <w:rFonts w:ascii="Times New Roman" w:eastAsia="Times New Roman" w:hAnsi="Times New Roman" w:cs="Times New Roman"/>
          <w:sz w:val="28"/>
          <w:szCs w:val="28"/>
        </w:rPr>
      </w:pPr>
      <w:r w:rsidRPr="00547020">
        <w:rPr>
          <w:rFonts w:ascii="Times New Roman" w:eastAsia="Times New Roman" w:hAnsi="Times New Roman" w:cs="Times New Roman"/>
          <w:sz w:val="28"/>
          <w:szCs w:val="28"/>
        </w:rPr>
        <w:t>В соответствии с р</w:t>
      </w:r>
      <w:r w:rsidR="003F4CFF" w:rsidRPr="00547020">
        <w:rPr>
          <w:rFonts w:ascii="Times New Roman" w:eastAsia="Times New Roman" w:hAnsi="Times New Roman" w:cs="Times New Roman"/>
          <w:sz w:val="28"/>
          <w:szCs w:val="28"/>
        </w:rPr>
        <w:t xml:space="preserve">аспоряжением Губернатора Новосибирской области от 13.09.2018 № 1043-рк «О награждении Почетной грамотой Губернатора Новосибирской области» (Приложение </w:t>
      </w:r>
      <w:r w:rsidR="000A11D1">
        <w:rPr>
          <w:rFonts w:ascii="Times New Roman" w:eastAsia="Times New Roman" w:hAnsi="Times New Roman" w:cs="Times New Roman"/>
          <w:sz w:val="28"/>
          <w:szCs w:val="28"/>
        </w:rPr>
        <w:t>10</w:t>
      </w:r>
      <w:r w:rsidR="003F4CFF" w:rsidRPr="00547020">
        <w:rPr>
          <w:rFonts w:ascii="Times New Roman" w:eastAsia="Times New Roman" w:hAnsi="Times New Roman" w:cs="Times New Roman"/>
          <w:sz w:val="28"/>
          <w:szCs w:val="28"/>
        </w:rPr>
        <w:t>)</w:t>
      </w:r>
      <w:r w:rsidR="003F4CFF" w:rsidRPr="00443417">
        <w:rPr>
          <w:rFonts w:ascii="Times New Roman" w:eastAsia="Times New Roman" w:hAnsi="Times New Roman" w:cs="Times New Roman"/>
          <w:sz w:val="28"/>
          <w:szCs w:val="28"/>
        </w:rPr>
        <w:t xml:space="preserve"> за достижение высоких результатов в рейтинге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 </w:t>
      </w:r>
      <w:r w:rsidR="003F4CFF" w:rsidRPr="00443417">
        <w:rPr>
          <w:rFonts w:ascii="Times New Roman" w:eastAsia="Times New Roman" w:hAnsi="Times New Roman" w:cs="Times New Roman"/>
          <w:sz w:val="28"/>
          <w:szCs w:val="28"/>
        </w:rPr>
        <w:lastRenderedPageBreak/>
        <w:t>по итогам 2018 года награждены Почетной грамотой Губернатора Новосибирской области город Бердск, рабочий поселок Кольцово, Венгеровский, Карасукский, Купинский, Мошковский и Тогучинский районы Новосибирской области.</w:t>
      </w:r>
    </w:p>
    <w:p w14:paraId="78B6EF11" w14:textId="77777777" w:rsidR="003F4CFF" w:rsidRPr="00443417" w:rsidRDefault="003F4CFF" w:rsidP="003F4CFF">
      <w:pPr>
        <w:ind w:firstLine="567"/>
        <w:jc w:val="both"/>
        <w:rPr>
          <w:sz w:val="28"/>
          <w:szCs w:val="28"/>
        </w:rPr>
      </w:pPr>
    </w:p>
    <w:p w14:paraId="1CFE5318" w14:textId="77777777" w:rsidR="003F4CFF" w:rsidRPr="00CD0B7C" w:rsidRDefault="003F4CFF" w:rsidP="003F4CFF">
      <w:pPr>
        <w:pStyle w:val="ac"/>
        <w:ind w:firstLine="567"/>
        <w:jc w:val="both"/>
        <w:outlineLvl w:val="2"/>
        <w:rPr>
          <w:rFonts w:ascii="Times New Roman" w:hAnsi="Times New Roman"/>
          <w:b/>
        </w:rPr>
      </w:pPr>
      <w:bookmarkStart w:id="47" w:name="_Toc31983972"/>
      <w:bookmarkStart w:id="48" w:name="_Toc32240312"/>
      <w:bookmarkStart w:id="49" w:name="_Toc32421897"/>
      <w:bookmarkStart w:id="50" w:name="_Toc34129176"/>
      <w:r w:rsidRPr="00CD0B7C">
        <w:rPr>
          <w:rFonts w:ascii="Times New Roman" w:hAnsi="Times New Roman"/>
          <w:b/>
        </w:rPr>
        <w:t>2.2.3. Формирование коллегиального органа при высшем должностном лице субъекта Российской Федерации по вопросам содействия развитию конкуренции</w:t>
      </w:r>
      <w:bookmarkEnd w:id="47"/>
      <w:bookmarkEnd w:id="48"/>
      <w:bookmarkEnd w:id="49"/>
      <w:bookmarkEnd w:id="50"/>
    </w:p>
    <w:p w14:paraId="63C67331" w14:textId="77777777" w:rsidR="003F4CFF" w:rsidRPr="00D6787F" w:rsidRDefault="003F4CFF" w:rsidP="003F4CFF">
      <w:pPr>
        <w:ind w:firstLine="567"/>
        <w:jc w:val="both"/>
        <w:rPr>
          <w:rFonts w:ascii="Times New Roman" w:eastAsia="Times New Roman" w:hAnsi="Times New Roman" w:cs="Times New Roman"/>
          <w:sz w:val="28"/>
          <w:szCs w:val="28"/>
        </w:rPr>
      </w:pPr>
      <w:r w:rsidRPr="00D6787F">
        <w:rPr>
          <w:rFonts w:ascii="Times New Roman" w:eastAsia="Times New Roman" w:hAnsi="Times New Roman" w:cs="Times New Roman"/>
          <w:sz w:val="28"/>
          <w:szCs w:val="28"/>
        </w:rPr>
        <w:t>Совещательным органом при высшем должностном лице Новосибирской области по вопросам содействия развитию конкуренции определен Совет по содействию конкуренции в Новосибирской области</w:t>
      </w:r>
      <w:r>
        <w:rPr>
          <w:rFonts w:ascii="Times New Roman" w:eastAsia="Times New Roman" w:hAnsi="Times New Roman" w:cs="Times New Roman"/>
          <w:sz w:val="28"/>
          <w:szCs w:val="28"/>
        </w:rPr>
        <w:t xml:space="preserve"> (далее – </w:t>
      </w:r>
      <w:r w:rsidRPr="00D6787F">
        <w:rPr>
          <w:rFonts w:ascii="Times New Roman" w:eastAsia="Times New Roman" w:hAnsi="Times New Roman" w:cs="Times New Roman"/>
          <w:sz w:val="28"/>
          <w:szCs w:val="28"/>
        </w:rPr>
        <w:t>Совет).</w:t>
      </w:r>
    </w:p>
    <w:p w14:paraId="4F3E16D6" w14:textId="77777777" w:rsidR="003F4CFF" w:rsidRPr="00055EAF" w:rsidRDefault="003F4CFF" w:rsidP="003F4CFF">
      <w:pPr>
        <w:ind w:firstLine="567"/>
        <w:jc w:val="both"/>
        <w:rPr>
          <w:rFonts w:ascii="Times New Roman" w:eastAsia="Times New Roman" w:hAnsi="Times New Roman" w:cs="Times New Roman"/>
          <w:sz w:val="28"/>
          <w:szCs w:val="28"/>
        </w:rPr>
      </w:pPr>
      <w:r w:rsidRPr="00055EAF">
        <w:rPr>
          <w:rFonts w:ascii="Times New Roman" w:eastAsia="Times New Roman" w:hAnsi="Times New Roman" w:cs="Times New Roman"/>
          <w:sz w:val="28"/>
          <w:szCs w:val="28"/>
        </w:rPr>
        <w:t>Постановлением Губер</w:t>
      </w:r>
      <w:r w:rsidR="003A77D5">
        <w:rPr>
          <w:rFonts w:ascii="Times New Roman" w:eastAsia="Times New Roman" w:hAnsi="Times New Roman" w:cs="Times New Roman"/>
          <w:sz w:val="28"/>
          <w:szCs w:val="28"/>
        </w:rPr>
        <w:t>натора Новосибирской области от </w:t>
      </w:r>
      <w:r w:rsidRPr="00055EAF">
        <w:rPr>
          <w:rFonts w:ascii="Times New Roman" w:eastAsia="Times New Roman" w:hAnsi="Times New Roman" w:cs="Times New Roman"/>
          <w:sz w:val="28"/>
          <w:szCs w:val="28"/>
        </w:rPr>
        <w:t xml:space="preserve">09.10.2015 № 210 «О Совете по содействию развитию конкуренции в Новосибирской области» образован Совет, утверждены Положение о Совете и его </w:t>
      </w:r>
      <w:r w:rsidRPr="00547020">
        <w:rPr>
          <w:rFonts w:ascii="Times New Roman" w:eastAsia="Times New Roman" w:hAnsi="Times New Roman" w:cs="Times New Roman"/>
          <w:sz w:val="28"/>
          <w:szCs w:val="28"/>
        </w:rPr>
        <w:t xml:space="preserve">состав (Приложение </w:t>
      </w:r>
      <w:r w:rsidR="000A11D1">
        <w:rPr>
          <w:rFonts w:ascii="Times New Roman" w:eastAsia="Times New Roman" w:hAnsi="Times New Roman" w:cs="Times New Roman"/>
          <w:sz w:val="28"/>
          <w:szCs w:val="28"/>
        </w:rPr>
        <w:t>11</w:t>
      </w:r>
      <w:r w:rsidRPr="00547020">
        <w:rPr>
          <w:rFonts w:ascii="Times New Roman" w:eastAsia="Times New Roman" w:hAnsi="Times New Roman" w:cs="Times New Roman"/>
          <w:sz w:val="28"/>
          <w:szCs w:val="28"/>
        </w:rPr>
        <w:t>).</w:t>
      </w:r>
    </w:p>
    <w:p w14:paraId="1BFEE922" w14:textId="77777777" w:rsidR="003F4CFF" w:rsidRPr="00055EAF"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055EAF">
        <w:rPr>
          <w:rFonts w:ascii="Times New Roman" w:eastAsia="Times New Roman" w:hAnsi="Times New Roman" w:cs="Times New Roman"/>
          <w:sz w:val="28"/>
          <w:szCs w:val="28"/>
        </w:rPr>
        <w:t>Документы размещены на официальном сайте министерства экономического развития Новосибирской области (</w:t>
      </w:r>
      <w:hyperlink r:id="rId56" w:history="1">
        <w:r w:rsidRPr="00055EAF">
          <w:rPr>
            <w:rFonts w:ascii="Times New Roman" w:eastAsia="Times New Roman" w:hAnsi="Times New Roman" w:cs="Times New Roman"/>
            <w:color w:val="0000FF"/>
            <w:sz w:val="28"/>
            <w:szCs w:val="28"/>
            <w:u w:val="single"/>
          </w:rPr>
          <w:t>http://www.econom.nso.ru/page/460</w:t>
        </w:r>
      </w:hyperlink>
      <w:r w:rsidRPr="00055EAF">
        <w:rPr>
          <w:rFonts w:ascii="Times New Roman" w:eastAsia="Times New Roman" w:hAnsi="Times New Roman" w:cs="Times New Roman"/>
          <w:sz w:val="28"/>
          <w:szCs w:val="28"/>
        </w:rPr>
        <w:t>) и Инвестиционном портале Новосибирской области (</w:t>
      </w:r>
      <w:hyperlink r:id="rId57" w:history="1">
        <w:r w:rsidRPr="00055EAF">
          <w:rPr>
            <w:rFonts w:ascii="Times New Roman" w:eastAsia="Times New Roman" w:hAnsi="Times New Roman" w:cs="Times New Roman"/>
            <w:color w:val="0000FF"/>
            <w:sz w:val="28"/>
            <w:szCs w:val="28"/>
            <w:u w:val="single"/>
          </w:rPr>
          <w:t>http://invest.nso.ru/ru/page/51</w:t>
        </w:r>
      </w:hyperlink>
      <w:r w:rsidRPr="00055EAF">
        <w:rPr>
          <w:rFonts w:ascii="Times New Roman" w:eastAsia="Times New Roman" w:hAnsi="Times New Roman" w:cs="Times New Roman"/>
          <w:sz w:val="28"/>
          <w:szCs w:val="28"/>
        </w:rPr>
        <w:t>).</w:t>
      </w:r>
    </w:p>
    <w:p w14:paraId="1D428B94"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Состав Совета сформирован в соответст</w:t>
      </w:r>
      <w:r>
        <w:rPr>
          <w:rFonts w:ascii="Times New Roman" w:eastAsia="Times New Roman" w:hAnsi="Times New Roman" w:cs="Times New Roman"/>
          <w:sz w:val="28"/>
          <w:szCs w:val="28"/>
        </w:rPr>
        <w:t>вии с пунктами 14-16 Стандарта.</w:t>
      </w:r>
    </w:p>
    <w:p w14:paraId="1CF17885" w14:textId="77777777" w:rsidR="003F4CFF" w:rsidRPr="00BD2220" w:rsidRDefault="003F4CFF" w:rsidP="003F4CFF">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BD2220">
        <w:rPr>
          <w:rFonts w:ascii="Times New Roman" w:eastAsia="Times New Roman" w:hAnsi="Times New Roman" w:cs="Times New Roman"/>
          <w:sz w:val="28"/>
          <w:szCs w:val="28"/>
        </w:rPr>
        <w:t xml:space="preserve">состав </w:t>
      </w:r>
      <w:r>
        <w:rPr>
          <w:rFonts w:ascii="Times New Roman" w:eastAsia="Times New Roman" w:hAnsi="Times New Roman" w:cs="Times New Roman"/>
          <w:sz w:val="28"/>
          <w:szCs w:val="28"/>
        </w:rPr>
        <w:t xml:space="preserve">Совета </w:t>
      </w:r>
      <w:r w:rsidRPr="00BD2220">
        <w:rPr>
          <w:rFonts w:ascii="Times New Roman" w:eastAsia="Times New Roman" w:hAnsi="Times New Roman" w:cs="Times New Roman"/>
          <w:sz w:val="28"/>
          <w:szCs w:val="28"/>
        </w:rPr>
        <w:t>включены:</w:t>
      </w:r>
    </w:p>
    <w:p w14:paraId="76A9524A"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руководители уполномоченного органа по внедрению Стандарта, органов исполнительной власти Новосибирской области, в функции которых входит реализация мероприятий, направленных на развитие конкуренции в регионе</w:t>
      </w:r>
      <w:r>
        <w:rPr>
          <w:rFonts w:ascii="Times New Roman" w:eastAsia="Times New Roman" w:hAnsi="Times New Roman" w:cs="Times New Roman"/>
          <w:sz w:val="28"/>
          <w:szCs w:val="28"/>
        </w:rPr>
        <w:t>:</w:t>
      </w:r>
      <w:r w:rsidRPr="00BD2220">
        <w:rPr>
          <w:rFonts w:ascii="Times New Roman" w:eastAsia="Times New Roman" w:hAnsi="Times New Roman" w:cs="Times New Roman"/>
          <w:sz w:val="28"/>
          <w:szCs w:val="28"/>
        </w:rPr>
        <w:t xml:space="preserve"> (министерство экономического развития Новосибирской области, министерство строительства Новосибирской области, министерство здравоохранения Новосибирской области, министерство жилищно-коммунального хозяйства и энергетики Новосибирской области, министерство промышленности, торговли и развития предпринимательства Новосибирской области, министерство транспорта и дорожного хозяйства Новосибирской области, </w:t>
      </w:r>
      <w:r w:rsidR="008D2319">
        <w:rPr>
          <w:rFonts w:ascii="Times New Roman" w:eastAsia="Times New Roman" w:hAnsi="Times New Roman" w:cs="Times New Roman"/>
          <w:sz w:val="28"/>
          <w:szCs w:val="28"/>
        </w:rPr>
        <w:t xml:space="preserve">министерство </w:t>
      </w:r>
      <w:r w:rsidRPr="00BD2220">
        <w:rPr>
          <w:rFonts w:ascii="Times New Roman" w:eastAsia="Times New Roman" w:hAnsi="Times New Roman" w:cs="Times New Roman"/>
          <w:sz w:val="28"/>
          <w:szCs w:val="28"/>
        </w:rPr>
        <w:t xml:space="preserve">науки и инновационной политики Новосибирской области, министерство социального развития новосибирской области, министерство культуры Новосибирской области, министерство сельского хозяйства Новосибирской области, министерство физической культуры и спорта Новосибирской области, департамент по тарифам Новосибирской области, департамент информатизации и развития телекоммуникационных технологий Новосибирской области, департамент имущества и земельных отношений Новосибирской области, государственная жилищная инспекция Новосибирской области, контрольное управление Новосибирской области); </w:t>
      </w:r>
    </w:p>
    <w:p w14:paraId="58C6E821"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представители Совета муниципальных образований, органов местного самоуправления (Глава Карасукского района Новосибирской области, председатель экспертного Совета муниципальных образований Новосибирской области, мэр города Новосибирска, Глава администрации рабочего поселка Кольцово);</w:t>
      </w:r>
    </w:p>
    <w:p w14:paraId="61C40E95"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 xml:space="preserve">представители общественных организаций, представляющих интересы предпринимателей и потребителей товаров, работ и услуг (президент Союза </w:t>
      </w:r>
      <w:r w:rsidRPr="00BD2220">
        <w:rPr>
          <w:rFonts w:ascii="Times New Roman" w:eastAsia="Times New Roman" w:hAnsi="Times New Roman" w:cs="Times New Roman"/>
          <w:sz w:val="28"/>
          <w:szCs w:val="28"/>
        </w:rPr>
        <w:lastRenderedPageBreak/>
        <w:t>«Новосибирская торгово-промышленная палата», президент Новосибирской городской торгово-промышленной палаты, председатель правления некоммерческого партнерства «Новосибирская ассоциация туристских организаций», президент саморегулируемой организации «Транспортный Союз Сибири», председатель Новосибирского областного отделения общероссийской общественной организации «Деловая Россия», председатель Новосибирского регионального отделения межрегиональной общественной организации «Ассоциация молодых предпринимателей России», председатель Совета предпринимателей Октябрьского района города Новосибирска, директор Общества с ограниченной ответственност</w:t>
      </w:r>
      <w:r>
        <w:rPr>
          <w:rFonts w:ascii="Times New Roman" w:eastAsia="Times New Roman" w:hAnsi="Times New Roman" w:cs="Times New Roman"/>
          <w:sz w:val="28"/>
          <w:szCs w:val="28"/>
        </w:rPr>
        <w:t>ью «Бизнес-форум» (Опора России</w:t>
      </w:r>
      <w:r w:rsidRPr="00BD2220">
        <w:rPr>
          <w:rFonts w:ascii="Times New Roman" w:eastAsia="Times New Roman" w:hAnsi="Times New Roman" w:cs="Times New Roman"/>
          <w:sz w:val="28"/>
          <w:szCs w:val="28"/>
        </w:rPr>
        <w:t>);</w:t>
      </w:r>
    </w:p>
    <w:p w14:paraId="397046BE"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представители научных, исследовательских, проектных, аналитических организаций и технологических платформ (директор автономной некоммерческой организации «Институт социальных систем и технологий», руководитель представительства Автономной некоммерческой организации «Агентство стратегических инициатив по продвижению новых проектов» в Сибирском федеральном округе, заведующая научно-исследовательской лаборатории «Центр конкурентной политики и экономики», профессор кафедры «Менеджмент» Сибирского института управления - филиала Российской академии народного хозяйства и государственной службы при Президенте Российской Федерации, доктор экономических наук, ведущий научный сотрудник Института экономики и организации промышленного производства Сибирского отделения Российской академии наук);</w:t>
      </w:r>
    </w:p>
    <w:p w14:paraId="2356ADFC"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 (заместитель директора общества с ограниченной ответственностью «ДСО Консалтинг», член Межотраслевого совета потребителей по вопросам деятельности субъектов естественных монополий при Губернаторе Новосибирской области);</w:t>
      </w:r>
    </w:p>
    <w:p w14:paraId="4F5D508C"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представители объединений сельскохозяйственных товаропроизводителей, переработчиков сельскохозяйственной продукции, крестьянских (фермерских) хозяйств и сельскохозяйственных кооперативов (председатель Совета Новосибирской областной общественной организации «Ассоциация руководителей сельскохозяйственных предприятий»);</w:t>
      </w:r>
    </w:p>
    <w:p w14:paraId="49E7E6F2"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представители объединений, действующих в интересах сферы рыбного хозяйства (председатель совета региональной общественной организации по разведению водных биоресурсов «Аквакультура»);</w:t>
      </w:r>
    </w:p>
    <w:p w14:paraId="6093B4D1"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 (председатель Новосибирского областного союза организаций профсоюзов «Федерация профсоюзов Новосибирской области», главный врач государственного бюджетного учреждения здравоохранения Новосибирской области «Городская клиническая больница скорой медицинской помощи № 2»);</w:t>
      </w:r>
    </w:p>
    <w:p w14:paraId="1D8CAD24"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lastRenderedPageBreak/>
        <w:t>представители организаций, действующих в интересах независимых директоров (член Ассоциации профессиональных директоров Ассоциации независимых директоров, президент общественной организации «Межрегиональная ассоциация руководителей предприятий»);</w:t>
      </w:r>
    </w:p>
    <w:p w14:paraId="38DAF12E"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эксперты и специалисты иных направлений (конструкторы, инженеры, изобретатели, инноваторы, специалисты в области программного обеспечения, информационно-коммуникационных технологий, медицинских и биотехнологий, нанотехнологий, альтернативной энергетики и энергоэффективности, нового материаловедения, представители научно-технологического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 (директор кластера биомедицины и биотехнологий открытого акционерного общества «Технопарк Новосибирского Академгородка», первый заместитель генерального директора акционерного общества «Новосибирскэнергосбыт»);</w:t>
      </w:r>
    </w:p>
    <w:p w14:paraId="426346E8"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заместитель руководителя Управления Федеральной антимонопольной службы по Новосибирской области;</w:t>
      </w:r>
    </w:p>
    <w:p w14:paraId="75A3F9E9"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Уполномоченный по защите прав предпринимателей в Новосибирской области;</w:t>
      </w:r>
    </w:p>
    <w:p w14:paraId="2EB7525C"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Уполномоченный по правам человека в Новосибирской области;</w:t>
      </w:r>
    </w:p>
    <w:p w14:paraId="49DF70DB"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начальник отдела защиты прав потребителей Управления Федеральной службы по надзору в сфере защиты прав потребителей и благополучия человека по Новосибирской области;</w:t>
      </w:r>
    </w:p>
    <w:p w14:paraId="1BF96ECE"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руководитель Управления Федеральной налоговой службы по Новосибирской области;</w:t>
      </w:r>
    </w:p>
    <w:p w14:paraId="4B1CA83B"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заместитель руководителя Территориального органа Федеральной службы государственной статистики по Новосибирской области;</w:t>
      </w:r>
    </w:p>
    <w:p w14:paraId="256EBFA5" w14:textId="77777777" w:rsidR="003F4CFF" w:rsidRPr="00BD2220" w:rsidRDefault="003F4CFF" w:rsidP="003F4CFF">
      <w:pPr>
        <w:ind w:firstLine="567"/>
        <w:jc w:val="both"/>
        <w:rPr>
          <w:rFonts w:ascii="Times New Roman" w:eastAsia="Times New Roman" w:hAnsi="Times New Roman" w:cs="Times New Roman"/>
          <w:sz w:val="28"/>
          <w:szCs w:val="28"/>
        </w:rPr>
      </w:pPr>
      <w:r w:rsidRPr="00BD2220">
        <w:rPr>
          <w:rFonts w:ascii="Times New Roman" w:eastAsia="Times New Roman" w:hAnsi="Times New Roman" w:cs="Times New Roman"/>
          <w:sz w:val="28"/>
          <w:szCs w:val="28"/>
        </w:rPr>
        <w:t>первый заместитель начальника Сибирского главного управления Банка России.</w:t>
      </w:r>
    </w:p>
    <w:p w14:paraId="24BAD91C" w14:textId="77777777" w:rsidR="003F4CFF" w:rsidRPr="00055EAF" w:rsidRDefault="003F4CFF" w:rsidP="003F4CFF">
      <w:pPr>
        <w:ind w:firstLine="567"/>
        <w:jc w:val="both"/>
        <w:rPr>
          <w:rFonts w:ascii="Times New Roman" w:eastAsia="Times New Roman" w:hAnsi="Times New Roman" w:cs="Times New Roman"/>
          <w:sz w:val="28"/>
          <w:szCs w:val="28"/>
        </w:rPr>
      </w:pPr>
      <w:r w:rsidRPr="00055EAF">
        <w:rPr>
          <w:rFonts w:ascii="Times New Roman" w:eastAsia="Times New Roman" w:hAnsi="Times New Roman" w:cs="Times New Roman"/>
          <w:sz w:val="28"/>
          <w:szCs w:val="28"/>
        </w:rPr>
        <w:t xml:space="preserve">Основная задача Совета состоит в вовлечении в деятельность по содействию развития конкуренции в Новосибирской области представителей предпринимательского сообщества и налаживании диалога между бизнесом и органами власти Новосибирской области. </w:t>
      </w:r>
    </w:p>
    <w:p w14:paraId="2F27DB8B" w14:textId="77777777" w:rsidR="003F4CFF" w:rsidRPr="00055EAF" w:rsidRDefault="003F4CFF" w:rsidP="003F4CFF">
      <w:pPr>
        <w:ind w:firstLine="567"/>
        <w:jc w:val="both"/>
        <w:rPr>
          <w:rFonts w:ascii="Times New Roman" w:eastAsia="Times New Roman" w:hAnsi="Times New Roman" w:cs="Times New Roman"/>
          <w:sz w:val="28"/>
          <w:szCs w:val="28"/>
        </w:rPr>
      </w:pPr>
      <w:r w:rsidRPr="003A06B5">
        <w:rPr>
          <w:rFonts w:ascii="Times New Roman" w:eastAsia="Times New Roman" w:hAnsi="Times New Roman" w:cs="Times New Roman"/>
          <w:sz w:val="28"/>
          <w:szCs w:val="28"/>
        </w:rPr>
        <w:t xml:space="preserve">В 2019 году было проведено </w:t>
      </w:r>
      <w:r w:rsidRPr="00FC1499">
        <w:rPr>
          <w:rFonts w:ascii="Times New Roman" w:eastAsia="Times New Roman" w:hAnsi="Times New Roman" w:cs="Times New Roman"/>
          <w:sz w:val="28"/>
          <w:szCs w:val="28"/>
        </w:rPr>
        <w:t>4 заседания</w:t>
      </w:r>
      <w:r w:rsidRPr="003A06B5">
        <w:rPr>
          <w:rFonts w:ascii="Times New Roman" w:eastAsia="Times New Roman" w:hAnsi="Times New Roman" w:cs="Times New Roman"/>
          <w:sz w:val="28"/>
          <w:szCs w:val="28"/>
        </w:rPr>
        <w:t xml:space="preserve"> Со</w:t>
      </w:r>
      <w:r>
        <w:rPr>
          <w:rFonts w:ascii="Times New Roman" w:eastAsia="Times New Roman" w:hAnsi="Times New Roman" w:cs="Times New Roman"/>
          <w:sz w:val="28"/>
          <w:szCs w:val="28"/>
        </w:rPr>
        <w:t>вета, рассмотрено 10 вопросов.</w:t>
      </w:r>
    </w:p>
    <w:p w14:paraId="271E2B34" w14:textId="77777777" w:rsidR="003F4CFF" w:rsidRPr="00055EAF"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055EAF">
        <w:rPr>
          <w:rFonts w:ascii="Times New Roman" w:eastAsia="Times New Roman" w:hAnsi="Times New Roman" w:cs="Times New Roman"/>
          <w:sz w:val="28"/>
          <w:szCs w:val="28"/>
        </w:rPr>
        <w:t>Информация о работе Совета размещена на официальном сайте министерства экономического развития Новосибирской области (</w:t>
      </w:r>
      <w:hyperlink r:id="rId58" w:history="1">
        <w:r w:rsidRPr="00055EAF">
          <w:rPr>
            <w:rFonts w:ascii="Times New Roman" w:eastAsia="Times New Roman" w:hAnsi="Times New Roman" w:cs="Times New Roman"/>
            <w:color w:val="0000FF"/>
            <w:sz w:val="28"/>
            <w:szCs w:val="28"/>
            <w:u w:val="single"/>
          </w:rPr>
          <w:t>http://www.econom.nso.ru/page/606</w:t>
        </w:r>
      </w:hyperlink>
      <w:r w:rsidRPr="00055EAF">
        <w:rPr>
          <w:rFonts w:ascii="Times New Roman" w:eastAsia="Times New Roman" w:hAnsi="Times New Roman" w:cs="Times New Roman"/>
          <w:sz w:val="28"/>
          <w:szCs w:val="28"/>
        </w:rPr>
        <w:t>) и Инвестиционном портале Новосибирской области (</w:t>
      </w:r>
      <w:hyperlink r:id="rId59" w:history="1">
        <w:r w:rsidRPr="00055EAF">
          <w:rPr>
            <w:rFonts w:ascii="Times New Roman" w:eastAsia="Times New Roman" w:hAnsi="Times New Roman" w:cs="Times New Roman"/>
            <w:color w:val="0000FF"/>
            <w:sz w:val="28"/>
            <w:szCs w:val="28"/>
            <w:u w:val="single"/>
          </w:rPr>
          <w:t>http://invest.nso.ru/ru/page/59</w:t>
        </w:r>
      </w:hyperlink>
      <w:r w:rsidR="003A77D5">
        <w:rPr>
          <w:rFonts w:ascii="Times New Roman" w:eastAsia="Times New Roman" w:hAnsi="Times New Roman" w:cs="Times New Roman"/>
          <w:sz w:val="28"/>
          <w:szCs w:val="28"/>
        </w:rPr>
        <w:t>).</w:t>
      </w:r>
    </w:p>
    <w:p w14:paraId="4B6C3D36" w14:textId="77777777" w:rsidR="003F4CFF" w:rsidRPr="00D6787F" w:rsidRDefault="003F4CFF" w:rsidP="003F4CFF">
      <w:pPr>
        <w:rPr>
          <w:rFonts w:ascii="Times New Roman" w:hAnsi="Times New Roman" w:cs="Times New Roman"/>
          <w:sz w:val="28"/>
          <w:szCs w:val="28"/>
          <w:highlight w:val="yellow"/>
        </w:rPr>
      </w:pPr>
      <w:bookmarkStart w:id="51" w:name="page23"/>
      <w:bookmarkEnd w:id="51"/>
    </w:p>
    <w:p w14:paraId="127519DC" w14:textId="77777777" w:rsidR="003F4CFF" w:rsidRPr="00F732D1" w:rsidRDefault="003F4CFF" w:rsidP="003F4CFF">
      <w:pPr>
        <w:pStyle w:val="ac"/>
        <w:ind w:firstLine="567"/>
        <w:jc w:val="both"/>
        <w:outlineLvl w:val="1"/>
        <w:rPr>
          <w:rFonts w:ascii="Times New Roman" w:hAnsi="Times New Roman"/>
          <w:b/>
        </w:rPr>
      </w:pPr>
      <w:bookmarkStart w:id="52" w:name="_Toc31983973"/>
      <w:bookmarkStart w:id="53" w:name="_Toc32240313"/>
      <w:bookmarkStart w:id="54" w:name="_Toc32421898"/>
      <w:bookmarkStart w:id="55" w:name="_Toc34129177"/>
      <w:r w:rsidRPr="00F732D1">
        <w:rPr>
          <w:rFonts w:ascii="Times New Roman" w:hAnsi="Times New Roman"/>
          <w:b/>
        </w:rPr>
        <w:t>2.3. Результаты ежегодного мониторинга состояния и развития конкуренции на товарных рынках субъекта Российской Федерации</w:t>
      </w:r>
      <w:bookmarkEnd w:id="52"/>
      <w:bookmarkEnd w:id="53"/>
      <w:bookmarkEnd w:id="54"/>
      <w:bookmarkEnd w:id="55"/>
    </w:p>
    <w:p w14:paraId="316DCD36" w14:textId="77777777" w:rsidR="003F4CFF" w:rsidRPr="00D867DA"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D867DA">
        <w:rPr>
          <w:rFonts w:ascii="Times New Roman" w:eastAsia="Times New Roman" w:hAnsi="Times New Roman" w:cs="Times New Roman"/>
          <w:sz w:val="28"/>
          <w:szCs w:val="28"/>
        </w:rPr>
        <w:t>Министерством экономического развития Новосибирской области организовано проведение ежегодного мониторинга состояния и развития конкурентной среды на рынках товаров, работ и услуг Новосибирской области.</w:t>
      </w:r>
    </w:p>
    <w:p w14:paraId="5C66649C" w14:textId="77777777" w:rsidR="003F4CFF" w:rsidRPr="00D867DA"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D867DA">
        <w:rPr>
          <w:rFonts w:ascii="Times New Roman" w:eastAsia="Times New Roman" w:hAnsi="Times New Roman" w:cs="Times New Roman"/>
          <w:sz w:val="28"/>
          <w:szCs w:val="28"/>
        </w:rPr>
        <w:lastRenderedPageBreak/>
        <w:t xml:space="preserve">Проведение </w:t>
      </w:r>
      <w:r>
        <w:rPr>
          <w:rFonts w:ascii="Times New Roman" w:eastAsia="Times New Roman" w:hAnsi="Times New Roman" w:cs="Times New Roman"/>
          <w:sz w:val="28"/>
          <w:szCs w:val="28"/>
        </w:rPr>
        <w:t xml:space="preserve">мониторинга </w:t>
      </w:r>
      <w:r w:rsidRPr="00D867DA">
        <w:rPr>
          <w:rFonts w:ascii="Times New Roman" w:eastAsia="Times New Roman" w:hAnsi="Times New Roman" w:cs="Times New Roman"/>
          <w:sz w:val="28"/>
          <w:szCs w:val="28"/>
        </w:rPr>
        <w:t xml:space="preserve">состояния и развития конкурентной среды на рынках товаров, работ и услуг Новосибирской области осуществляется в рамках реализации мероприятий государственной программы Новосибирской области «Стимулирование инвестиционной и инновационной активности в Новосибирской области», утвержденной Постановлением Правительства Новосибирской области от 01.04.2015 № 126-п (далее – государственная программа). </w:t>
      </w:r>
    </w:p>
    <w:p w14:paraId="5F2EA643" w14:textId="77777777" w:rsidR="003F4CFF" w:rsidRPr="00D867DA" w:rsidRDefault="003F4CFF" w:rsidP="003F4CFF">
      <w:pPr>
        <w:autoSpaceDE w:val="0"/>
        <w:autoSpaceDN w:val="0"/>
        <w:adjustRightInd w:val="0"/>
        <w:ind w:firstLine="567"/>
        <w:jc w:val="both"/>
        <w:rPr>
          <w:rFonts w:ascii="Times New Roman" w:hAnsi="Times New Roman" w:cs="Times New Roman"/>
          <w:sz w:val="28"/>
          <w:szCs w:val="28"/>
          <w:lang w:eastAsia="en-US"/>
        </w:rPr>
      </w:pPr>
      <w:r w:rsidRPr="00D867DA">
        <w:rPr>
          <w:rFonts w:ascii="Times New Roman" w:hAnsi="Times New Roman" w:cs="Times New Roman"/>
          <w:sz w:val="28"/>
          <w:szCs w:val="28"/>
          <w:lang w:eastAsia="en-US"/>
        </w:rPr>
        <w:t xml:space="preserve">Приказом </w:t>
      </w:r>
      <w:r w:rsidR="0068609F">
        <w:rPr>
          <w:rFonts w:ascii="Times New Roman" w:hAnsi="Times New Roman" w:cs="Times New Roman"/>
          <w:sz w:val="28"/>
          <w:szCs w:val="28"/>
          <w:lang w:eastAsia="en-US"/>
        </w:rPr>
        <w:t>министерства экономического развития</w:t>
      </w:r>
      <w:r w:rsidR="0068609F" w:rsidRPr="00D867DA">
        <w:rPr>
          <w:rFonts w:ascii="Times New Roman" w:hAnsi="Times New Roman" w:cs="Times New Roman"/>
          <w:sz w:val="28"/>
          <w:szCs w:val="28"/>
          <w:lang w:eastAsia="en-US"/>
        </w:rPr>
        <w:t xml:space="preserve"> </w:t>
      </w:r>
      <w:r w:rsidRPr="00D867DA">
        <w:rPr>
          <w:rFonts w:ascii="Times New Roman" w:hAnsi="Times New Roman" w:cs="Times New Roman"/>
          <w:sz w:val="28"/>
          <w:szCs w:val="28"/>
          <w:lang w:eastAsia="en-US"/>
        </w:rPr>
        <w:t>Новосибирской области от 12.04.2019 № 48</w:t>
      </w:r>
      <w:r w:rsidRPr="00D867DA">
        <w:rPr>
          <w:rFonts w:ascii="Times New Roman" w:eastAsia="Times New Roman" w:hAnsi="Times New Roman" w:cs="Times New Roman"/>
          <w:sz w:val="28"/>
          <w:szCs w:val="28"/>
        </w:rPr>
        <w:t xml:space="preserve"> утвержден </w:t>
      </w:r>
      <w:r w:rsidRPr="00D867DA">
        <w:rPr>
          <w:rFonts w:ascii="Times New Roman" w:hAnsi="Times New Roman" w:cs="Times New Roman"/>
          <w:sz w:val="28"/>
          <w:szCs w:val="28"/>
          <w:lang w:eastAsia="en-US"/>
        </w:rPr>
        <w:t>план реализации мероприятий государственной программы на 2019 год и плановый период 2020 и 2021 годов.</w:t>
      </w:r>
    </w:p>
    <w:p w14:paraId="1BAD4045" w14:textId="77777777" w:rsidR="003F4CFF" w:rsidRPr="00D867DA"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D867DA">
        <w:rPr>
          <w:rFonts w:ascii="Times New Roman" w:eastAsia="Times New Roman" w:hAnsi="Times New Roman" w:cs="Times New Roman"/>
          <w:sz w:val="28"/>
          <w:szCs w:val="28"/>
        </w:rPr>
        <w:t xml:space="preserve">Источником финансирования проведения </w:t>
      </w:r>
      <w:r w:rsidRPr="00D867DA">
        <w:rPr>
          <w:rFonts w:ascii="Times New Roman" w:hAnsi="Times New Roman" w:cs="Times New Roman"/>
          <w:sz w:val="28"/>
          <w:szCs w:val="28"/>
          <w:lang w:eastAsia="en-US"/>
        </w:rPr>
        <w:t xml:space="preserve">мониторинга состояния и развития конкурентной среды на рынках товаров, работ и услуг Новосибирской области </w:t>
      </w:r>
      <w:r w:rsidRPr="00D867DA">
        <w:rPr>
          <w:rFonts w:ascii="Times New Roman" w:eastAsia="Times New Roman" w:hAnsi="Times New Roman" w:cs="Times New Roman"/>
          <w:sz w:val="28"/>
          <w:szCs w:val="28"/>
        </w:rPr>
        <w:t>является областной бюджет Новосибирской области.</w:t>
      </w:r>
    </w:p>
    <w:p w14:paraId="60874811" w14:textId="77777777" w:rsidR="003F4CFF" w:rsidRPr="00D867DA" w:rsidRDefault="003F4CFF" w:rsidP="003F4CFF">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2019 году м</w:t>
      </w:r>
      <w:r w:rsidRPr="00D867DA">
        <w:rPr>
          <w:rFonts w:ascii="Times New Roman" w:eastAsia="Times New Roman" w:hAnsi="Times New Roman" w:cs="Times New Roman"/>
          <w:sz w:val="28"/>
          <w:szCs w:val="28"/>
        </w:rPr>
        <w:t>инистерство</w:t>
      </w:r>
      <w:r>
        <w:rPr>
          <w:rFonts w:ascii="Times New Roman" w:eastAsia="Times New Roman" w:hAnsi="Times New Roman" w:cs="Times New Roman"/>
          <w:sz w:val="28"/>
          <w:szCs w:val="28"/>
        </w:rPr>
        <w:t>м</w:t>
      </w:r>
      <w:r w:rsidRPr="00D867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экономического развития Новосибирской области </w:t>
      </w:r>
      <w:r w:rsidRPr="00D867DA">
        <w:rPr>
          <w:rFonts w:ascii="Times New Roman" w:eastAsia="Times New Roman" w:hAnsi="Times New Roman" w:cs="Times New Roman"/>
          <w:sz w:val="28"/>
          <w:szCs w:val="28"/>
        </w:rPr>
        <w:t>пров</w:t>
      </w:r>
      <w:r>
        <w:rPr>
          <w:rFonts w:ascii="Times New Roman" w:eastAsia="Times New Roman" w:hAnsi="Times New Roman" w:cs="Times New Roman"/>
          <w:sz w:val="28"/>
          <w:szCs w:val="28"/>
        </w:rPr>
        <w:t xml:space="preserve">еден </w:t>
      </w:r>
      <w:hyperlink r:id="rId60" w:tgtFrame="_blank" w:history="1">
        <w:r w:rsidRPr="00D867DA">
          <w:rPr>
            <w:rFonts w:ascii="Times New Roman" w:eastAsia="Times New Roman" w:hAnsi="Times New Roman" w:cs="Times New Roman"/>
            <w:sz w:val="28"/>
            <w:szCs w:val="28"/>
          </w:rPr>
          <w:t>открытый конкурс на выполнение научно-исследовательской работы по теме: «Мониторинг состояния и развития конкурентной среды на рынках товаров, работ и услуг Новосибирской области</w:t>
        </w:r>
        <w:r>
          <w:rPr>
            <w:rFonts w:ascii="Times New Roman" w:eastAsia="Times New Roman" w:hAnsi="Times New Roman" w:cs="Times New Roman"/>
            <w:sz w:val="28"/>
            <w:szCs w:val="28"/>
          </w:rPr>
          <w:t xml:space="preserve"> за 2019 год</w:t>
        </w:r>
        <w:r w:rsidRPr="00D867DA">
          <w:rPr>
            <w:rFonts w:ascii="Times New Roman" w:eastAsia="Times New Roman" w:hAnsi="Times New Roman" w:cs="Times New Roman"/>
            <w:sz w:val="28"/>
            <w:szCs w:val="28"/>
          </w:rPr>
          <w:t>»</w:t>
        </w:r>
      </w:hyperlink>
      <w:r w:rsidRPr="00D867DA">
        <w:rPr>
          <w:rFonts w:ascii="Times New Roman" w:eastAsia="Times New Roman" w:hAnsi="Times New Roman" w:cs="Times New Roman"/>
          <w:sz w:val="28"/>
          <w:szCs w:val="28"/>
        </w:rPr>
        <w:t xml:space="preserve">. </w:t>
      </w:r>
    </w:p>
    <w:p w14:paraId="40E4AC70" w14:textId="77777777" w:rsidR="003F4CFF" w:rsidRPr="00D867DA"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D867DA">
        <w:rPr>
          <w:rFonts w:ascii="Times New Roman" w:eastAsia="Times New Roman" w:hAnsi="Times New Roman" w:cs="Times New Roman"/>
          <w:sz w:val="28"/>
          <w:szCs w:val="28"/>
        </w:rPr>
        <w:t xml:space="preserve">Информация </w:t>
      </w:r>
      <w:r>
        <w:rPr>
          <w:rFonts w:ascii="Times New Roman" w:eastAsia="Times New Roman" w:hAnsi="Times New Roman" w:cs="Times New Roman"/>
          <w:sz w:val="28"/>
          <w:szCs w:val="28"/>
        </w:rPr>
        <w:t>о проведенном</w:t>
      </w:r>
      <w:r w:rsidRPr="00D867DA">
        <w:rPr>
          <w:rFonts w:ascii="Times New Roman" w:eastAsia="Times New Roman" w:hAnsi="Times New Roman" w:cs="Times New Roman"/>
          <w:sz w:val="28"/>
          <w:szCs w:val="28"/>
        </w:rPr>
        <w:t xml:space="preserve"> конкурс</w:t>
      </w:r>
      <w:r>
        <w:rPr>
          <w:rFonts w:ascii="Times New Roman" w:eastAsia="Times New Roman" w:hAnsi="Times New Roman" w:cs="Times New Roman"/>
          <w:sz w:val="28"/>
          <w:szCs w:val="28"/>
        </w:rPr>
        <w:t>е представлена</w:t>
      </w:r>
      <w:r w:rsidRPr="00D867DA">
        <w:rPr>
          <w:rFonts w:ascii="Times New Roman" w:eastAsia="Times New Roman" w:hAnsi="Times New Roman" w:cs="Times New Roman"/>
          <w:sz w:val="28"/>
          <w:szCs w:val="28"/>
        </w:rPr>
        <w:t xml:space="preserve"> в Единой информационной системе в сфере закупок </w:t>
      </w:r>
      <w:hyperlink r:id="rId61" w:history="1">
        <w:r w:rsidRPr="00D867DA">
          <w:rPr>
            <w:rFonts w:ascii="Times New Roman" w:eastAsia="Times New Roman" w:hAnsi="Times New Roman" w:cs="Times New Roman"/>
            <w:color w:val="0000FF"/>
            <w:sz w:val="28"/>
            <w:szCs w:val="28"/>
            <w:u w:val="single"/>
          </w:rPr>
          <w:t>http://zakupki.gov.ru/epz/main/public/home.html</w:t>
        </w:r>
      </w:hyperlink>
      <w:r w:rsidRPr="00D867DA">
        <w:rPr>
          <w:rFonts w:ascii="Times New Roman" w:eastAsia="Times New Roman" w:hAnsi="Times New Roman" w:cs="Times New Roman"/>
          <w:sz w:val="28"/>
          <w:szCs w:val="28"/>
        </w:rPr>
        <w:t>.</w:t>
      </w:r>
    </w:p>
    <w:p w14:paraId="1FB80C9F" w14:textId="77777777" w:rsidR="003F4CFF" w:rsidRDefault="003F4CFF" w:rsidP="003F4CFF">
      <w:pPr>
        <w:ind w:firstLine="567"/>
        <w:jc w:val="both"/>
        <w:rPr>
          <w:rFonts w:ascii="Times New Roman" w:hAnsi="Times New Roman" w:cs="Times New Roman"/>
          <w:sz w:val="28"/>
          <w:szCs w:val="28"/>
        </w:rPr>
      </w:pPr>
      <w:r w:rsidRPr="00E326D8">
        <w:rPr>
          <w:rFonts w:ascii="Times New Roman" w:hAnsi="Times New Roman" w:cs="Times New Roman"/>
          <w:sz w:val="28"/>
          <w:szCs w:val="28"/>
        </w:rPr>
        <w:t>Мониторинг состояния и развития конкурентной среды на рынках товаров, работ и усл</w:t>
      </w:r>
      <w:r>
        <w:rPr>
          <w:rFonts w:ascii="Times New Roman" w:hAnsi="Times New Roman" w:cs="Times New Roman"/>
          <w:sz w:val="28"/>
          <w:szCs w:val="28"/>
        </w:rPr>
        <w:t>уг Новосибирской области за 2019</w:t>
      </w:r>
      <w:r w:rsidRPr="00E326D8">
        <w:rPr>
          <w:rFonts w:ascii="Times New Roman" w:hAnsi="Times New Roman" w:cs="Times New Roman"/>
          <w:sz w:val="28"/>
          <w:szCs w:val="28"/>
        </w:rPr>
        <w:t xml:space="preserve"> год включал в себя</w:t>
      </w:r>
      <w:r>
        <w:rPr>
          <w:rFonts w:ascii="Times New Roman" w:hAnsi="Times New Roman" w:cs="Times New Roman"/>
          <w:sz w:val="28"/>
          <w:szCs w:val="28"/>
        </w:rPr>
        <w:t xml:space="preserve"> 10 мониторингов</w:t>
      </w:r>
      <w:r w:rsidRPr="00E326D8">
        <w:rPr>
          <w:rFonts w:ascii="Times New Roman" w:hAnsi="Times New Roman" w:cs="Times New Roman"/>
          <w:sz w:val="28"/>
          <w:szCs w:val="28"/>
        </w:rPr>
        <w:t>:</w:t>
      </w:r>
    </w:p>
    <w:p w14:paraId="72C8F19F" w14:textId="77777777" w:rsidR="003F4CFF"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1. </w:t>
      </w:r>
      <w:r w:rsidRPr="000936BD">
        <w:rPr>
          <w:rFonts w:ascii="Times New Roman" w:hAnsi="Times New Roman" w:cs="Times New Roman"/>
          <w:sz w:val="28"/>
          <w:szCs w:val="28"/>
        </w:rPr>
        <w:t>Мониторинг наличия (отсутствия) административных барьеров и оценки состояния конкурентной среды субъектами предпринимательской деятельности</w:t>
      </w:r>
      <w:r>
        <w:rPr>
          <w:rFonts w:ascii="Times New Roman" w:hAnsi="Times New Roman" w:cs="Times New Roman"/>
          <w:sz w:val="28"/>
          <w:szCs w:val="28"/>
        </w:rPr>
        <w:t>.</w:t>
      </w:r>
    </w:p>
    <w:p w14:paraId="21EA5401" w14:textId="77777777" w:rsidR="003F4CFF" w:rsidRDefault="003F4CFF" w:rsidP="003F4CFF">
      <w:pPr>
        <w:ind w:firstLine="567"/>
        <w:jc w:val="both"/>
        <w:rPr>
          <w:rFonts w:ascii="Times New Roman" w:hAnsi="Times New Roman" w:cs="Times New Roman"/>
          <w:sz w:val="28"/>
          <w:szCs w:val="28"/>
        </w:rPr>
      </w:pPr>
      <w:r w:rsidRPr="000936BD">
        <w:rPr>
          <w:rFonts w:ascii="Times New Roman" w:hAnsi="Times New Roman" w:cs="Times New Roman"/>
          <w:sz w:val="28"/>
          <w:szCs w:val="28"/>
        </w:rPr>
        <w:t>2. Мониторинг удовлетворенности потребителей качеством товаров, работ и услуг на товарных рынках Новосибирской области и</w:t>
      </w:r>
      <w:r>
        <w:rPr>
          <w:rFonts w:ascii="Times New Roman" w:hAnsi="Times New Roman" w:cs="Times New Roman"/>
          <w:sz w:val="28"/>
          <w:szCs w:val="28"/>
        </w:rPr>
        <w:t xml:space="preserve"> состоянием ценовой конкуренции.</w:t>
      </w:r>
    </w:p>
    <w:p w14:paraId="35A56BED" w14:textId="77777777" w:rsidR="003F4CFF"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3. </w:t>
      </w:r>
      <w:r w:rsidRPr="000936BD">
        <w:rPr>
          <w:rFonts w:ascii="Times New Roman" w:hAnsi="Times New Roman" w:cs="Times New Roman"/>
          <w:sz w:val="28"/>
          <w:szCs w:val="28"/>
        </w:rPr>
        <w:t>Мониторинг удовлетворенности субъектов 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о состоянии конкуренции на товарных рынках Новосибирской области и деятельности по содействию развитию конкуренции, размещаемой уполномоченным органом и муниципальными образованиями.</w:t>
      </w:r>
    </w:p>
    <w:p w14:paraId="262A3A77" w14:textId="77777777" w:rsidR="003F4CFF"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4. </w:t>
      </w:r>
      <w:r w:rsidRPr="000936BD">
        <w:rPr>
          <w:rFonts w:ascii="Times New Roman" w:hAnsi="Times New Roman" w:cs="Times New Roman"/>
          <w:sz w:val="28"/>
          <w:szCs w:val="28"/>
        </w:rPr>
        <w:t>Мониторинг деятельности субъектов естественных монополий на территории Новосибирской области</w:t>
      </w:r>
      <w:r>
        <w:rPr>
          <w:rFonts w:ascii="Times New Roman" w:hAnsi="Times New Roman" w:cs="Times New Roman"/>
          <w:sz w:val="28"/>
          <w:szCs w:val="28"/>
        </w:rPr>
        <w:t>.</w:t>
      </w:r>
    </w:p>
    <w:p w14:paraId="3D11B921" w14:textId="77777777" w:rsidR="003F4CFF" w:rsidRPr="000936BD" w:rsidRDefault="003F4CFF" w:rsidP="003F4CFF">
      <w:pPr>
        <w:autoSpaceDE w:val="0"/>
        <w:autoSpaceDN w:val="0"/>
        <w:adjustRightInd w:val="0"/>
        <w:ind w:firstLine="567"/>
        <w:jc w:val="both"/>
        <w:rPr>
          <w:rFonts w:ascii="Times New Roman" w:hAnsi="Times New Roman" w:cs="Times New Roman"/>
          <w:sz w:val="28"/>
          <w:szCs w:val="28"/>
        </w:rPr>
      </w:pPr>
      <w:r w:rsidRPr="000936BD">
        <w:rPr>
          <w:rFonts w:ascii="Times New Roman" w:hAnsi="Times New Roman" w:cs="Times New Roman"/>
          <w:sz w:val="28"/>
          <w:szCs w:val="28"/>
        </w:rPr>
        <w:t xml:space="preserve">5. Мониторинг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 предусматривающий формирование реестра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указанных хозяйствующих субъектов, осуществляющих деятельность на территории Новосибирской области, с обозначением товарного рынка их присутствия, на котором осуществляется такая деятельность, а также с указанием доли занимаемого товарного рынка каждого такого хозяйствующего субъекта (в том числе объема (доли) выручки в общей </w:t>
      </w:r>
      <w:r w:rsidRPr="000936BD">
        <w:rPr>
          <w:rFonts w:ascii="Times New Roman" w:hAnsi="Times New Roman" w:cs="Times New Roman"/>
          <w:sz w:val="28"/>
          <w:szCs w:val="28"/>
        </w:rPr>
        <w:lastRenderedPageBreak/>
        <w:t>величине стоимостного оборота товарного рынка, объема (доли) реализованных на товарном рынке товаров, работ и услуг в натуральном выражении, объема финансирования из бюджета Новосибирской области и бюджетов муниципальных образований).</w:t>
      </w:r>
    </w:p>
    <w:p w14:paraId="6BF7EEEB" w14:textId="77777777" w:rsidR="003F4CFF" w:rsidRDefault="003F4CFF" w:rsidP="003F4CFF">
      <w:pPr>
        <w:ind w:firstLine="567"/>
        <w:jc w:val="both"/>
        <w:rPr>
          <w:rFonts w:ascii="Times New Roman" w:hAnsi="Times New Roman" w:cs="Times New Roman"/>
          <w:sz w:val="28"/>
          <w:szCs w:val="28"/>
        </w:rPr>
      </w:pPr>
      <w:r w:rsidRPr="000936BD">
        <w:rPr>
          <w:rFonts w:ascii="Times New Roman" w:hAnsi="Times New Roman" w:cs="Times New Roman"/>
          <w:sz w:val="28"/>
          <w:szCs w:val="28"/>
        </w:rPr>
        <w:t>6. Мониторинг удовлетворенности населения деятельностью в сфере финансовых услуг, осуществляемой на территории Новосибирской области.</w:t>
      </w:r>
    </w:p>
    <w:p w14:paraId="21959599" w14:textId="77777777" w:rsidR="003F4CFF" w:rsidRDefault="003F4CFF" w:rsidP="003F4CFF">
      <w:pPr>
        <w:ind w:firstLine="567"/>
        <w:jc w:val="both"/>
        <w:rPr>
          <w:rFonts w:ascii="Times New Roman" w:hAnsi="Times New Roman" w:cs="Times New Roman"/>
          <w:sz w:val="28"/>
          <w:szCs w:val="28"/>
        </w:rPr>
      </w:pPr>
      <w:r w:rsidRPr="000936BD">
        <w:rPr>
          <w:rFonts w:ascii="Times New Roman" w:hAnsi="Times New Roman" w:cs="Times New Roman"/>
          <w:sz w:val="28"/>
          <w:szCs w:val="28"/>
        </w:rPr>
        <w:t>7. Мониторинг доступности для населения финансовых услуг, оказываемых на территории Новосибирской области</w:t>
      </w:r>
      <w:r>
        <w:rPr>
          <w:rFonts w:ascii="Times New Roman" w:hAnsi="Times New Roman" w:cs="Times New Roman"/>
          <w:sz w:val="28"/>
          <w:szCs w:val="28"/>
        </w:rPr>
        <w:t>.</w:t>
      </w:r>
    </w:p>
    <w:p w14:paraId="0298DB8A" w14:textId="77777777" w:rsidR="003F4CFF" w:rsidRPr="000936BD" w:rsidRDefault="003F4CFF" w:rsidP="003F4CFF">
      <w:pPr>
        <w:ind w:firstLine="567"/>
        <w:jc w:val="both"/>
        <w:rPr>
          <w:rFonts w:ascii="Times New Roman" w:hAnsi="Times New Roman" w:cs="Times New Roman"/>
          <w:sz w:val="28"/>
          <w:szCs w:val="28"/>
        </w:rPr>
      </w:pPr>
      <w:r w:rsidRPr="000936BD">
        <w:rPr>
          <w:rFonts w:ascii="Times New Roman" w:hAnsi="Times New Roman" w:cs="Times New Roman"/>
          <w:sz w:val="28"/>
          <w:szCs w:val="28"/>
        </w:rPr>
        <w:t>8. Мониторинг цен (с учетом динамики) на товары, входящие в перечень социально-значимых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 от 15 июля 2010 г. № 530 «Об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допускается выплата вознаграждения», а также проведение оценки факторов, способных оказать влияние на такие цены (например изменение стоимости топлива, электроэнергии, основного сырья в пищевом производстве, аренды и т.п.)</w:t>
      </w:r>
      <w:r>
        <w:rPr>
          <w:rFonts w:ascii="Times New Roman" w:hAnsi="Times New Roman" w:cs="Times New Roman"/>
          <w:sz w:val="28"/>
          <w:szCs w:val="28"/>
        </w:rPr>
        <w:t>.</w:t>
      </w:r>
    </w:p>
    <w:p w14:paraId="3D2ADF27" w14:textId="77777777" w:rsidR="003F4CFF" w:rsidRPr="00092B07" w:rsidRDefault="003F4CFF" w:rsidP="003F4CFF">
      <w:pPr>
        <w:autoSpaceDE w:val="0"/>
        <w:autoSpaceDN w:val="0"/>
        <w:adjustRightInd w:val="0"/>
        <w:ind w:firstLine="567"/>
        <w:jc w:val="both"/>
        <w:rPr>
          <w:rFonts w:ascii="Times New Roman" w:hAnsi="Times New Roman" w:cs="Times New Roman"/>
          <w:sz w:val="28"/>
          <w:szCs w:val="28"/>
        </w:rPr>
      </w:pPr>
      <w:r w:rsidRPr="00092B07">
        <w:rPr>
          <w:rFonts w:ascii="Times New Roman" w:hAnsi="Times New Roman" w:cs="Times New Roman"/>
          <w:sz w:val="28"/>
          <w:szCs w:val="28"/>
        </w:rPr>
        <w:t>9. Мониторинг логистических возможностей Новосибирской области с учетом логистических возможностей субъектов Российской Федерации, имеющих общие территориальные границы с Новосибирской областью, включающий сбор и анализ данных об обеспеченности его транспортной инфраструктурой, времени и объеме его пропускной способности, существующих транспортных хабах и потенциале создания новых, а также о сервисной и сопутствующей инфраструктуре, необходимой как для транспортных средств, так и для работников, задействованных в этом сегменте, включая наличие стабильной подвижной радиотелефонной связи на удаленных дорогах.</w:t>
      </w:r>
    </w:p>
    <w:p w14:paraId="30BFA07B" w14:textId="77777777" w:rsidR="003F4CFF" w:rsidRPr="00092B07" w:rsidRDefault="003F4CFF" w:rsidP="003F4CFF">
      <w:pPr>
        <w:autoSpaceDE w:val="0"/>
        <w:autoSpaceDN w:val="0"/>
        <w:adjustRightInd w:val="0"/>
        <w:ind w:firstLine="567"/>
        <w:jc w:val="both"/>
        <w:rPr>
          <w:rFonts w:ascii="Times New Roman" w:hAnsi="Times New Roman" w:cs="Times New Roman"/>
          <w:sz w:val="28"/>
          <w:szCs w:val="28"/>
        </w:rPr>
      </w:pPr>
      <w:r w:rsidRPr="00092B07">
        <w:rPr>
          <w:rFonts w:ascii="Times New Roman" w:hAnsi="Times New Roman" w:cs="Times New Roman"/>
          <w:sz w:val="28"/>
          <w:szCs w:val="28"/>
        </w:rPr>
        <w:t>10. Мониторинг развития передовых производственных технологий и их внедрения, а также процесса цифровизации экономики и формирования ее новых рынков и секторов.</w:t>
      </w:r>
    </w:p>
    <w:p w14:paraId="427C59D6" w14:textId="77777777" w:rsidR="003F4CFF" w:rsidRPr="00E326D8" w:rsidRDefault="003F4CFF" w:rsidP="003F4CFF">
      <w:pPr>
        <w:autoSpaceDE w:val="0"/>
        <w:autoSpaceDN w:val="0"/>
        <w:adjustRightInd w:val="0"/>
        <w:ind w:firstLine="567"/>
        <w:jc w:val="both"/>
        <w:rPr>
          <w:rFonts w:ascii="Times New Roman" w:hAnsi="Times New Roman" w:cs="Times New Roman"/>
          <w:sz w:val="28"/>
          <w:szCs w:val="28"/>
        </w:rPr>
      </w:pPr>
      <w:r w:rsidRPr="00E326D8">
        <w:rPr>
          <w:rFonts w:ascii="Times New Roman" w:hAnsi="Times New Roman" w:cs="Times New Roman"/>
          <w:sz w:val="28"/>
          <w:szCs w:val="28"/>
        </w:rPr>
        <w:t>Мониторинг состояния и развития конкурентной среды на рынках товаров, работ и усл</w:t>
      </w:r>
      <w:r>
        <w:rPr>
          <w:rFonts w:ascii="Times New Roman" w:hAnsi="Times New Roman" w:cs="Times New Roman"/>
          <w:sz w:val="28"/>
          <w:szCs w:val="28"/>
        </w:rPr>
        <w:t>уг Новосибирской области за 2019</w:t>
      </w:r>
      <w:r w:rsidRPr="00E326D8">
        <w:rPr>
          <w:rFonts w:ascii="Times New Roman" w:hAnsi="Times New Roman" w:cs="Times New Roman"/>
          <w:sz w:val="28"/>
          <w:szCs w:val="28"/>
        </w:rPr>
        <w:t xml:space="preserve"> год</w:t>
      </w:r>
      <w:r>
        <w:rPr>
          <w:rFonts w:ascii="Times New Roman" w:hAnsi="Times New Roman" w:cs="Times New Roman"/>
          <w:sz w:val="28"/>
          <w:szCs w:val="28"/>
        </w:rPr>
        <w:t xml:space="preserve"> (далее – мониторинг)</w:t>
      </w:r>
      <w:r w:rsidRPr="00092B07">
        <w:rPr>
          <w:rFonts w:ascii="Times New Roman" w:hAnsi="Times New Roman" w:cs="Times New Roman"/>
          <w:sz w:val="28"/>
          <w:szCs w:val="28"/>
        </w:rPr>
        <w:t xml:space="preserve"> проведен на территории 30 муниципальных районов и 5 городских округов Новосибирской области и охватывал 33 товарных рынка.</w:t>
      </w:r>
    </w:p>
    <w:p w14:paraId="378F47B3" w14:textId="77777777" w:rsidR="003F4CFF" w:rsidRPr="00E326D8" w:rsidRDefault="003F4CFF" w:rsidP="003F4CFF">
      <w:pPr>
        <w:ind w:firstLine="567"/>
        <w:jc w:val="both"/>
        <w:rPr>
          <w:rFonts w:ascii="Times New Roman" w:hAnsi="Times New Roman" w:cs="Times New Roman"/>
          <w:sz w:val="28"/>
          <w:szCs w:val="28"/>
        </w:rPr>
      </w:pPr>
      <w:r w:rsidRPr="00092B07">
        <w:rPr>
          <w:rFonts w:ascii="Times New Roman" w:hAnsi="Times New Roman" w:cs="Times New Roman"/>
          <w:sz w:val="28"/>
          <w:szCs w:val="28"/>
        </w:rPr>
        <w:t>В ходе мониторинга проведен опрос 170</w:t>
      </w:r>
      <w:r>
        <w:rPr>
          <w:rFonts w:ascii="Times New Roman" w:hAnsi="Times New Roman" w:cs="Times New Roman"/>
          <w:sz w:val="28"/>
          <w:szCs w:val="28"/>
        </w:rPr>
        <w:t>0 </w:t>
      </w:r>
      <w:r w:rsidRPr="00092B07">
        <w:rPr>
          <w:rFonts w:ascii="Times New Roman" w:hAnsi="Times New Roman" w:cs="Times New Roman"/>
          <w:sz w:val="28"/>
          <w:szCs w:val="28"/>
        </w:rPr>
        <w:t>субъектов предприн</w:t>
      </w:r>
      <w:r>
        <w:rPr>
          <w:rFonts w:ascii="Times New Roman" w:hAnsi="Times New Roman" w:cs="Times New Roman"/>
          <w:sz w:val="28"/>
          <w:szCs w:val="28"/>
        </w:rPr>
        <w:t>имательской деятельности и 2680 </w:t>
      </w:r>
      <w:r w:rsidRPr="00092B07">
        <w:rPr>
          <w:rFonts w:ascii="Times New Roman" w:hAnsi="Times New Roman" w:cs="Times New Roman"/>
          <w:sz w:val="28"/>
          <w:szCs w:val="28"/>
        </w:rPr>
        <w:t>потребителей товаров, работ и услуг.</w:t>
      </w:r>
    </w:p>
    <w:p w14:paraId="0EBE7985" w14:textId="77777777" w:rsidR="003F4CFF" w:rsidRPr="00E326D8"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Полный о</w:t>
      </w:r>
      <w:r w:rsidRPr="00E326D8">
        <w:rPr>
          <w:rFonts w:ascii="Times New Roman" w:hAnsi="Times New Roman" w:cs="Times New Roman"/>
          <w:sz w:val="28"/>
          <w:szCs w:val="28"/>
        </w:rPr>
        <w:t>тчет о мониторинге размещен на официальном сайте министерства экономического развития и инвестиционном портале Новосибирской области (</w:t>
      </w:r>
      <w:hyperlink r:id="rId62" w:history="1">
        <w:r w:rsidRPr="00E326D8">
          <w:rPr>
            <w:rStyle w:val="a3"/>
            <w:rFonts w:ascii="Times New Roman" w:hAnsi="Times New Roman" w:cs="Times New Roman"/>
            <w:sz w:val="28"/>
            <w:szCs w:val="28"/>
          </w:rPr>
          <w:t>http://www.econom.nso.ru/page/1342</w:t>
        </w:r>
      </w:hyperlink>
      <w:r w:rsidRPr="00E326D8">
        <w:rPr>
          <w:rStyle w:val="a3"/>
          <w:rFonts w:ascii="Times New Roman" w:hAnsi="Times New Roman" w:cs="Times New Roman"/>
          <w:sz w:val="28"/>
          <w:szCs w:val="28"/>
        </w:rPr>
        <w:t>; http://invest.nso.ru/ru/content/monitoring</w:t>
      </w:r>
      <w:r w:rsidRPr="00E326D8">
        <w:rPr>
          <w:rFonts w:ascii="Times New Roman" w:hAnsi="Times New Roman" w:cs="Times New Roman"/>
          <w:sz w:val="28"/>
          <w:szCs w:val="28"/>
        </w:rPr>
        <w:t>).</w:t>
      </w:r>
    </w:p>
    <w:p w14:paraId="3C488E7A" w14:textId="77777777" w:rsidR="003F4CFF" w:rsidRPr="00B24DC2" w:rsidRDefault="003F4CFF" w:rsidP="003F4CFF">
      <w:pPr>
        <w:ind w:firstLine="567"/>
        <w:jc w:val="both"/>
        <w:rPr>
          <w:rFonts w:ascii="Times New Roman" w:eastAsia="Times New Roman" w:hAnsi="Times New Roman" w:cs="Times New Roman"/>
          <w:sz w:val="28"/>
        </w:rPr>
      </w:pPr>
      <w:r w:rsidRPr="00B24DC2">
        <w:rPr>
          <w:rFonts w:ascii="Times New Roman" w:eastAsia="Times New Roman" w:hAnsi="Times New Roman" w:cs="Times New Roman"/>
          <w:sz w:val="28"/>
        </w:rPr>
        <w:lastRenderedPageBreak/>
        <w:t>Заключение соглашений между Губернатором Новосибирской области и высшими должностными лицами субъектов Российской Федерации, имеющих с Новосибирской областью общие территориальные границы, о проведении исследования межрегиональных границ т</w:t>
      </w:r>
      <w:r w:rsidR="0086580A">
        <w:rPr>
          <w:rFonts w:ascii="Times New Roman" w:eastAsia="Times New Roman" w:hAnsi="Times New Roman" w:cs="Times New Roman"/>
          <w:sz w:val="28"/>
        </w:rPr>
        <w:t>оварных рынков запланировано на </w:t>
      </w:r>
      <w:r w:rsidRPr="00B24DC2">
        <w:rPr>
          <w:rFonts w:ascii="Times New Roman" w:eastAsia="Times New Roman" w:hAnsi="Times New Roman" w:cs="Times New Roman"/>
          <w:sz w:val="28"/>
        </w:rPr>
        <w:t xml:space="preserve">2020 год. </w:t>
      </w:r>
    </w:p>
    <w:p w14:paraId="468EA9C6" w14:textId="77777777" w:rsidR="003F4CFF" w:rsidRDefault="003F4CFF" w:rsidP="003F4CFF">
      <w:pPr>
        <w:ind w:firstLine="567"/>
        <w:jc w:val="both"/>
        <w:rPr>
          <w:rFonts w:ascii="Times New Roman" w:eastAsia="Times New Roman" w:hAnsi="Times New Roman" w:cs="Times New Roman"/>
          <w:sz w:val="28"/>
        </w:rPr>
      </w:pPr>
      <w:r w:rsidRPr="00B24DC2">
        <w:rPr>
          <w:rFonts w:ascii="Times New Roman" w:eastAsia="Times New Roman" w:hAnsi="Times New Roman" w:cs="Times New Roman"/>
          <w:sz w:val="28"/>
        </w:rPr>
        <w:t xml:space="preserve">При этом, </w:t>
      </w:r>
      <w:r>
        <w:rPr>
          <w:rFonts w:ascii="Times New Roman" w:eastAsia="Times New Roman" w:hAnsi="Times New Roman" w:cs="Times New Roman"/>
          <w:sz w:val="28"/>
        </w:rPr>
        <w:t xml:space="preserve">необходимо отметить, что </w:t>
      </w:r>
      <w:r w:rsidRPr="00B24DC2">
        <w:rPr>
          <w:rFonts w:ascii="Times New Roman" w:eastAsia="Times New Roman" w:hAnsi="Times New Roman" w:cs="Times New Roman"/>
          <w:sz w:val="28"/>
        </w:rPr>
        <w:t xml:space="preserve">в ходе мониторинга в 2019 году был определен уровень удовлетворенности </w:t>
      </w:r>
      <w:r w:rsidRPr="002E662C">
        <w:rPr>
          <w:rFonts w:ascii="Times New Roman" w:eastAsia="Times New Roman" w:hAnsi="Times New Roman" w:cs="Times New Roman"/>
          <w:sz w:val="28"/>
        </w:rPr>
        <w:t>потребителей, приобретавших товар, работу, услугу, качеством товаров, работ, услуг, произведенных (оказываемых) не только в Новосибирской области, но и в соседних регионах: Кемеровской, Омской и Томской областях. Также проведен анализ логистических возможностей Новосибирской области с учетом логистических возможностей Алтайского края, Омской, Томской и Кемеровской областей.</w:t>
      </w:r>
    </w:p>
    <w:p w14:paraId="6A13E765" w14:textId="77777777" w:rsidR="0086580A" w:rsidRPr="002E662C" w:rsidRDefault="0086580A" w:rsidP="003F4CFF">
      <w:pPr>
        <w:ind w:firstLine="567"/>
        <w:jc w:val="both"/>
        <w:rPr>
          <w:rFonts w:ascii="Times New Roman" w:eastAsia="Times New Roman" w:hAnsi="Times New Roman" w:cs="Times New Roman"/>
          <w:sz w:val="28"/>
        </w:rPr>
      </w:pPr>
    </w:p>
    <w:p w14:paraId="18A0FF10" w14:textId="77777777" w:rsidR="003F4CFF" w:rsidRDefault="003F4CFF" w:rsidP="003F4CFF">
      <w:pPr>
        <w:pStyle w:val="ac"/>
        <w:ind w:firstLine="567"/>
        <w:jc w:val="both"/>
        <w:outlineLvl w:val="2"/>
        <w:rPr>
          <w:rFonts w:ascii="Times New Roman" w:hAnsi="Times New Roman"/>
          <w:b/>
        </w:rPr>
      </w:pPr>
      <w:bookmarkStart w:id="56" w:name="_Toc31983974"/>
      <w:bookmarkStart w:id="57" w:name="_Toc32240314"/>
      <w:bookmarkStart w:id="58" w:name="_Toc32421899"/>
      <w:bookmarkStart w:id="59" w:name="_Toc34129178"/>
      <w:r w:rsidRPr="00F732D1">
        <w:rPr>
          <w:rFonts w:ascii="Times New Roman" w:hAnsi="Times New Roman"/>
          <w:b/>
        </w:rPr>
        <w:t>2.3.1. Результаты анализа ситуации на товарных рынках для содействия развитию конкуренции в субъекте Российской Федерации, утверж</w:t>
      </w:r>
      <w:r>
        <w:rPr>
          <w:rFonts w:ascii="Times New Roman" w:hAnsi="Times New Roman"/>
          <w:b/>
        </w:rPr>
        <w:t>денных приложением к Стандарту</w:t>
      </w:r>
      <w:bookmarkEnd w:id="56"/>
      <w:bookmarkEnd w:id="57"/>
      <w:bookmarkEnd w:id="58"/>
      <w:bookmarkEnd w:id="59"/>
    </w:p>
    <w:p w14:paraId="7365B578" w14:textId="77777777" w:rsidR="003F4CFF" w:rsidRPr="00B44A90" w:rsidRDefault="003F4CFF" w:rsidP="003F4CFF">
      <w:pPr>
        <w:rPr>
          <w:rFonts w:ascii="Times New Roman" w:hAnsi="Times New Roman" w:cs="Times New Roman"/>
          <w:sz w:val="28"/>
          <w:szCs w:val="28"/>
        </w:rPr>
      </w:pPr>
    </w:p>
    <w:p w14:paraId="1FEFA053" w14:textId="77777777" w:rsidR="003F4CFF" w:rsidRPr="00735190" w:rsidRDefault="003F4CFF" w:rsidP="003F4CFF">
      <w:pPr>
        <w:pStyle w:val="ac"/>
        <w:ind w:firstLine="567"/>
        <w:jc w:val="both"/>
        <w:outlineLvl w:val="3"/>
        <w:rPr>
          <w:rFonts w:ascii="Times New Roman" w:hAnsi="Times New Roman"/>
          <w:b/>
        </w:rPr>
      </w:pPr>
      <w:r>
        <w:rPr>
          <w:rFonts w:ascii="Times New Roman" w:hAnsi="Times New Roman"/>
          <w:b/>
        </w:rPr>
        <w:t>2.3.1.1</w:t>
      </w:r>
      <w:r w:rsidRPr="00735190">
        <w:rPr>
          <w:rFonts w:ascii="Times New Roman" w:hAnsi="Times New Roman"/>
          <w:b/>
        </w:rPr>
        <w:t>. Оценка конкурентных особенностей Новосибирской</w:t>
      </w:r>
      <w:r>
        <w:rPr>
          <w:rFonts w:ascii="Times New Roman" w:hAnsi="Times New Roman"/>
          <w:b/>
        </w:rPr>
        <w:t xml:space="preserve"> области: </w:t>
      </w:r>
      <w:r w:rsidRPr="00735190">
        <w:rPr>
          <w:rFonts w:ascii="Times New Roman" w:hAnsi="Times New Roman"/>
          <w:b/>
        </w:rPr>
        <w:t>потенциал и факторы развития, проблемы и угрозы</w:t>
      </w:r>
    </w:p>
    <w:p w14:paraId="46E66100"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Специфику региона определяют следующие основные конкурентные преимущества Новосибирской области.</w:t>
      </w:r>
    </w:p>
    <w:p w14:paraId="0F241678"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1. </w:t>
      </w:r>
      <w:r w:rsidR="003F4CFF" w:rsidRPr="002E662C">
        <w:rPr>
          <w:rFonts w:ascii="Times New Roman" w:eastAsia="Times New Roman" w:hAnsi="Times New Roman" w:cs="Times New Roman"/>
          <w:sz w:val="28"/>
        </w:rPr>
        <w:t xml:space="preserve">Главное преимущество и специфику Новосибирской области определяют благоприятные условия для развития инноваций. Развитый сектор научных исследований, представленный уникальной даже по мировым масштабам концентрацией научно-исследовательских институтов Российской академии наук. По оценке </w:t>
      </w:r>
      <w:r w:rsidR="00725AFD" w:rsidRPr="002E662C">
        <w:rPr>
          <w:rFonts w:ascii="Times New Roman" w:eastAsia="Times New Roman" w:hAnsi="Times New Roman" w:cs="Times New Roman"/>
          <w:sz w:val="28"/>
        </w:rPr>
        <w:t>руководства страны,</w:t>
      </w:r>
      <w:r w:rsidR="003F4CFF" w:rsidRPr="002E662C">
        <w:rPr>
          <w:rFonts w:ascii="Times New Roman" w:eastAsia="Times New Roman" w:hAnsi="Times New Roman" w:cs="Times New Roman"/>
          <w:sz w:val="28"/>
        </w:rPr>
        <w:t xml:space="preserve"> Сибирское отделение Российской академии наук, ядром которого является Новосибирский научный центр, безусловно, находится на передовых рубежах отечественной, а по ряду направлений и мировой науки. Уже сегодня портфель готовых к практическому использованию научных разработок новосибирских ученых позволяет обеспечить прорывные технологии в ряде важнейших секторов российской экономики. Влияние новосибирского научного сегмента на все стороны развития региона трудно переоценить. Это проявляется в особом, уникальном имидже города Новосибирска и всего региона как важнейшего центра науки, имеющего мировую известность. Новосибирский Академгородок является крупнейшим потенциальным источником инноваций. В регионе создана эффективная инфраструктура для коммерциализации разработок: Научно-технологический парк Новосибирского Академгородка, Научно-технологический парк в сфере биотехнологий в наукограде Кольцово Новосибирской области, Инновационный Медико-Технологический Центр (ИМТЦ), Медицинский промышленный парк, Промышленно-логистический парк, а также бизнес-инкубаторы, центры коллективного пользования и прототипирования, инжиниринговые центры, региональные институты развития и другие. На базе ИТ-направления был создан Инновационный кластер информационных и биофармацевтических технологий.</w:t>
      </w:r>
    </w:p>
    <w:p w14:paraId="767EA86C"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lastRenderedPageBreak/>
        <w:t>На его основе, усиленной еще одним направлением – высокотехнологичной медициной, создан Научно-производственный кластер «Сибирский Наукополис», ставший одним из победителей конкурсного отбора Минэкономразвития России – участников приоритетного государственного проекта «Развитие инновационных кластеров – лидеров инвестиционной привлекательности мирового уровня».</w:t>
      </w:r>
    </w:p>
    <w:p w14:paraId="7410253A"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2. </w:t>
      </w:r>
      <w:r w:rsidR="003F4CFF" w:rsidRPr="002E662C">
        <w:rPr>
          <w:rFonts w:ascii="Times New Roman" w:eastAsia="Times New Roman" w:hAnsi="Times New Roman" w:cs="Times New Roman"/>
          <w:sz w:val="28"/>
        </w:rPr>
        <w:t>Развитый человеческий капитал. Развитая система образования. Креативность научного сообщества в существенной степени влияет на общий высокий интеллектуальный уровень населения региона. Являясь образовательным центром мирового уровня, Новосибирская область обладает огромным потенциалом в сфере высшего и профессионального образования, благодаря наличию лидирующих школ и конкурентоспособного на международном уровне исследовательского университета, что существенно усиливает ее конкурентные преимущества в сфере образования по сравнению с другими регионами России и странами мира.</w:t>
      </w:r>
    </w:p>
    <w:p w14:paraId="2A7114CA"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3. </w:t>
      </w:r>
      <w:r w:rsidR="003F4CFF" w:rsidRPr="002E662C">
        <w:rPr>
          <w:rFonts w:ascii="Times New Roman" w:eastAsia="Times New Roman" w:hAnsi="Times New Roman" w:cs="Times New Roman"/>
          <w:sz w:val="28"/>
        </w:rPr>
        <w:t>Новосибирская область обладает диверсифицированной структурой экономики, наличием конкурентных рынков. Область практически независима от нефтегазовых источников бюджетных доходов, от доходов от добычи и переработки других полезных ископаемых. С одной стороны, это негативно сказывается на финансовых ресурсах региона. С другой стороны, отсутствие на территории области крупных месторождений невоспроизводимых природных ресурсов и соответствующая структура экономики снимают необходимость перепрофилирования хозяйства региона в долгосрочной перспективе ввиду истощения этих запасов. Новосибирская область не «привязана» ни к одной крупной вертикально интегрированной компании, и поэтому нет риска потери от перерегистрации крупных бизнес-структур, в существенной степени определяющих наполнение консолидированного бюджета Новосибирской области. То, что доходная часть бюджета региона формируется из множества источников, снижает потенциальные финансовые риски и обеспечивает большую стабильность при его формировании.</w:t>
      </w:r>
    </w:p>
    <w:p w14:paraId="4F374074"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4. </w:t>
      </w:r>
      <w:r w:rsidR="003F4CFF" w:rsidRPr="002E662C">
        <w:rPr>
          <w:rFonts w:ascii="Times New Roman" w:eastAsia="Times New Roman" w:hAnsi="Times New Roman" w:cs="Times New Roman"/>
          <w:sz w:val="28"/>
        </w:rPr>
        <w:t>Выгодное «центральное» транспортно-географическое положение Новосибирской области (расположение в центре России на пересечении важнейших транспортных коммуникаций, граничное положение с Республикой Казахстан, относительная близость к северным территориям Китайской Народной Республики, доступ в Среднюю Азию).</w:t>
      </w:r>
    </w:p>
    <w:p w14:paraId="15B08F64"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Срединное положение в Южной Сибири в окружении Омской, Томской и Кемеровской областей и Алтайского края при современном уровне транспортных средств и магистралей делает Новосибирскую область ядром экономической активности макрорегиона (центром Сибирской конурбации).</w:t>
      </w:r>
    </w:p>
    <w:p w14:paraId="31799C5C"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Развитая межрегиональная маршрутная сеть и транспортная инфраструктура авиационного и железнодорожного сообщения, конкурентоспособный транспортно-логистический комплекс и ведущие транспортные компании позволяют говорить о высоком потенциале региона стать крупнейшим в азиатской части страны логистическим и распределительным центром, укрепить позиции региона как крупного экспортирующего центра.</w:t>
      </w:r>
    </w:p>
    <w:p w14:paraId="217055A2"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5. </w:t>
      </w:r>
      <w:r w:rsidR="003F4CFF" w:rsidRPr="002E662C">
        <w:rPr>
          <w:rFonts w:ascii="Times New Roman" w:eastAsia="Times New Roman" w:hAnsi="Times New Roman" w:cs="Times New Roman"/>
          <w:sz w:val="28"/>
        </w:rPr>
        <w:t>Привлекательный образ города Новосибирска, являющегося по многим позициям центром притяжения для населения из соседних регионов и в целом для азиатской части России. Новосибирск занимает третье место в перечне крупнейших городов РФ - основная точка миграционного прироста за Уралом; он популярен у туристов, приезжих, в городе аккумулируются финансовые ресурсы. Среднедушевые расходы населения продолжают превышать среднедушевые доходы в основном за счет «миграции» капиталов от нерезидентов. Высокий инвестиционный спрос на жилую и коммерческую недвижимость, в том числе из других регионов. Город Новосибирск - формальная (в нем расположено представительство Президента Российской Федерации в С</w:t>
      </w:r>
      <w:r w:rsidR="00A25871">
        <w:rPr>
          <w:rFonts w:ascii="Times New Roman" w:eastAsia="Times New Roman" w:hAnsi="Times New Roman" w:cs="Times New Roman"/>
          <w:sz w:val="28"/>
        </w:rPr>
        <w:t>ибирском федеральном округе (далее – С</w:t>
      </w:r>
      <w:r w:rsidR="003F4CFF" w:rsidRPr="002E662C">
        <w:rPr>
          <w:rFonts w:ascii="Times New Roman" w:eastAsia="Times New Roman" w:hAnsi="Times New Roman" w:cs="Times New Roman"/>
          <w:sz w:val="28"/>
        </w:rPr>
        <w:t>ФО) и неформальная столица Сибири. В городе Новосибирске расположены знаковые не только для области, но и для всей Сибири объекты современного искусства, культуры - Новосибирский государственный академический театр оперы и балета (НОВАТ), Новосибирская государственная филармония, Новосибирский зоопарк имени Р.А. Шило, аквапарк, Международный выставочный комплекс «Новосибирск Экспоцентр», крупные торгово-развлекательные комплексы, привлекающие как жителей, так и гостей города и области.</w:t>
      </w:r>
    </w:p>
    <w:p w14:paraId="6D91E404"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6. </w:t>
      </w:r>
      <w:r w:rsidR="003F4CFF" w:rsidRPr="002E662C">
        <w:rPr>
          <w:rFonts w:ascii="Times New Roman" w:eastAsia="Times New Roman" w:hAnsi="Times New Roman" w:cs="Times New Roman"/>
          <w:sz w:val="28"/>
        </w:rPr>
        <w:t>Высокая предпринимательская активность. Новосибирская область является самым привлекательным регионом СФО для старта и ведения бизнеса.</w:t>
      </w:r>
    </w:p>
    <w:p w14:paraId="10E56830"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Значительная роль предприятий малого и среднего бизнеса в экономике региона позволяет характеризовать Новосибирскую область как регион, имеющий высокое качество делового климата и потенциальные возможности стать лидером по развитию малого и среднего предпринимательства России.</w:t>
      </w:r>
    </w:p>
    <w:p w14:paraId="4BDAC14B"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7. </w:t>
      </w:r>
      <w:r w:rsidR="003F4CFF" w:rsidRPr="002E662C">
        <w:rPr>
          <w:rFonts w:ascii="Times New Roman" w:eastAsia="Times New Roman" w:hAnsi="Times New Roman" w:cs="Times New Roman"/>
          <w:sz w:val="28"/>
        </w:rPr>
        <w:t>Новосибирская область имеет значительные успехи в оказании высокотехнологичных видов медицинской помощи. В регионе на основе взаимодействия сильного профессионального состава медицинских учреждений и развитой инфраструктуры в виде системы специализированных медицинских центров и клиник сформирован мощный центр федеральной и межрегиональной значимости по оказанию высокотехнологичных видов медицинской помощи в области диагностики и лечения сердечно-сосудистых, онкологических заболеваний и заболеваний опорно-двигательного аппарата, что позволяет выделять регион как центр оказания медицинских услуг мирового уровня, экспортирующий в том числе медицинские технологии.</w:t>
      </w:r>
    </w:p>
    <w:p w14:paraId="22363B81"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Таким образом, Новосибирская область объективно характеризуется сегодня мощным научно-образовательным, инновационным, институциональным, инфраструктурным и культурным потенциалом. Это позиционирование влияет не только на межрегиональные позиции области в общероссийской экономической системе, но и на ее значимость в мирохозяйственных связях.</w:t>
      </w:r>
    </w:p>
    <w:p w14:paraId="159594DD"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Серьезными и специфическими проблемами (слабыми сторонами) развития Новосибирской области являются следующие проблемы.</w:t>
      </w:r>
    </w:p>
    <w:p w14:paraId="267CA353"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1. </w:t>
      </w:r>
      <w:r w:rsidR="003F4CFF" w:rsidRPr="002E662C">
        <w:rPr>
          <w:rFonts w:ascii="Times New Roman" w:eastAsia="Times New Roman" w:hAnsi="Times New Roman" w:cs="Times New Roman"/>
          <w:sz w:val="28"/>
        </w:rPr>
        <w:t xml:space="preserve">Недостаточная экономическая и инвестиционная активность не позволяет обеспечить эффективную реализацию человеческого потенциала региона и создать достаточное число высокопроизводительных рабочих мест. Новосибирская </w:t>
      </w:r>
      <w:r w:rsidR="003F4CFF" w:rsidRPr="002E662C">
        <w:rPr>
          <w:rFonts w:ascii="Times New Roman" w:eastAsia="Times New Roman" w:hAnsi="Times New Roman" w:cs="Times New Roman"/>
          <w:sz w:val="28"/>
        </w:rPr>
        <w:lastRenderedPageBreak/>
        <w:t>область уступает другим крупным регионам по развитости несырьевого экспорта. Инвестиционная активность находится на низком уровне, при наличии высокой степени износа основных фондов, что на фоне усиливающейся конкуренции российских регионов за привлечение финансовых ресурсов, а также с учетом высокой стоимости заемных средств для развития производств и освоения новой продукции является серьезной проблемой, сдерживающей динамичное экономическое развитие Новосибирской области.</w:t>
      </w:r>
    </w:p>
    <w:p w14:paraId="1692741B"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2. </w:t>
      </w:r>
      <w:r w:rsidR="003F4CFF" w:rsidRPr="002E662C">
        <w:rPr>
          <w:rFonts w:ascii="Times New Roman" w:eastAsia="Times New Roman" w:hAnsi="Times New Roman" w:cs="Times New Roman"/>
          <w:sz w:val="28"/>
        </w:rPr>
        <w:t>Существенный разрыв между высоким научно-техническим потенциалом региона и реальной низкой восприимчивостью его реального сектора к инновациям. Новосибирская область занимает лидирующие позиции в РФ по основным характеристикам научного потенциала, однако по числу использованных в производстве передовых технологий регион заметно отстает от Москвы, Санкт-Петербурга, Московской, Самарской и Нижегородской областей.</w:t>
      </w:r>
    </w:p>
    <w:p w14:paraId="0B7CF831"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Существенный разрыв между высоким научно-техническим потенциалом и низкой восприимчивостью производственной системы региона к инновациям является одной из специфических проблем развития Новосибирской области.</w:t>
      </w:r>
    </w:p>
    <w:p w14:paraId="544A351C"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Технологическое отставание промышленных предприятий, недостаток средств на финансирование НИОКР и связанные с ними технологические риски, низкая производительность труда и дефицит высококвалифицированных кадров препятствуют активному внедрению новых конкурентоспособных технологий в производство. Также ограничивающим фактором является недостаточное развитие механизмов коммерциализации и трансфера новых технологий и разработок.</w:t>
      </w:r>
    </w:p>
    <w:p w14:paraId="3DE44DB0"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3. </w:t>
      </w:r>
      <w:r w:rsidR="003F4CFF" w:rsidRPr="002E662C">
        <w:rPr>
          <w:rFonts w:ascii="Times New Roman" w:eastAsia="Times New Roman" w:hAnsi="Times New Roman" w:cs="Times New Roman"/>
          <w:sz w:val="28"/>
        </w:rPr>
        <w:t>Недостаточно развитая городская среда, невысокий уровень развития транспортной, энергетической и инженерной инфраструктуры, не соответствующий требованиям современного мегаполиса и амбициям успешного региона, включая низкое качество многих автодорог и общественных пространств в городе Новосибирске и области. В Новосибирской области наблюдается сильная загруженность основных транспортных артерий города Новосибирска при резко возросшем парке легкового автотранспорта и одновременно слабое развитие транспортной сети в сельских районах.</w:t>
      </w:r>
    </w:p>
    <w:p w14:paraId="7A851C98"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4. </w:t>
      </w:r>
      <w:r w:rsidR="003F4CFF" w:rsidRPr="002E662C">
        <w:rPr>
          <w:rFonts w:ascii="Times New Roman" w:eastAsia="Times New Roman" w:hAnsi="Times New Roman" w:cs="Times New Roman"/>
          <w:sz w:val="28"/>
        </w:rPr>
        <w:t>Недостаточный уровень благосостояния населения. Сохраняется отставание размера заработной платы и среднедушевого денежного дохода в Новосибирской области от среднероссийского уровня. Уровень бедности в Новосибирской области превышает среднероссийский.</w:t>
      </w:r>
    </w:p>
    <w:p w14:paraId="5FA6F43E"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Превышение обусловлено в том числе более высокой стоимостью жизни в регионе, высокой величиной прожиточного минимума (за счет повышенных для данной природно-климатической зоны норм потребления, более высоких потребительских цен, характерных для крупных мегаполисов, каким и является город Новосибирск), а также значительной дифференциацией населения по уровню доходов за последние 20 лет.</w:t>
      </w:r>
    </w:p>
    <w:p w14:paraId="22F4E6A3"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5.</w:t>
      </w:r>
      <w:r w:rsidRPr="00973A7C">
        <w:rPr>
          <w:rFonts w:ascii="Times New Roman" w:hAnsi="Times New Roman" w:cs="Times New Roman"/>
          <w:sz w:val="28"/>
          <w:szCs w:val="28"/>
        </w:rPr>
        <w:t> </w:t>
      </w:r>
      <w:r w:rsidR="003F4CFF" w:rsidRPr="002E662C">
        <w:rPr>
          <w:rFonts w:ascii="Times New Roman" w:eastAsia="Times New Roman" w:hAnsi="Times New Roman" w:cs="Times New Roman"/>
          <w:sz w:val="28"/>
        </w:rPr>
        <w:t xml:space="preserve">Несбалансированность территориального развития. Высокий уровень дифференциации социального развития и экономического потенциала на территории Новосибирской области, концентрация экономической активности в Новосибирской агломерации при относительно слабом развитии остальных </w:t>
      </w:r>
      <w:r w:rsidR="003F4CFF" w:rsidRPr="002E662C">
        <w:rPr>
          <w:rFonts w:ascii="Times New Roman" w:eastAsia="Times New Roman" w:hAnsi="Times New Roman" w:cs="Times New Roman"/>
          <w:sz w:val="28"/>
        </w:rPr>
        <w:lastRenderedPageBreak/>
        <w:t>территорий Новосибирской области могут ограничивать динамичное развитие региона.</w:t>
      </w:r>
    </w:p>
    <w:p w14:paraId="2840B536"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В текущих условиях в России всего два центра (г. Москва и г. Санкт-Петербург) по масштабу инновационной активности могут быть названы ведущими мировыми центрами развития инноваций. На долю Новосибирской области приходится примерно треть всех затрат на НИОКР в СФО, что ставит Новосибирскую область на первое место в регионах СФО и на шестое - в РФ по затратам на НИОКР.</w:t>
      </w:r>
    </w:p>
    <w:p w14:paraId="5574A2B8"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Доля инновационных товаров, работ и услуг в общем объеме отгруженных товаров Новосибирской области выше среднероссийского уровня и значительно выше среднего уровня по СФО. Таким образом, Новосибирская область может стать центром импортозамещения технологических инноваций для добывающих предприятий Сибири, при этом возможна кооперация с научными учреждениями соседних регионов (например, Томский политехнический университет является одним из российских центров НИОКР в добывающей промышленности).</w:t>
      </w:r>
    </w:p>
    <w:p w14:paraId="76935F55"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Всего несколько российских региональных инновационных центров могут в ближайшие 5 - 10 лет стать значимыми на мировом уровне: в первую очередь Новосибирская область. При условии сфокусированной политики Новосибирская область может добиться высоких результатов в долгосрочной перспективе.</w:t>
      </w:r>
      <w:r w:rsidR="00973A7C">
        <w:rPr>
          <w:rFonts w:ascii="Times New Roman" w:eastAsia="Times New Roman" w:hAnsi="Times New Roman" w:cs="Times New Roman"/>
          <w:sz w:val="28"/>
        </w:rPr>
        <w:t xml:space="preserve"> Основными возможностями Новосибирской области являются следующие возможности.</w:t>
      </w:r>
    </w:p>
    <w:p w14:paraId="0EBD2EB4"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1. </w:t>
      </w:r>
      <w:r w:rsidR="003F4CFF" w:rsidRPr="002E662C">
        <w:rPr>
          <w:rFonts w:ascii="Times New Roman" w:eastAsia="Times New Roman" w:hAnsi="Times New Roman" w:cs="Times New Roman"/>
          <w:sz w:val="28"/>
        </w:rPr>
        <w:t>Капитализация интеллектуального потенциала и создание условий для высокой инновационной активности, включая привлечение центров НИОКР международных компаний, стимулирование технологического предпринимательства, будут способствовать формированию на территории Новосибирской области Сибирского инновационного хаба международного уровня (Академгородок 2.0).</w:t>
      </w:r>
    </w:p>
    <w:p w14:paraId="0AB55562"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2. </w:t>
      </w:r>
      <w:r w:rsidR="003F4CFF" w:rsidRPr="002E662C">
        <w:rPr>
          <w:rFonts w:ascii="Times New Roman" w:eastAsia="Times New Roman" w:hAnsi="Times New Roman" w:cs="Times New Roman"/>
          <w:sz w:val="28"/>
        </w:rPr>
        <w:t>Возникновение новых продуктов, рынков и неконкурентных ниш, формирование решений (технологий) и ускоренная адаптация современных технологий ведущими новосибирскими компаниями позволит Новосибирской области стать центром компетенций в сфере Индустрии 4.0, в области цифровизации секторов экономики (в сферах управления транспортом, городским хозяйством, государственного управления, здравоохранения и образования), освоения природных богатств Сибири (включая биоресурсы и полезные ископаемые) в сотрудничестве с образовательными организациями высшего образования и научными центрами других регионов (Красноярский край, Томская область).</w:t>
      </w:r>
    </w:p>
    <w:p w14:paraId="69994799"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 xml:space="preserve">Почти все пассажирские авиарейсы из сибирских регионов в города европейской части проходят через Москву. Из-за этого длительность многих рейсов между крупными городами в 2 раза превышает оптимальную. Президент Российской Федерации В.В. Путин в апреле 2018 года поставил перед Правительством Российской Федерации задачу расширения сети межрегиональных регулярных пассажирских авиарейсов, минуя Москву, до 50% от общего количества внутренних перелетов, что означает почти четырехкратный </w:t>
      </w:r>
      <w:r w:rsidRPr="002E662C">
        <w:rPr>
          <w:rFonts w:ascii="Times New Roman" w:eastAsia="Times New Roman" w:hAnsi="Times New Roman" w:cs="Times New Roman"/>
          <w:sz w:val="28"/>
        </w:rPr>
        <w:lastRenderedPageBreak/>
        <w:t>рост пассажиропотока прямых межрегиональных рейсов. В соответствии с инвестиционными планами Новосибирского аэропорта в новый терминал внутренних линий площадью 100 тыс. кв. м планируется вложить порядка 15 млрд. рублей, что сделает аэропорт Толмачево крупнейшим по площади региональным аэропортом РФ. Планируется, что объем трансфертного пассажиропотока аэропорта Толмачево вырастет с 20% до 50% от всего объема, что сделает город Новосибирск ключевым узлом прямого межрегионального авиасообщения.</w:t>
      </w:r>
    </w:p>
    <w:p w14:paraId="385C9EDC"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Новосибирская область по объему оборота оптовой торговли занимает лидирующие позиции среди субъектов СФО. В Новосибирской области уже создаются крупные логистические и торгово-распределительные объекты, предназначенные для обслуживания соседних регионов, например, логистический центр Почты России и оптово-распределительный центр холдинга «Росагромаркет». Доля Новосибирской области в общем объеме торговли РФ с Китаем выросла в полтора раза за период 2015 - 2017 годов и составляет 1,5%. При этом реализуется совместная инициатива Китая и РФ по созданию автотранспортного коридора без обязательной перегрузки товара на территории Китая, отправной точкой которого должен стать город Новосибирск. Таким образом, Новосибирская область может привлечь торговые потоки с Китаем на свою территорию и стать важным торговым узлом между Европейской частью России и азиатскими странами. Новосибирская область может стать крупнейшим логистическим хабом в СФО, обеспечив регионам СФО торговую связь с другими округами РФ.</w:t>
      </w:r>
    </w:p>
    <w:p w14:paraId="54473570"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3. </w:t>
      </w:r>
      <w:r w:rsidR="003F4CFF" w:rsidRPr="002E662C">
        <w:rPr>
          <w:rFonts w:ascii="Times New Roman" w:eastAsia="Times New Roman" w:hAnsi="Times New Roman" w:cs="Times New Roman"/>
          <w:sz w:val="28"/>
        </w:rPr>
        <w:t>Формирование специализированной инфраструктуры для выхода на рынки центральных регионов России и европейских стран, стран Средней Азии и западного Китая, в перспективе в Индию и Пакистан, включая развитие транспортно-логистических и внешнеторговых услуг и интеграцию в цепочки добавленной стоимости транзитных грузов, позволит Новосибирской области стать логистическим и торговым хабом для регионов южной Сибири и Восточного Казахстана.</w:t>
      </w:r>
    </w:p>
    <w:p w14:paraId="4AD9E985"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Среднегодовой темп прироста предпринимательской активности Новосибирской области один из самых высоких в СФО - 9%. Новосибирская область уже сейчас является самым привлекательным регионом СФО для старта и ведения бизнеса. Это единственный регион СФО, который вошел в топ-20 рейтинга инвестиционного климата АСИ, оценивающего регуляторную среду, институты и инфраструктуру для бизнеса, а также поддержку малого предпринимательства. В Новосибирской области активно принимаются новые инициативы по повышению привлекательности региона для начинающих предпринимателей - в регионе действуют более пяти бизнес-инкубаторов и акселераторов, что является самым высоким показателем в СФО, а для участия в них приезжают основатели проектов из различных городов Сибири. Конкурентные преимущества по привлекательности Новосибирской области для предпринимателей должны укрепляться и использоваться для создания в регионе предпринимательского хаба Сибири.</w:t>
      </w:r>
    </w:p>
    <w:p w14:paraId="24E0795F"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4. </w:t>
      </w:r>
      <w:r w:rsidR="003F4CFF" w:rsidRPr="002E662C">
        <w:rPr>
          <w:rFonts w:ascii="Times New Roman" w:eastAsia="Times New Roman" w:hAnsi="Times New Roman" w:cs="Times New Roman"/>
          <w:sz w:val="28"/>
        </w:rPr>
        <w:t xml:space="preserve">Укрепление конкурентных преимуществ региона для развития малого и среднего предпринимательства позволит Новосибирской области стать Сибирским </w:t>
      </w:r>
      <w:r w:rsidR="003F4CFF" w:rsidRPr="002E662C">
        <w:rPr>
          <w:rFonts w:ascii="Times New Roman" w:eastAsia="Times New Roman" w:hAnsi="Times New Roman" w:cs="Times New Roman"/>
          <w:sz w:val="28"/>
        </w:rPr>
        <w:lastRenderedPageBreak/>
        <w:t>предпринимательских хабом, ключевым и наиболее привлекательным регионом для начинающих предпринимателей из регионов Сибири и Дальнего Востока.</w:t>
      </w:r>
    </w:p>
    <w:p w14:paraId="529CF41F"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Объем рынка медицинского туризма составлял от 45 до 72 млрд. долларов США. В Новосибирской области стоимость медицинских услуг, включая сложные операции, значительно ниже, чем в ключевых странах - направлениях медицинского туризма.</w:t>
      </w:r>
    </w:p>
    <w:p w14:paraId="6A4E3575"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В период с 2018 по 2023 год совокупное число выпускников казахстанских средних школ, обучавшихся на русском языке, составит более 200 тыс. человек, 70% из которых намереваются получить высшее образование. Новосибирская область, уже являясь традиционным направлением для абитуриентов из Восточного Казахстана, может стать таковой для абитуриентов из остальных регионов Казахстана и Северо-Западного Китая. Новосибирская область является одним из ведущих центров образования в России, а федеральное государственное автономное образовательное учреждение высшего образования "Новосибирский национальный исследовательский государственный университет" занимает 250 место в мировом рейтинге вузов по версии QS World University Ranking 2018. Образовательные организации высшего образования, расположенные на территории Новосибирской области, востребованы среди иностранных студентов - уже сейчас в них обучается 10 тыс. иностранцев.</w:t>
      </w:r>
    </w:p>
    <w:p w14:paraId="5565AE6E"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5. </w:t>
      </w:r>
      <w:r w:rsidR="003F4CFF" w:rsidRPr="002E662C">
        <w:rPr>
          <w:rFonts w:ascii="Times New Roman" w:eastAsia="Times New Roman" w:hAnsi="Times New Roman" w:cs="Times New Roman"/>
          <w:sz w:val="28"/>
        </w:rPr>
        <w:t>Дальнейшее ускоренное развитие технического университетского образования и высокотехнологичных медицинских услуг позволит Новосибирской области стать центром экспорта услуг образования и здравоохранения для жителей Сибири, Казахстана, Средней Азии и Западного Китая.</w:t>
      </w:r>
    </w:p>
    <w:p w14:paraId="38E1A580"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Отмеченные выше благоприятные возможности перспективного развития Новосибирской области могут снижаться под воздействием следующих потенциальных угроз.</w:t>
      </w:r>
    </w:p>
    <w:p w14:paraId="4396FCC9"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1. </w:t>
      </w:r>
      <w:r w:rsidR="003F4CFF" w:rsidRPr="002E662C">
        <w:rPr>
          <w:rFonts w:ascii="Times New Roman" w:eastAsia="Times New Roman" w:hAnsi="Times New Roman" w:cs="Times New Roman"/>
          <w:sz w:val="28"/>
        </w:rPr>
        <w:t>Ограничение возможностей для экономического развития при усилении санкций, недостаточная экономическая и инвестиционная активность, в том числе по причине роста конкуренции российских регионов за привлечение финансовых ресурсов и инвестиций, не способствующие эффективной реализации человеческого потенциала региона и созданию достаточного числа высокопроизводительных рабочих мест.</w:t>
      </w:r>
    </w:p>
    <w:p w14:paraId="126C8A55"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2. </w:t>
      </w:r>
      <w:r w:rsidR="003F4CFF" w:rsidRPr="002E662C">
        <w:rPr>
          <w:rFonts w:ascii="Times New Roman" w:eastAsia="Times New Roman" w:hAnsi="Times New Roman" w:cs="Times New Roman"/>
          <w:sz w:val="28"/>
        </w:rPr>
        <w:t>Ограниченные возможности сбыта на внутреннем рынке по причине низкой емкости регионального рынка, возможного снижения платежеспособного спроса, а также из-за ценовой конкуренции с продукцией невысокого качества из других регионов России и Китая.</w:t>
      </w:r>
    </w:p>
    <w:p w14:paraId="69039427" w14:textId="77777777" w:rsidR="003F4CFF" w:rsidRPr="002E662C" w:rsidRDefault="00973A7C"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3. </w:t>
      </w:r>
      <w:r w:rsidR="003F4CFF" w:rsidRPr="002E662C">
        <w:rPr>
          <w:rFonts w:ascii="Times New Roman" w:eastAsia="Times New Roman" w:hAnsi="Times New Roman" w:cs="Times New Roman"/>
          <w:sz w:val="28"/>
        </w:rPr>
        <w:t>Утрата интеллектуального лидерства и потеря компетенций во многих научных направлениях в связи с низким спросом на инновации в регионе по причине низкой платежеспособности основных заказчиков регионального рынка и низкой восприимчивости реального сектора экономики к инновациям.</w:t>
      </w:r>
    </w:p>
    <w:p w14:paraId="49577BA0" w14:textId="77777777" w:rsidR="003F4CFF" w:rsidRPr="002E662C" w:rsidRDefault="00BD1EFA"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4. </w:t>
      </w:r>
      <w:r w:rsidR="003F4CFF" w:rsidRPr="002E662C">
        <w:rPr>
          <w:rFonts w:ascii="Times New Roman" w:eastAsia="Times New Roman" w:hAnsi="Times New Roman" w:cs="Times New Roman"/>
          <w:sz w:val="28"/>
        </w:rPr>
        <w:t xml:space="preserve">Дальнейший неконтролируемый рост сферы торгово-посреднических услуг без надлежащего увеличения их качества, приводящий к острой конкуренции за трудовые и финансовые ресурсы, земельные площади и так далее, ослаблению </w:t>
      </w:r>
      <w:r w:rsidR="003F4CFF" w:rsidRPr="002E662C">
        <w:rPr>
          <w:rFonts w:ascii="Times New Roman" w:eastAsia="Times New Roman" w:hAnsi="Times New Roman" w:cs="Times New Roman"/>
          <w:sz w:val="28"/>
        </w:rPr>
        <w:lastRenderedPageBreak/>
        <w:t>возможностей развития секторов материального производства экономики региона и усилению социального расслоения общества.</w:t>
      </w:r>
    </w:p>
    <w:p w14:paraId="3C2E92B3" w14:textId="77777777" w:rsidR="003F4CFF" w:rsidRPr="002E662C" w:rsidRDefault="00BD1EFA"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5. </w:t>
      </w:r>
      <w:r w:rsidR="003F4CFF" w:rsidRPr="002E662C">
        <w:rPr>
          <w:rFonts w:ascii="Times New Roman" w:eastAsia="Times New Roman" w:hAnsi="Times New Roman" w:cs="Times New Roman"/>
          <w:sz w:val="28"/>
        </w:rPr>
        <w:t>Возможный бурный экономический рост других регионов России, что в условиях общего дефицита трудовых ресурсов может вызвать потенциальную угрозу перелива в эти регионы квалифицированных кадров из Новосибирской области (в случае предоставления им гарантий более высокой оплаты труда или обеспечения жильем).</w:t>
      </w:r>
    </w:p>
    <w:p w14:paraId="61BEB43E" w14:textId="77777777" w:rsidR="003F4CFF" w:rsidRPr="002E662C" w:rsidRDefault="00BD1EFA"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6. </w:t>
      </w:r>
      <w:r w:rsidR="003F4CFF" w:rsidRPr="002E662C">
        <w:rPr>
          <w:rFonts w:ascii="Times New Roman" w:eastAsia="Times New Roman" w:hAnsi="Times New Roman" w:cs="Times New Roman"/>
          <w:sz w:val="28"/>
        </w:rPr>
        <w:t>Ускоренное развитие Новосибирской городской агломерации без надлежащей поддержки и гармоничного развития других территорий и сельских поселений области.</w:t>
      </w:r>
    </w:p>
    <w:p w14:paraId="6C1598D8" w14:textId="77777777" w:rsidR="003F4CFF" w:rsidRPr="002E662C" w:rsidRDefault="00BD1EFA"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7. </w:t>
      </w:r>
      <w:r w:rsidR="003F4CFF" w:rsidRPr="002E662C">
        <w:rPr>
          <w:rFonts w:ascii="Times New Roman" w:eastAsia="Times New Roman" w:hAnsi="Times New Roman" w:cs="Times New Roman"/>
          <w:sz w:val="28"/>
        </w:rPr>
        <w:t>Утрата городом Новосибирском привлекательности среди сибирских городов в результате нерешения задач по: снижению уровня преступности, повышению качества услуг здравоохранения и созданию комфортной и современной городской среды.</w:t>
      </w:r>
    </w:p>
    <w:p w14:paraId="13958D02" w14:textId="77777777" w:rsidR="003F4CFF" w:rsidRPr="002E662C" w:rsidRDefault="00BD1EFA"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8. </w:t>
      </w:r>
      <w:r w:rsidR="003F4CFF" w:rsidRPr="002E662C">
        <w:rPr>
          <w:rFonts w:ascii="Times New Roman" w:eastAsia="Times New Roman" w:hAnsi="Times New Roman" w:cs="Times New Roman"/>
          <w:sz w:val="28"/>
        </w:rPr>
        <w:t>Утрата лидерства в логистике и дистрибуции без проактивного опережающего развития транспортно-логистической инфраструктуры специализированных услуг и при сохранении на низком уровне технологического развития и компетенций местных компаний.</w:t>
      </w:r>
    </w:p>
    <w:p w14:paraId="6B4F46FD" w14:textId="77777777" w:rsidR="003F4CFF" w:rsidRPr="002E662C" w:rsidRDefault="00BD1EFA" w:rsidP="003F4CFF">
      <w:pPr>
        <w:ind w:firstLine="567"/>
        <w:jc w:val="both"/>
        <w:rPr>
          <w:rFonts w:ascii="Times New Roman" w:eastAsia="Times New Roman" w:hAnsi="Times New Roman" w:cs="Times New Roman"/>
          <w:sz w:val="28"/>
        </w:rPr>
      </w:pPr>
      <w:r>
        <w:rPr>
          <w:rFonts w:ascii="Times New Roman" w:eastAsia="Times New Roman" w:hAnsi="Times New Roman" w:cs="Times New Roman"/>
          <w:sz w:val="28"/>
        </w:rPr>
        <w:t>9. </w:t>
      </w:r>
      <w:r w:rsidR="003F4CFF" w:rsidRPr="002E662C">
        <w:rPr>
          <w:rFonts w:ascii="Times New Roman" w:eastAsia="Times New Roman" w:hAnsi="Times New Roman" w:cs="Times New Roman"/>
          <w:sz w:val="28"/>
        </w:rPr>
        <w:t>Усиление конкуренции за человеческие ресурсы. Общемировая тенденция старения населения характерна и для Новосибирской области. Учитывая сложившуюся половозрастную структуру, увеличиваются доли категорий населения младше и старше трудоспособного возраста, что в свою очередь приводит к увеличению нагрузки на трудоспособное население.</w:t>
      </w:r>
    </w:p>
    <w:p w14:paraId="5B6339C4"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 xml:space="preserve">С 2006 года в Новосибирской области отмечается сокращение численности населения трудоспособного возраста (мужчин в возрасте 16 - 59 лет и женщин в возрасте 16 - 54 лет). </w:t>
      </w:r>
    </w:p>
    <w:p w14:paraId="08ABF6BD" w14:textId="77777777" w:rsidR="003F4CFF" w:rsidRPr="002E662C" w:rsidRDefault="003F4CFF" w:rsidP="003F4CFF">
      <w:pPr>
        <w:ind w:firstLine="567"/>
        <w:jc w:val="both"/>
        <w:rPr>
          <w:rFonts w:ascii="Times New Roman" w:eastAsia="Times New Roman" w:hAnsi="Times New Roman" w:cs="Times New Roman"/>
          <w:sz w:val="28"/>
        </w:rPr>
      </w:pPr>
      <w:r w:rsidRPr="002E662C">
        <w:rPr>
          <w:rFonts w:ascii="Times New Roman" w:eastAsia="Times New Roman" w:hAnsi="Times New Roman" w:cs="Times New Roman"/>
          <w:sz w:val="28"/>
        </w:rPr>
        <w:t>Отмеченные потенциальные угрозы имеют разную степень вероятности и влияния на развитие региона в отдельные временные промежутки. Большинство из них имеет внешний по отношению к Новосибирской области характер.</w:t>
      </w:r>
    </w:p>
    <w:p w14:paraId="48255EAA" w14:textId="77777777" w:rsidR="003F4CFF" w:rsidRPr="002E3DD6" w:rsidRDefault="003F4CFF" w:rsidP="003F4CFF">
      <w:pPr>
        <w:pStyle w:val="ac"/>
        <w:ind w:firstLine="567"/>
        <w:jc w:val="both"/>
        <w:outlineLvl w:val="3"/>
        <w:rPr>
          <w:rFonts w:ascii="Times New Roman" w:hAnsi="Times New Roman"/>
          <w:b/>
        </w:rPr>
      </w:pPr>
      <w:r>
        <w:rPr>
          <w:rFonts w:ascii="Times New Roman" w:hAnsi="Times New Roman"/>
          <w:b/>
        </w:rPr>
        <w:t>2.3.1.2. </w:t>
      </w:r>
      <w:r w:rsidRPr="002E3DD6">
        <w:rPr>
          <w:rFonts w:ascii="Times New Roman" w:hAnsi="Times New Roman"/>
          <w:b/>
        </w:rPr>
        <w:t>Структурные показатели состояния конкуренции в Новосибирской области</w:t>
      </w:r>
    </w:p>
    <w:p w14:paraId="5CAD8DD3" w14:textId="77777777" w:rsidR="003F4CFF" w:rsidRPr="00385C29" w:rsidRDefault="003F4CFF" w:rsidP="003F4CFF">
      <w:pPr>
        <w:ind w:firstLine="567"/>
        <w:jc w:val="both"/>
        <w:rPr>
          <w:rFonts w:ascii="Times New Roman" w:eastAsia="Times New Roman" w:hAnsi="Times New Roman" w:cs="Times New Roman"/>
          <w:sz w:val="28"/>
          <w:szCs w:val="28"/>
        </w:rPr>
      </w:pPr>
      <w:r w:rsidRPr="00385C29">
        <w:rPr>
          <w:rFonts w:ascii="Times New Roman" w:eastAsia="Times New Roman" w:hAnsi="Times New Roman" w:cs="Times New Roman"/>
          <w:sz w:val="28"/>
          <w:szCs w:val="28"/>
        </w:rPr>
        <w:t xml:space="preserve">Структурные показатели состояния конкуренции в Новосибирской области получены на основе данных Территориального органа Федеральной службы государственной статистики по Новосибирской области, Единого реестра субъектов малого и среднего предпринимательства, Управления Федеральной налоговой службы по Новосибирской области. </w:t>
      </w:r>
    </w:p>
    <w:p w14:paraId="0926D157" w14:textId="19FCBAFB" w:rsidR="006B2C8D" w:rsidRDefault="003F4CFF" w:rsidP="003F4CFF">
      <w:pPr>
        <w:ind w:firstLine="567"/>
        <w:jc w:val="both"/>
        <w:rPr>
          <w:rFonts w:ascii="Times New Roman" w:eastAsia="Times New Roman" w:hAnsi="Times New Roman" w:cs="Times New Roman"/>
          <w:sz w:val="28"/>
          <w:szCs w:val="28"/>
        </w:rPr>
      </w:pPr>
      <w:r w:rsidRPr="00385C29">
        <w:rPr>
          <w:rFonts w:ascii="Times New Roman" w:eastAsia="Times New Roman" w:hAnsi="Times New Roman" w:cs="Times New Roman"/>
          <w:sz w:val="28"/>
          <w:szCs w:val="28"/>
        </w:rPr>
        <w:t>Одним из основных показателей, отражающих состояние конкурентной среды, является количество зарегистрированных организаций в регионе. По данным Территориального органа Федеральной службы государственной статистики по Новосибирской области с 2016 г</w:t>
      </w:r>
      <w:r w:rsidR="003B6AC9">
        <w:rPr>
          <w:rFonts w:ascii="Times New Roman" w:eastAsia="Times New Roman" w:hAnsi="Times New Roman" w:cs="Times New Roman"/>
          <w:sz w:val="28"/>
          <w:szCs w:val="28"/>
        </w:rPr>
        <w:t xml:space="preserve">ода </w:t>
      </w:r>
      <w:r w:rsidRPr="00385C29">
        <w:rPr>
          <w:rFonts w:ascii="Times New Roman" w:eastAsia="Times New Roman" w:hAnsi="Times New Roman" w:cs="Times New Roman"/>
          <w:sz w:val="28"/>
          <w:szCs w:val="28"/>
        </w:rPr>
        <w:t xml:space="preserve">началось снижение количества организаций. </w:t>
      </w:r>
    </w:p>
    <w:p w14:paraId="3139A97C" w14:textId="362FE906" w:rsidR="003F4CFF" w:rsidRPr="00385C29" w:rsidRDefault="003F4CFF" w:rsidP="003F4CFF">
      <w:pPr>
        <w:ind w:firstLine="567"/>
        <w:jc w:val="both"/>
        <w:rPr>
          <w:rFonts w:ascii="Times New Roman" w:eastAsia="Times New Roman" w:hAnsi="Times New Roman" w:cs="Times New Roman"/>
          <w:sz w:val="28"/>
          <w:szCs w:val="28"/>
        </w:rPr>
      </w:pPr>
      <w:r w:rsidRPr="00385C29">
        <w:rPr>
          <w:rFonts w:ascii="Times New Roman" w:eastAsia="Times New Roman" w:hAnsi="Times New Roman" w:cs="Times New Roman"/>
          <w:sz w:val="28"/>
          <w:szCs w:val="28"/>
        </w:rPr>
        <w:t>На 01.09.2019 общее количество организаций составило 105834 (-26,1% к 01.01.2016). В течение 2019 г</w:t>
      </w:r>
      <w:r w:rsidR="006B2C8D">
        <w:rPr>
          <w:rFonts w:ascii="Times New Roman" w:eastAsia="Times New Roman" w:hAnsi="Times New Roman" w:cs="Times New Roman"/>
          <w:sz w:val="28"/>
          <w:szCs w:val="28"/>
        </w:rPr>
        <w:t>ода</w:t>
      </w:r>
      <w:r w:rsidRPr="00385C29">
        <w:rPr>
          <w:rFonts w:ascii="Times New Roman" w:eastAsia="Times New Roman" w:hAnsi="Times New Roman" w:cs="Times New Roman"/>
          <w:sz w:val="28"/>
          <w:szCs w:val="28"/>
        </w:rPr>
        <w:t xml:space="preserve"> количество хозяйствующих субъектов снизилось с 113969 до 105834</w:t>
      </w:r>
      <w:r w:rsidR="003B6AC9">
        <w:rPr>
          <w:rFonts w:ascii="Times New Roman" w:eastAsia="Times New Roman" w:hAnsi="Times New Roman" w:cs="Times New Roman"/>
          <w:sz w:val="28"/>
          <w:szCs w:val="28"/>
        </w:rPr>
        <w:t xml:space="preserve"> (-</w:t>
      </w:r>
      <w:r w:rsidR="003B6AC9" w:rsidRPr="00385C29">
        <w:rPr>
          <w:rFonts w:ascii="Times New Roman" w:eastAsia="Times New Roman" w:hAnsi="Times New Roman" w:cs="Times New Roman"/>
          <w:sz w:val="28"/>
          <w:szCs w:val="28"/>
        </w:rPr>
        <w:t xml:space="preserve"> 7,1%</w:t>
      </w:r>
      <w:r w:rsidR="003B6AC9">
        <w:rPr>
          <w:rFonts w:ascii="Times New Roman" w:eastAsia="Times New Roman" w:hAnsi="Times New Roman" w:cs="Times New Roman"/>
          <w:sz w:val="28"/>
          <w:szCs w:val="28"/>
        </w:rPr>
        <w:t>)</w:t>
      </w:r>
      <w:r w:rsidRPr="00385C29">
        <w:rPr>
          <w:rFonts w:ascii="Times New Roman" w:eastAsia="Times New Roman" w:hAnsi="Times New Roman" w:cs="Times New Roman"/>
          <w:sz w:val="28"/>
          <w:szCs w:val="28"/>
        </w:rPr>
        <w:t>.</w:t>
      </w:r>
    </w:p>
    <w:p w14:paraId="0C27BA57" w14:textId="3CAD914A" w:rsidR="003F4CFF" w:rsidRPr="00385C29" w:rsidRDefault="003F4CFF" w:rsidP="003F4CFF">
      <w:pPr>
        <w:ind w:firstLine="567"/>
        <w:jc w:val="both"/>
        <w:rPr>
          <w:rFonts w:ascii="Times New Roman" w:eastAsia="Times New Roman" w:hAnsi="Times New Roman" w:cs="Times New Roman"/>
          <w:sz w:val="28"/>
          <w:szCs w:val="28"/>
        </w:rPr>
      </w:pPr>
      <w:r w:rsidRPr="00385C29">
        <w:rPr>
          <w:rFonts w:ascii="Times New Roman" w:eastAsia="Times New Roman" w:hAnsi="Times New Roman" w:cs="Times New Roman"/>
          <w:sz w:val="28"/>
          <w:szCs w:val="28"/>
        </w:rPr>
        <w:lastRenderedPageBreak/>
        <w:t>Показатели демографии организаций говорят о снижении количества организаций в 2019 г</w:t>
      </w:r>
      <w:r w:rsidR="003B6AC9">
        <w:rPr>
          <w:rFonts w:ascii="Times New Roman" w:eastAsia="Times New Roman" w:hAnsi="Times New Roman" w:cs="Times New Roman"/>
          <w:sz w:val="28"/>
          <w:szCs w:val="28"/>
        </w:rPr>
        <w:t>оду</w:t>
      </w:r>
      <w:r w:rsidRPr="00385C29">
        <w:rPr>
          <w:rFonts w:ascii="Times New Roman" w:eastAsia="Times New Roman" w:hAnsi="Times New Roman" w:cs="Times New Roman"/>
          <w:sz w:val="28"/>
          <w:szCs w:val="28"/>
        </w:rPr>
        <w:t xml:space="preserve"> за счет высокого коэффициента ликвидации (143,4 с я</w:t>
      </w:r>
      <w:r>
        <w:rPr>
          <w:rFonts w:ascii="Times New Roman" w:eastAsia="Times New Roman" w:hAnsi="Times New Roman" w:cs="Times New Roman"/>
          <w:sz w:val="28"/>
          <w:szCs w:val="28"/>
        </w:rPr>
        <w:t>нваря по сентябрь 2019 г</w:t>
      </w:r>
      <w:r w:rsidR="003B6AC9">
        <w:rPr>
          <w:rFonts w:ascii="Times New Roman" w:eastAsia="Times New Roman" w:hAnsi="Times New Roman" w:cs="Times New Roman"/>
          <w:sz w:val="28"/>
          <w:szCs w:val="28"/>
        </w:rPr>
        <w:t>ода</w:t>
      </w:r>
      <w:r>
        <w:rPr>
          <w:rFonts w:ascii="Times New Roman" w:eastAsia="Times New Roman" w:hAnsi="Times New Roman" w:cs="Times New Roman"/>
          <w:sz w:val="28"/>
          <w:szCs w:val="28"/>
        </w:rPr>
        <w:t>).</w:t>
      </w:r>
      <w:r w:rsidRPr="00385C29">
        <w:rPr>
          <w:rFonts w:ascii="Times New Roman" w:eastAsia="Times New Roman" w:hAnsi="Times New Roman" w:cs="Times New Roman"/>
          <w:sz w:val="28"/>
          <w:szCs w:val="28"/>
        </w:rPr>
        <w:t xml:space="preserve"> </w:t>
      </w:r>
    </w:p>
    <w:p w14:paraId="6B24493C" w14:textId="69AB9241" w:rsidR="003F4CFF" w:rsidRPr="00385C29" w:rsidRDefault="003F4CFF" w:rsidP="003F4CFF">
      <w:pPr>
        <w:ind w:firstLine="567"/>
        <w:jc w:val="both"/>
        <w:rPr>
          <w:rFonts w:ascii="Times New Roman" w:hAnsi="Times New Roman" w:cs="Times New Roman"/>
          <w:bCs/>
          <w:sz w:val="28"/>
          <w:szCs w:val="28"/>
        </w:rPr>
      </w:pPr>
      <w:r w:rsidRPr="00385C29">
        <w:rPr>
          <w:rFonts w:ascii="Times New Roman" w:hAnsi="Times New Roman" w:cs="Times New Roman"/>
          <w:bCs/>
          <w:sz w:val="28"/>
          <w:szCs w:val="28"/>
        </w:rPr>
        <w:t>На 01.09.2019 количество организаций частной формы собственности составляет 95135. В течение 2019 г</w:t>
      </w:r>
      <w:r w:rsidR="003B6AC9">
        <w:rPr>
          <w:rFonts w:ascii="Times New Roman" w:hAnsi="Times New Roman" w:cs="Times New Roman"/>
          <w:bCs/>
          <w:sz w:val="28"/>
          <w:szCs w:val="28"/>
        </w:rPr>
        <w:t>ода</w:t>
      </w:r>
      <w:r w:rsidRPr="00385C29">
        <w:rPr>
          <w:rFonts w:ascii="Times New Roman" w:hAnsi="Times New Roman" w:cs="Times New Roman"/>
          <w:bCs/>
          <w:sz w:val="28"/>
          <w:szCs w:val="28"/>
        </w:rPr>
        <w:t xml:space="preserve"> их количе</w:t>
      </w:r>
      <w:r>
        <w:rPr>
          <w:rFonts w:ascii="Times New Roman" w:hAnsi="Times New Roman" w:cs="Times New Roman"/>
          <w:bCs/>
          <w:sz w:val="28"/>
          <w:szCs w:val="28"/>
        </w:rPr>
        <w:t>ство снизилось на 7826 (-7,7%).</w:t>
      </w:r>
    </w:p>
    <w:p w14:paraId="6A1A7463" w14:textId="77777777" w:rsidR="003F4CFF" w:rsidRDefault="003F4CFF" w:rsidP="003F4CFF">
      <w:pPr>
        <w:jc w:val="both"/>
        <w:rPr>
          <w:rFonts w:ascii="Times New Roman" w:eastAsia="Times New Roman" w:hAnsi="Times New Roman" w:cs="Times New Roman"/>
          <w:sz w:val="28"/>
          <w:szCs w:val="28"/>
          <w:highlight w:val="yellow"/>
        </w:rPr>
      </w:pPr>
    </w:p>
    <w:p w14:paraId="13EFE1E5" w14:textId="77777777" w:rsidR="003F4CFF" w:rsidRPr="005B076E" w:rsidRDefault="003F4CFF" w:rsidP="003F4CF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5 – </w:t>
      </w:r>
      <w:r w:rsidRPr="00674368">
        <w:rPr>
          <w:rFonts w:ascii="Times New Roman" w:eastAsia="Times New Roman" w:hAnsi="Times New Roman" w:cs="Times New Roman"/>
          <w:sz w:val="28"/>
          <w:szCs w:val="28"/>
        </w:rPr>
        <w:t>Структура организаций по формам собственности, % к общему количеству на начало отчетного периода</w:t>
      </w:r>
    </w:p>
    <w:tbl>
      <w:tblPr>
        <w:tblW w:w="5000" w:type="pct"/>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9"/>
        <w:gridCol w:w="895"/>
        <w:gridCol w:w="895"/>
        <w:gridCol w:w="597"/>
        <w:gridCol w:w="897"/>
        <w:gridCol w:w="746"/>
        <w:gridCol w:w="895"/>
        <w:gridCol w:w="746"/>
        <w:gridCol w:w="955"/>
        <w:gridCol w:w="1496"/>
      </w:tblGrid>
      <w:tr w:rsidR="003F4CFF" w:rsidRPr="00385C29" w14:paraId="1D55D17B" w14:textId="77777777" w:rsidTr="003F4CFF">
        <w:trPr>
          <w:trHeight w:val="340"/>
        </w:trPr>
        <w:tc>
          <w:tcPr>
            <w:tcW w:w="910" w:type="pct"/>
            <w:tcBorders>
              <w:top w:val="single" w:sz="4" w:space="0" w:color="auto"/>
              <w:left w:val="nil"/>
              <w:bottom w:val="single" w:sz="4" w:space="0" w:color="auto"/>
              <w:right w:val="single" w:sz="4" w:space="0" w:color="auto"/>
            </w:tcBorders>
            <w:shd w:val="clear" w:color="auto" w:fill="auto"/>
            <w:noWrap/>
            <w:hideMark/>
          </w:tcPr>
          <w:p w14:paraId="74B9BF31" w14:textId="77777777" w:rsidR="003F4CFF" w:rsidRPr="00212EAE" w:rsidRDefault="003F4CFF" w:rsidP="003F4CFF">
            <w:pPr>
              <w:rPr>
                <w:rFonts w:ascii="Times New Roman" w:eastAsia="Times New Roman" w:hAnsi="Times New Roman" w:cs="Times New Roman"/>
              </w:rPr>
            </w:pP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14E8B310"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2013</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3E2A34D2"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2014</w:t>
            </w:r>
          </w:p>
        </w:tc>
        <w:tc>
          <w:tcPr>
            <w:tcW w:w="304" w:type="pct"/>
            <w:tcBorders>
              <w:top w:val="single" w:sz="4" w:space="0" w:color="auto"/>
              <w:left w:val="single" w:sz="4" w:space="0" w:color="auto"/>
              <w:bottom w:val="single" w:sz="4" w:space="0" w:color="auto"/>
              <w:right w:val="single" w:sz="4" w:space="0" w:color="auto"/>
            </w:tcBorders>
            <w:shd w:val="clear" w:color="auto" w:fill="auto"/>
            <w:hideMark/>
          </w:tcPr>
          <w:p w14:paraId="7439251E"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2015</w:t>
            </w:r>
          </w:p>
        </w:tc>
        <w:tc>
          <w:tcPr>
            <w:tcW w:w="455" w:type="pct"/>
            <w:tcBorders>
              <w:top w:val="single" w:sz="4" w:space="0" w:color="auto"/>
              <w:left w:val="single" w:sz="4" w:space="0" w:color="auto"/>
              <w:bottom w:val="single" w:sz="4" w:space="0" w:color="auto"/>
              <w:right w:val="single" w:sz="4" w:space="0" w:color="auto"/>
            </w:tcBorders>
            <w:shd w:val="clear" w:color="auto" w:fill="auto"/>
            <w:hideMark/>
          </w:tcPr>
          <w:p w14:paraId="4F51DF04"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2016</w:t>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14:paraId="12E584AE"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2017</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0A1FD417"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2018</w:t>
            </w:r>
          </w:p>
        </w:tc>
        <w:tc>
          <w:tcPr>
            <w:tcW w:w="379" w:type="pct"/>
            <w:tcBorders>
              <w:top w:val="single" w:sz="4" w:space="0" w:color="auto"/>
              <w:left w:val="single" w:sz="4" w:space="0" w:color="auto"/>
              <w:bottom w:val="single" w:sz="4" w:space="0" w:color="auto"/>
              <w:right w:val="single" w:sz="4" w:space="0" w:color="auto"/>
            </w:tcBorders>
            <w:shd w:val="clear" w:color="auto" w:fill="auto"/>
            <w:noWrap/>
            <w:hideMark/>
          </w:tcPr>
          <w:p w14:paraId="021837C6"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2019</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762049FE" w14:textId="77777777" w:rsidR="003F4CFF" w:rsidRPr="00212EAE" w:rsidRDefault="003F4CFF" w:rsidP="003F4CFF">
            <w:pPr>
              <w:rPr>
                <w:rFonts w:ascii="Times New Roman" w:eastAsia="Times New Roman" w:hAnsi="Times New Roman" w:cs="Times New Roman"/>
              </w:rPr>
            </w:pPr>
            <w:r>
              <w:rPr>
                <w:rFonts w:ascii="Times New Roman" w:eastAsia="Times New Roman" w:hAnsi="Times New Roman" w:cs="Times New Roman"/>
              </w:rPr>
              <w:t>н</w:t>
            </w:r>
            <w:r w:rsidRPr="00212EAE">
              <w:rPr>
                <w:rFonts w:ascii="Times New Roman" w:eastAsia="Times New Roman" w:hAnsi="Times New Roman" w:cs="Times New Roman"/>
              </w:rPr>
              <w:t>а 01.09.2019</w:t>
            </w:r>
          </w:p>
        </w:tc>
        <w:tc>
          <w:tcPr>
            <w:tcW w:w="757" w:type="pct"/>
            <w:tcBorders>
              <w:top w:val="single" w:sz="4" w:space="0" w:color="auto"/>
              <w:left w:val="single" w:sz="4" w:space="0" w:color="auto"/>
              <w:bottom w:val="single" w:sz="4" w:space="0" w:color="auto"/>
              <w:right w:val="nil"/>
            </w:tcBorders>
            <w:shd w:val="clear" w:color="auto" w:fill="auto"/>
            <w:hideMark/>
          </w:tcPr>
          <w:p w14:paraId="4FC395C7"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Динамика количества организаций данной формы собственности с 01.01.2013 по 01.09.2019</w:t>
            </w:r>
          </w:p>
        </w:tc>
      </w:tr>
      <w:tr w:rsidR="003F4CFF" w:rsidRPr="00385C29" w14:paraId="74D5CC89" w14:textId="77777777" w:rsidTr="003F4CFF">
        <w:trPr>
          <w:trHeight w:val="340"/>
        </w:trPr>
        <w:tc>
          <w:tcPr>
            <w:tcW w:w="910" w:type="pct"/>
            <w:tcBorders>
              <w:top w:val="single" w:sz="4" w:space="0" w:color="auto"/>
              <w:left w:val="nil"/>
              <w:bottom w:val="single" w:sz="4" w:space="0" w:color="auto"/>
              <w:right w:val="single" w:sz="4" w:space="0" w:color="auto"/>
            </w:tcBorders>
            <w:hideMark/>
          </w:tcPr>
          <w:p w14:paraId="00521B87" w14:textId="77777777" w:rsidR="003F4CFF" w:rsidRPr="00385C29" w:rsidRDefault="003F4CFF" w:rsidP="003F4CFF">
            <w:pPr>
              <w:rPr>
                <w:rFonts w:ascii="Times New Roman" w:eastAsia="Times New Roman" w:hAnsi="Times New Roman" w:cs="Times New Roman"/>
              </w:rPr>
            </w:pPr>
            <w:r w:rsidRPr="00385C29">
              <w:rPr>
                <w:rFonts w:ascii="Times New Roman" w:eastAsia="Times New Roman" w:hAnsi="Times New Roman" w:cs="Times New Roman"/>
              </w:rPr>
              <w:t>Частная</w:t>
            </w:r>
          </w:p>
        </w:tc>
        <w:tc>
          <w:tcPr>
            <w:tcW w:w="454" w:type="pct"/>
            <w:tcBorders>
              <w:top w:val="single" w:sz="4" w:space="0" w:color="auto"/>
              <w:left w:val="single" w:sz="4" w:space="0" w:color="auto"/>
              <w:bottom w:val="single" w:sz="4" w:space="0" w:color="auto"/>
              <w:right w:val="single" w:sz="4" w:space="0" w:color="auto"/>
            </w:tcBorders>
            <w:noWrap/>
            <w:hideMark/>
          </w:tcPr>
          <w:p w14:paraId="68F6B43A" w14:textId="77777777" w:rsidR="003F4CFF" w:rsidRPr="00385C29" w:rsidRDefault="003F4CFF" w:rsidP="003F4CFF">
            <w:pPr>
              <w:rPr>
                <w:rFonts w:ascii="Times New Roman" w:hAnsi="Times New Roman" w:cs="Times New Roman"/>
                <w:lang w:eastAsia="en-US"/>
              </w:rPr>
            </w:pPr>
            <w:r w:rsidRPr="00385C29">
              <w:rPr>
                <w:rFonts w:ascii="Times New Roman" w:hAnsi="Times New Roman" w:cs="Times New Roman"/>
              </w:rPr>
              <w:t>92,1%</w:t>
            </w:r>
          </w:p>
        </w:tc>
        <w:tc>
          <w:tcPr>
            <w:tcW w:w="454" w:type="pct"/>
            <w:tcBorders>
              <w:top w:val="single" w:sz="4" w:space="0" w:color="auto"/>
              <w:left w:val="single" w:sz="4" w:space="0" w:color="auto"/>
              <w:bottom w:val="single" w:sz="4" w:space="0" w:color="auto"/>
              <w:right w:val="single" w:sz="4" w:space="0" w:color="auto"/>
            </w:tcBorders>
            <w:noWrap/>
            <w:hideMark/>
          </w:tcPr>
          <w:p w14:paraId="5B6CF906"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92,1%</w:t>
            </w:r>
          </w:p>
        </w:tc>
        <w:tc>
          <w:tcPr>
            <w:tcW w:w="304" w:type="pct"/>
            <w:tcBorders>
              <w:top w:val="single" w:sz="4" w:space="0" w:color="auto"/>
              <w:left w:val="single" w:sz="4" w:space="0" w:color="auto"/>
              <w:bottom w:val="single" w:sz="4" w:space="0" w:color="auto"/>
              <w:right w:val="single" w:sz="4" w:space="0" w:color="auto"/>
            </w:tcBorders>
            <w:noWrap/>
            <w:hideMark/>
          </w:tcPr>
          <w:p w14:paraId="7E9A4F3D"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92,2%</w:t>
            </w:r>
          </w:p>
        </w:tc>
        <w:tc>
          <w:tcPr>
            <w:tcW w:w="455" w:type="pct"/>
            <w:tcBorders>
              <w:top w:val="single" w:sz="4" w:space="0" w:color="auto"/>
              <w:left w:val="single" w:sz="4" w:space="0" w:color="auto"/>
              <w:bottom w:val="single" w:sz="4" w:space="0" w:color="auto"/>
              <w:right w:val="single" w:sz="4" w:space="0" w:color="auto"/>
            </w:tcBorders>
            <w:noWrap/>
            <w:hideMark/>
          </w:tcPr>
          <w:p w14:paraId="00DEE53A"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92,3%</w:t>
            </w:r>
          </w:p>
        </w:tc>
        <w:tc>
          <w:tcPr>
            <w:tcW w:w="379" w:type="pct"/>
            <w:tcBorders>
              <w:top w:val="single" w:sz="4" w:space="0" w:color="auto"/>
              <w:left w:val="single" w:sz="4" w:space="0" w:color="auto"/>
              <w:bottom w:val="single" w:sz="4" w:space="0" w:color="auto"/>
              <w:right w:val="single" w:sz="4" w:space="0" w:color="auto"/>
            </w:tcBorders>
            <w:noWrap/>
            <w:hideMark/>
          </w:tcPr>
          <w:p w14:paraId="020CA489"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91,5%</w:t>
            </w:r>
          </w:p>
        </w:tc>
        <w:tc>
          <w:tcPr>
            <w:tcW w:w="454" w:type="pct"/>
            <w:tcBorders>
              <w:top w:val="single" w:sz="4" w:space="0" w:color="auto"/>
              <w:left w:val="single" w:sz="4" w:space="0" w:color="auto"/>
              <w:bottom w:val="single" w:sz="4" w:space="0" w:color="auto"/>
              <w:right w:val="single" w:sz="4" w:space="0" w:color="auto"/>
            </w:tcBorders>
            <w:noWrap/>
            <w:hideMark/>
          </w:tcPr>
          <w:p w14:paraId="3A10D3AB"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93,2%</w:t>
            </w:r>
          </w:p>
        </w:tc>
        <w:tc>
          <w:tcPr>
            <w:tcW w:w="379" w:type="pct"/>
            <w:tcBorders>
              <w:top w:val="single" w:sz="4" w:space="0" w:color="auto"/>
              <w:left w:val="single" w:sz="4" w:space="0" w:color="auto"/>
              <w:bottom w:val="single" w:sz="4" w:space="0" w:color="auto"/>
              <w:right w:val="single" w:sz="4" w:space="0" w:color="auto"/>
            </w:tcBorders>
            <w:noWrap/>
            <w:hideMark/>
          </w:tcPr>
          <w:p w14:paraId="3295196E"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90,3%</w:t>
            </w:r>
          </w:p>
        </w:tc>
        <w:tc>
          <w:tcPr>
            <w:tcW w:w="454" w:type="pct"/>
            <w:tcBorders>
              <w:top w:val="single" w:sz="4" w:space="0" w:color="auto"/>
              <w:left w:val="single" w:sz="4" w:space="0" w:color="auto"/>
              <w:bottom w:val="single" w:sz="4" w:space="0" w:color="auto"/>
              <w:right w:val="single" w:sz="4" w:space="0" w:color="auto"/>
            </w:tcBorders>
            <w:hideMark/>
          </w:tcPr>
          <w:p w14:paraId="1CFD5513"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89,9%</w:t>
            </w:r>
          </w:p>
        </w:tc>
        <w:tc>
          <w:tcPr>
            <w:tcW w:w="757" w:type="pct"/>
            <w:tcBorders>
              <w:top w:val="single" w:sz="4" w:space="0" w:color="auto"/>
              <w:left w:val="single" w:sz="4" w:space="0" w:color="auto"/>
              <w:bottom w:val="single" w:sz="4" w:space="0" w:color="auto"/>
              <w:right w:val="nil"/>
            </w:tcBorders>
            <w:hideMark/>
          </w:tcPr>
          <w:p w14:paraId="3DB571A6"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71,7%</w:t>
            </w:r>
          </w:p>
        </w:tc>
      </w:tr>
      <w:tr w:rsidR="003F4CFF" w:rsidRPr="00385C29" w14:paraId="7DFFBAF1" w14:textId="77777777" w:rsidTr="003F4CFF">
        <w:trPr>
          <w:trHeight w:val="340"/>
        </w:trPr>
        <w:tc>
          <w:tcPr>
            <w:tcW w:w="910" w:type="pct"/>
            <w:tcBorders>
              <w:top w:val="single" w:sz="4" w:space="0" w:color="auto"/>
              <w:left w:val="nil"/>
              <w:bottom w:val="single" w:sz="4" w:space="0" w:color="auto"/>
              <w:right w:val="single" w:sz="4" w:space="0" w:color="auto"/>
            </w:tcBorders>
            <w:hideMark/>
          </w:tcPr>
          <w:p w14:paraId="49149ECD" w14:textId="77777777" w:rsidR="003F4CFF" w:rsidRPr="00385C29" w:rsidRDefault="003F4CFF" w:rsidP="003F4CFF">
            <w:pPr>
              <w:rPr>
                <w:rFonts w:ascii="Times New Roman" w:eastAsia="Times New Roman" w:hAnsi="Times New Roman" w:cs="Times New Roman"/>
              </w:rPr>
            </w:pPr>
            <w:r>
              <w:rPr>
                <w:rFonts w:ascii="Times New Roman" w:eastAsia="Times New Roman" w:hAnsi="Times New Roman" w:cs="Times New Roman"/>
              </w:rPr>
              <w:t>Государственная и муниципальная</w:t>
            </w:r>
          </w:p>
        </w:tc>
        <w:tc>
          <w:tcPr>
            <w:tcW w:w="454" w:type="pct"/>
            <w:tcBorders>
              <w:top w:val="single" w:sz="4" w:space="0" w:color="auto"/>
              <w:left w:val="single" w:sz="4" w:space="0" w:color="auto"/>
              <w:bottom w:val="single" w:sz="4" w:space="0" w:color="auto"/>
              <w:right w:val="single" w:sz="4" w:space="0" w:color="auto"/>
            </w:tcBorders>
            <w:noWrap/>
            <w:hideMark/>
          </w:tcPr>
          <w:p w14:paraId="371D0234" w14:textId="77777777" w:rsidR="003F4CFF" w:rsidRPr="00385C29" w:rsidRDefault="003F4CFF" w:rsidP="003F4CFF">
            <w:pPr>
              <w:rPr>
                <w:rFonts w:ascii="Times New Roman" w:hAnsi="Times New Roman" w:cs="Times New Roman"/>
                <w:lang w:eastAsia="en-US"/>
              </w:rPr>
            </w:pPr>
            <w:r w:rsidRPr="00385C29">
              <w:rPr>
                <w:rFonts w:ascii="Times New Roman" w:hAnsi="Times New Roman" w:cs="Times New Roman"/>
              </w:rPr>
              <w:t>4,1%</w:t>
            </w:r>
          </w:p>
        </w:tc>
        <w:tc>
          <w:tcPr>
            <w:tcW w:w="454" w:type="pct"/>
            <w:tcBorders>
              <w:top w:val="single" w:sz="4" w:space="0" w:color="auto"/>
              <w:left w:val="single" w:sz="4" w:space="0" w:color="auto"/>
              <w:bottom w:val="single" w:sz="4" w:space="0" w:color="auto"/>
              <w:right w:val="single" w:sz="4" w:space="0" w:color="auto"/>
            </w:tcBorders>
            <w:noWrap/>
            <w:hideMark/>
          </w:tcPr>
          <w:p w14:paraId="6EEA55A9"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4,2%</w:t>
            </w:r>
          </w:p>
        </w:tc>
        <w:tc>
          <w:tcPr>
            <w:tcW w:w="304" w:type="pct"/>
            <w:tcBorders>
              <w:top w:val="single" w:sz="4" w:space="0" w:color="auto"/>
              <w:left w:val="single" w:sz="4" w:space="0" w:color="auto"/>
              <w:bottom w:val="single" w:sz="4" w:space="0" w:color="auto"/>
              <w:right w:val="single" w:sz="4" w:space="0" w:color="auto"/>
            </w:tcBorders>
            <w:noWrap/>
            <w:hideMark/>
          </w:tcPr>
          <w:p w14:paraId="2EE52D41"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4,2%</w:t>
            </w:r>
          </w:p>
        </w:tc>
        <w:tc>
          <w:tcPr>
            <w:tcW w:w="455" w:type="pct"/>
            <w:tcBorders>
              <w:top w:val="single" w:sz="4" w:space="0" w:color="auto"/>
              <w:left w:val="single" w:sz="4" w:space="0" w:color="auto"/>
              <w:bottom w:val="single" w:sz="4" w:space="0" w:color="auto"/>
              <w:right w:val="single" w:sz="4" w:space="0" w:color="auto"/>
            </w:tcBorders>
            <w:noWrap/>
            <w:hideMark/>
          </w:tcPr>
          <w:p w14:paraId="2905F001"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4,0%</w:t>
            </w:r>
          </w:p>
        </w:tc>
        <w:tc>
          <w:tcPr>
            <w:tcW w:w="379" w:type="pct"/>
            <w:tcBorders>
              <w:top w:val="single" w:sz="4" w:space="0" w:color="auto"/>
              <w:left w:val="single" w:sz="4" w:space="0" w:color="auto"/>
              <w:bottom w:val="single" w:sz="4" w:space="0" w:color="auto"/>
              <w:right w:val="single" w:sz="4" w:space="0" w:color="auto"/>
            </w:tcBorders>
            <w:noWrap/>
            <w:hideMark/>
          </w:tcPr>
          <w:p w14:paraId="63D52496"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4,4%</w:t>
            </w:r>
          </w:p>
        </w:tc>
        <w:tc>
          <w:tcPr>
            <w:tcW w:w="454" w:type="pct"/>
            <w:tcBorders>
              <w:top w:val="single" w:sz="4" w:space="0" w:color="auto"/>
              <w:left w:val="single" w:sz="4" w:space="0" w:color="auto"/>
              <w:bottom w:val="single" w:sz="4" w:space="0" w:color="auto"/>
              <w:right w:val="single" w:sz="4" w:space="0" w:color="auto"/>
            </w:tcBorders>
            <w:noWrap/>
            <w:hideMark/>
          </w:tcPr>
          <w:p w14:paraId="02E9809D"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4,6%</w:t>
            </w:r>
          </w:p>
        </w:tc>
        <w:tc>
          <w:tcPr>
            <w:tcW w:w="379" w:type="pct"/>
            <w:tcBorders>
              <w:top w:val="single" w:sz="4" w:space="0" w:color="auto"/>
              <w:left w:val="single" w:sz="4" w:space="0" w:color="auto"/>
              <w:bottom w:val="single" w:sz="4" w:space="0" w:color="auto"/>
              <w:right w:val="single" w:sz="4" w:space="0" w:color="auto"/>
            </w:tcBorders>
            <w:noWrap/>
            <w:hideMark/>
          </w:tcPr>
          <w:p w14:paraId="52F7ACA6"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4,9%</w:t>
            </w:r>
          </w:p>
        </w:tc>
        <w:tc>
          <w:tcPr>
            <w:tcW w:w="454" w:type="pct"/>
            <w:tcBorders>
              <w:top w:val="single" w:sz="4" w:space="0" w:color="auto"/>
              <w:left w:val="single" w:sz="4" w:space="0" w:color="auto"/>
              <w:bottom w:val="single" w:sz="4" w:space="0" w:color="auto"/>
              <w:right w:val="single" w:sz="4" w:space="0" w:color="auto"/>
            </w:tcBorders>
            <w:hideMark/>
          </w:tcPr>
          <w:p w14:paraId="02A73D32"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5,2%</w:t>
            </w:r>
          </w:p>
        </w:tc>
        <w:tc>
          <w:tcPr>
            <w:tcW w:w="757" w:type="pct"/>
            <w:tcBorders>
              <w:top w:val="single" w:sz="4" w:space="0" w:color="auto"/>
              <w:left w:val="single" w:sz="4" w:space="0" w:color="auto"/>
              <w:bottom w:val="single" w:sz="4" w:space="0" w:color="auto"/>
              <w:right w:val="nil"/>
            </w:tcBorders>
            <w:hideMark/>
          </w:tcPr>
          <w:p w14:paraId="64E345F5"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91,4%</w:t>
            </w:r>
          </w:p>
        </w:tc>
      </w:tr>
      <w:tr w:rsidR="003F4CFF" w:rsidRPr="00385C29" w14:paraId="5507A5BD" w14:textId="77777777" w:rsidTr="003F4CFF">
        <w:trPr>
          <w:trHeight w:val="340"/>
        </w:trPr>
        <w:tc>
          <w:tcPr>
            <w:tcW w:w="910" w:type="pct"/>
            <w:tcBorders>
              <w:top w:val="single" w:sz="4" w:space="0" w:color="auto"/>
              <w:left w:val="nil"/>
              <w:bottom w:val="single" w:sz="4" w:space="0" w:color="auto"/>
              <w:right w:val="single" w:sz="4" w:space="0" w:color="auto"/>
            </w:tcBorders>
            <w:hideMark/>
          </w:tcPr>
          <w:p w14:paraId="56B3B8D1" w14:textId="77777777" w:rsidR="003F4CFF" w:rsidRPr="00385C29" w:rsidRDefault="003F4CFF" w:rsidP="003F4CFF">
            <w:pPr>
              <w:rPr>
                <w:rFonts w:ascii="Times New Roman" w:eastAsia="Times New Roman" w:hAnsi="Times New Roman" w:cs="Times New Roman"/>
              </w:rPr>
            </w:pPr>
            <w:r w:rsidRPr="00385C29">
              <w:rPr>
                <w:rFonts w:ascii="Times New Roman" w:eastAsia="Times New Roman" w:hAnsi="Times New Roman" w:cs="Times New Roman"/>
              </w:rPr>
              <w:t>Смешанная российская</w:t>
            </w:r>
          </w:p>
        </w:tc>
        <w:tc>
          <w:tcPr>
            <w:tcW w:w="454" w:type="pct"/>
            <w:tcBorders>
              <w:top w:val="single" w:sz="4" w:space="0" w:color="auto"/>
              <w:left w:val="single" w:sz="4" w:space="0" w:color="auto"/>
              <w:bottom w:val="single" w:sz="4" w:space="0" w:color="auto"/>
              <w:right w:val="single" w:sz="4" w:space="0" w:color="auto"/>
            </w:tcBorders>
            <w:noWrap/>
            <w:hideMark/>
          </w:tcPr>
          <w:p w14:paraId="47C62123" w14:textId="77777777" w:rsidR="003F4CFF" w:rsidRPr="00385C29" w:rsidRDefault="003F4CFF" w:rsidP="003F4CFF">
            <w:pPr>
              <w:rPr>
                <w:rFonts w:ascii="Times New Roman" w:hAnsi="Times New Roman" w:cs="Times New Roman"/>
                <w:lang w:eastAsia="en-US"/>
              </w:rPr>
            </w:pPr>
            <w:r w:rsidRPr="00385C29">
              <w:rPr>
                <w:rFonts w:ascii="Times New Roman" w:hAnsi="Times New Roman" w:cs="Times New Roman"/>
              </w:rPr>
              <w:t>0,4%</w:t>
            </w:r>
          </w:p>
        </w:tc>
        <w:tc>
          <w:tcPr>
            <w:tcW w:w="454" w:type="pct"/>
            <w:tcBorders>
              <w:top w:val="single" w:sz="4" w:space="0" w:color="auto"/>
              <w:left w:val="single" w:sz="4" w:space="0" w:color="auto"/>
              <w:bottom w:val="single" w:sz="4" w:space="0" w:color="auto"/>
              <w:right w:val="single" w:sz="4" w:space="0" w:color="auto"/>
            </w:tcBorders>
            <w:noWrap/>
            <w:hideMark/>
          </w:tcPr>
          <w:p w14:paraId="16F2152F"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0,4%</w:t>
            </w:r>
          </w:p>
        </w:tc>
        <w:tc>
          <w:tcPr>
            <w:tcW w:w="304" w:type="pct"/>
            <w:tcBorders>
              <w:top w:val="single" w:sz="4" w:space="0" w:color="auto"/>
              <w:left w:val="single" w:sz="4" w:space="0" w:color="auto"/>
              <w:bottom w:val="single" w:sz="4" w:space="0" w:color="auto"/>
              <w:right w:val="single" w:sz="4" w:space="0" w:color="auto"/>
            </w:tcBorders>
            <w:noWrap/>
            <w:hideMark/>
          </w:tcPr>
          <w:p w14:paraId="60235AE7"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0,3%</w:t>
            </w:r>
          </w:p>
        </w:tc>
        <w:tc>
          <w:tcPr>
            <w:tcW w:w="455" w:type="pct"/>
            <w:tcBorders>
              <w:top w:val="single" w:sz="4" w:space="0" w:color="auto"/>
              <w:left w:val="single" w:sz="4" w:space="0" w:color="auto"/>
              <w:bottom w:val="single" w:sz="4" w:space="0" w:color="auto"/>
              <w:right w:val="single" w:sz="4" w:space="0" w:color="auto"/>
            </w:tcBorders>
            <w:noWrap/>
            <w:hideMark/>
          </w:tcPr>
          <w:p w14:paraId="47633DEA"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0,3%</w:t>
            </w:r>
          </w:p>
        </w:tc>
        <w:tc>
          <w:tcPr>
            <w:tcW w:w="379" w:type="pct"/>
            <w:tcBorders>
              <w:top w:val="single" w:sz="4" w:space="0" w:color="auto"/>
              <w:left w:val="single" w:sz="4" w:space="0" w:color="auto"/>
              <w:bottom w:val="single" w:sz="4" w:space="0" w:color="auto"/>
              <w:right w:val="single" w:sz="4" w:space="0" w:color="auto"/>
            </w:tcBorders>
            <w:noWrap/>
            <w:hideMark/>
          </w:tcPr>
          <w:p w14:paraId="454B065C"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0,3%</w:t>
            </w:r>
          </w:p>
        </w:tc>
        <w:tc>
          <w:tcPr>
            <w:tcW w:w="454" w:type="pct"/>
            <w:tcBorders>
              <w:top w:val="single" w:sz="4" w:space="0" w:color="auto"/>
              <w:left w:val="single" w:sz="4" w:space="0" w:color="auto"/>
              <w:bottom w:val="single" w:sz="4" w:space="0" w:color="auto"/>
              <w:right w:val="single" w:sz="4" w:space="0" w:color="auto"/>
            </w:tcBorders>
            <w:noWrap/>
            <w:hideMark/>
          </w:tcPr>
          <w:p w14:paraId="6A3FD4C8"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0,3%</w:t>
            </w:r>
          </w:p>
        </w:tc>
        <w:tc>
          <w:tcPr>
            <w:tcW w:w="379" w:type="pct"/>
            <w:tcBorders>
              <w:top w:val="single" w:sz="4" w:space="0" w:color="auto"/>
              <w:left w:val="single" w:sz="4" w:space="0" w:color="auto"/>
              <w:bottom w:val="single" w:sz="4" w:space="0" w:color="auto"/>
              <w:right w:val="single" w:sz="4" w:space="0" w:color="auto"/>
            </w:tcBorders>
            <w:noWrap/>
            <w:hideMark/>
          </w:tcPr>
          <w:p w14:paraId="2DD2E2EF"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0,3%</w:t>
            </w:r>
          </w:p>
        </w:tc>
        <w:tc>
          <w:tcPr>
            <w:tcW w:w="454" w:type="pct"/>
            <w:tcBorders>
              <w:top w:val="single" w:sz="4" w:space="0" w:color="auto"/>
              <w:left w:val="single" w:sz="4" w:space="0" w:color="auto"/>
              <w:bottom w:val="single" w:sz="4" w:space="0" w:color="auto"/>
              <w:right w:val="single" w:sz="4" w:space="0" w:color="auto"/>
            </w:tcBorders>
            <w:hideMark/>
          </w:tcPr>
          <w:p w14:paraId="0E58C258"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0,3%</w:t>
            </w:r>
          </w:p>
        </w:tc>
        <w:tc>
          <w:tcPr>
            <w:tcW w:w="757" w:type="pct"/>
            <w:tcBorders>
              <w:top w:val="single" w:sz="4" w:space="0" w:color="auto"/>
              <w:left w:val="single" w:sz="4" w:space="0" w:color="auto"/>
              <w:bottom w:val="single" w:sz="4" w:space="0" w:color="auto"/>
              <w:right w:val="nil"/>
            </w:tcBorders>
            <w:hideMark/>
          </w:tcPr>
          <w:p w14:paraId="7E24636F"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58,1%</w:t>
            </w:r>
          </w:p>
        </w:tc>
      </w:tr>
      <w:tr w:rsidR="003F4CFF" w:rsidRPr="00385C29" w14:paraId="2C0C3C25" w14:textId="77777777" w:rsidTr="003F4CFF">
        <w:trPr>
          <w:trHeight w:val="680"/>
        </w:trPr>
        <w:tc>
          <w:tcPr>
            <w:tcW w:w="910" w:type="pct"/>
            <w:tcBorders>
              <w:top w:val="single" w:sz="4" w:space="0" w:color="auto"/>
              <w:left w:val="nil"/>
              <w:bottom w:val="single" w:sz="4" w:space="0" w:color="auto"/>
              <w:right w:val="single" w:sz="4" w:space="0" w:color="auto"/>
            </w:tcBorders>
            <w:hideMark/>
          </w:tcPr>
          <w:p w14:paraId="216E2CC9" w14:textId="77777777" w:rsidR="003F4CFF" w:rsidRPr="00385C29" w:rsidRDefault="003F4CFF" w:rsidP="003F4CFF">
            <w:pPr>
              <w:rPr>
                <w:rFonts w:ascii="Times New Roman" w:eastAsia="Times New Roman" w:hAnsi="Times New Roman" w:cs="Times New Roman"/>
              </w:rPr>
            </w:pPr>
            <w:r w:rsidRPr="00385C29">
              <w:rPr>
                <w:rFonts w:ascii="Times New Roman" w:eastAsia="Times New Roman" w:hAnsi="Times New Roman" w:cs="Times New Roman"/>
              </w:rPr>
              <w:t>Прочие формы собственности</w:t>
            </w:r>
          </w:p>
        </w:tc>
        <w:tc>
          <w:tcPr>
            <w:tcW w:w="454" w:type="pct"/>
            <w:tcBorders>
              <w:top w:val="single" w:sz="4" w:space="0" w:color="auto"/>
              <w:left w:val="single" w:sz="4" w:space="0" w:color="auto"/>
              <w:bottom w:val="single" w:sz="4" w:space="0" w:color="auto"/>
              <w:right w:val="single" w:sz="4" w:space="0" w:color="auto"/>
            </w:tcBorders>
            <w:noWrap/>
            <w:hideMark/>
          </w:tcPr>
          <w:p w14:paraId="1AB8EECB" w14:textId="77777777" w:rsidR="003F4CFF" w:rsidRPr="00385C29" w:rsidRDefault="003F4CFF" w:rsidP="003F4CFF">
            <w:pPr>
              <w:rPr>
                <w:rFonts w:ascii="Times New Roman" w:hAnsi="Times New Roman" w:cs="Times New Roman"/>
                <w:lang w:eastAsia="en-US"/>
              </w:rPr>
            </w:pPr>
            <w:r w:rsidRPr="00385C29">
              <w:rPr>
                <w:rFonts w:ascii="Times New Roman" w:hAnsi="Times New Roman" w:cs="Times New Roman"/>
              </w:rPr>
              <w:t>3,3%</w:t>
            </w:r>
          </w:p>
        </w:tc>
        <w:tc>
          <w:tcPr>
            <w:tcW w:w="454" w:type="pct"/>
            <w:tcBorders>
              <w:top w:val="single" w:sz="4" w:space="0" w:color="auto"/>
              <w:left w:val="single" w:sz="4" w:space="0" w:color="auto"/>
              <w:bottom w:val="single" w:sz="4" w:space="0" w:color="auto"/>
              <w:right w:val="single" w:sz="4" w:space="0" w:color="auto"/>
            </w:tcBorders>
            <w:noWrap/>
            <w:hideMark/>
          </w:tcPr>
          <w:p w14:paraId="43AD9812"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3,3%</w:t>
            </w:r>
          </w:p>
        </w:tc>
        <w:tc>
          <w:tcPr>
            <w:tcW w:w="304" w:type="pct"/>
            <w:tcBorders>
              <w:top w:val="single" w:sz="4" w:space="0" w:color="auto"/>
              <w:left w:val="single" w:sz="4" w:space="0" w:color="auto"/>
              <w:bottom w:val="single" w:sz="4" w:space="0" w:color="auto"/>
              <w:right w:val="single" w:sz="4" w:space="0" w:color="auto"/>
            </w:tcBorders>
            <w:noWrap/>
            <w:hideMark/>
          </w:tcPr>
          <w:p w14:paraId="75AFB876"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3,4%</w:t>
            </w:r>
          </w:p>
        </w:tc>
        <w:tc>
          <w:tcPr>
            <w:tcW w:w="455" w:type="pct"/>
            <w:tcBorders>
              <w:top w:val="single" w:sz="4" w:space="0" w:color="auto"/>
              <w:left w:val="single" w:sz="4" w:space="0" w:color="auto"/>
              <w:bottom w:val="single" w:sz="4" w:space="0" w:color="auto"/>
              <w:right w:val="single" w:sz="4" w:space="0" w:color="auto"/>
            </w:tcBorders>
            <w:noWrap/>
            <w:hideMark/>
          </w:tcPr>
          <w:p w14:paraId="71448378"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3,4%</w:t>
            </w:r>
          </w:p>
        </w:tc>
        <w:tc>
          <w:tcPr>
            <w:tcW w:w="379" w:type="pct"/>
            <w:tcBorders>
              <w:top w:val="single" w:sz="4" w:space="0" w:color="auto"/>
              <w:left w:val="single" w:sz="4" w:space="0" w:color="auto"/>
              <w:bottom w:val="single" w:sz="4" w:space="0" w:color="auto"/>
              <w:right w:val="single" w:sz="4" w:space="0" w:color="auto"/>
            </w:tcBorders>
            <w:noWrap/>
            <w:hideMark/>
          </w:tcPr>
          <w:p w14:paraId="6C74957E"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3,7%</w:t>
            </w:r>
          </w:p>
        </w:tc>
        <w:tc>
          <w:tcPr>
            <w:tcW w:w="454" w:type="pct"/>
            <w:tcBorders>
              <w:top w:val="single" w:sz="4" w:space="0" w:color="auto"/>
              <w:left w:val="single" w:sz="4" w:space="0" w:color="auto"/>
              <w:bottom w:val="single" w:sz="4" w:space="0" w:color="auto"/>
              <w:right w:val="single" w:sz="4" w:space="0" w:color="auto"/>
            </w:tcBorders>
            <w:noWrap/>
            <w:hideMark/>
          </w:tcPr>
          <w:p w14:paraId="4F97E933"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1,9%</w:t>
            </w:r>
          </w:p>
        </w:tc>
        <w:tc>
          <w:tcPr>
            <w:tcW w:w="379" w:type="pct"/>
            <w:tcBorders>
              <w:top w:val="single" w:sz="4" w:space="0" w:color="auto"/>
              <w:left w:val="single" w:sz="4" w:space="0" w:color="auto"/>
              <w:bottom w:val="single" w:sz="4" w:space="0" w:color="auto"/>
              <w:right w:val="single" w:sz="4" w:space="0" w:color="auto"/>
            </w:tcBorders>
            <w:noWrap/>
            <w:hideMark/>
          </w:tcPr>
          <w:p w14:paraId="11DA2F0F"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4,5%</w:t>
            </w:r>
          </w:p>
        </w:tc>
        <w:tc>
          <w:tcPr>
            <w:tcW w:w="454" w:type="pct"/>
            <w:tcBorders>
              <w:top w:val="single" w:sz="4" w:space="0" w:color="auto"/>
              <w:left w:val="single" w:sz="4" w:space="0" w:color="auto"/>
              <w:bottom w:val="single" w:sz="4" w:space="0" w:color="auto"/>
              <w:right w:val="single" w:sz="4" w:space="0" w:color="auto"/>
            </w:tcBorders>
            <w:hideMark/>
          </w:tcPr>
          <w:p w14:paraId="7A4C0AA4"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4,6%</w:t>
            </w:r>
          </w:p>
        </w:tc>
        <w:tc>
          <w:tcPr>
            <w:tcW w:w="757" w:type="pct"/>
            <w:tcBorders>
              <w:top w:val="single" w:sz="4" w:space="0" w:color="auto"/>
              <w:left w:val="single" w:sz="4" w:space="0" w:color="auto"/>
              <w:bottom w:val="single" w:sz="4" w:space="0" w:color="auto"/>
              <w:right w:val="nil"/>
            </w:tcBorders>
            <w:hideMark/>
          </w:tcPr>
          <w:p w14:paraId="52413E9F" w14:textId="77777777" w:rsidR="003F4CFF" w:rsidRPr="00385C29" w:rsidRDefault="003F4CFF" w:rsidP="003F4CFF">
            <w:pPr>
              <w:rPr>
                <w:rFonts w:ascii="Times New Roman" w:hAnsi="Times New Roman" w:cs="Times New Roman"/>
              </w:rPr>
            </w:pPr>
            <w:r w:rsidRPr="00385C29">
              <w:rPr>
                <w:rFonts w:ascii="Times New Roman" w:hAnsi="Times New Roman" w:cs="Times New Roman"/>
              </w:rPr>
              <w:t>102,0%</w:t>
            </w:r>
          </w:p>
        </w:tc>
      </w:tr>
    </w:tbl>
    <w:p w14:paraId="6C6C1DDF" w14:textId="77777777" w:rsidR="003F4CFF" w:rsidRPr="00385C29" w:rsidRDefault="003F4CFF" w:rsidP="003F4CFF">
      <w:pPr>
        <w:ind w:firstLine="709"/>
        <w:jc w:val="both"/>
        <w:rPr>
          <w:rFonts w:ascii="Times New Roman" w:eastAsia="Times New Roman" w:hAnsi="Times New Roman" w:cs="Times New Roman"/>
          <w:sz w:val="24"/>
          <w:szCs w:val="24"/>
        </w:rPr>
      </w:pPr>
    </w:p>
    <w:p w14:paraId="0AC2EA54" w14:textId="7616C7AA" w:rsidR="003F4CFF" w:rsidRPr="00385C29" w:rsidRDefault="003F4CFF" w:rsidP="003F4CFF">
      <w:pPr>
        <w:ind w:firstLine="567"/>
        <w:jc w:val="both"/>
        <w:rPr>
          <w:rFonts w:ascii="Times New Roman" w:eastAsia="Times New Roman" w:hAnsi="Times New Roman" w:cs="Times New Roman"/>
          <w:sz w:val="28"/>
          <w:szCs w:val="28"/>
        </w:rPr>
      </w:pPr>
      <w:r w:rsidRPr="00385C29">
        <w:rPr>
          <w:rFonts w:ascii="Times New Roman" w:eastAsia="Times New Roman" w:hAnsi="Times New Roman" w:cs="Times New Roman"/>
          <w:sz w:val="28"/>
          <w:szCs w:val="28"/>
        </w:rPr>
        <w:t>Изменения, связанные со снижением общего количества организаций, несущественно отразились на структуре организаций по организационно-правовым формам, которая существенно не изменилась с начала 2013 г</w:t>
      </w:r>
      <w:r w:rsidR="003B6AC9">
        <w:rPr>
          <w:rFonts w:ascii="Times New Roman" w:eastAsia="Times New Roman" w:hAnsi="Times New Roman" w:cs="Times New Roman"/>
          <w:sz w:val="28"/>
          <w:szCs w:val="28"/>
        </w:rPr>
        <w:t>ода</w:t>
      </w:r>
      <w:r w:rsidRPr="00385C29">
        <w:rPr>
          <w:rFonts w:ascii="Times New Roman" w:eastAsia="Times New Roman" w:hAnsi="Times New Roman" w:cs="Times New Roman"/>
          <w:sz w:val="28"/>
          <w:szCs w:val="28"/>
        </w:rPr>
        <w:t xml:space="preserve">. </w:t>
      </w:r>
    </w:p>
    <w:p w14:paraId="72A444CC" w14:textId="77777777" w:rsidR="003F4CFF" w:rsidRPr="00350166" w:rsidRDefault="003F4CFF" w:rsidP="003F4CFF">
      <w:pPr>
        <w:jc w:val="both"/>
        <w:rPr>
          <w:rFonts w:ascii="Times New Roman" w:eastAsia="Times New Roman" w:hAnsi="Times New Roman" w:cs="Times New Roman"/>
          <w:sz w:val="28"/>
          <w:szCs w:val="28"/>
        </w:rPr>
      </w:pPr>
    </w:p>
    <w:p w14:paraId="22F02D5D" w14:textId="77777777" w:rsidR="003F4CFF" w:rsidRPr="00674368" w:rsidRDefault="003F4CFF" w:rsidP="003F4CFF">
      <w:pPr>
        <w:jc w:val="both"/>
        <w:rPr>
          <w:rFonts w:ascii="Times New Roman" w:eastAsia="Times New Roman" w:hAnsi="Times New Roman" w:cs="Times New Roman"/>
          <w:sz w:val="28"/>
          <w:szCs w:val="28"/>
        </w:rPr>
      </w:pPr>
      <w:r w:rsidRPr="00350166">
        <w:rPr>
          <w:rFonts w:ascii="Times New Roman" w:eastAsia="Times New Roman" w:hAnsi="Times New Roman" w:cs="Times New Roman"/>
          <w:sz w:val="28"/>
          <w:szCs w:val="28"/>
        </w:rPr>
        <w:t>Таблица 6</w:t>
      </w:r>
      <w:r>
        <w:rPr>
          <w:rFonts w:ascii="Times New Roman" w:eastAsia="Times New Roman" w:hAnsi="Times New Roman" w:cs="Times New Roman"/>
          <w:sz w:val="28"/>
          <w:szCs w:val="28"/>
        </w:rPr>
        <w:t> – </w:t>
      </w:r>
      <w:r w:rsidRPr="00350166">
        <w:rPr>
          <w:rFonts w:ascii="Times New Roman" w:eastAsia="Times New Roman" w:hAnsi="Times New Roman" w:cs="Times New Roman"/>
          <w:sz w:val="28"/>
          <w:szCs w:val="28"/>
        </w:rPr>
        <w:t>Структура</w:t>
      </w:r>
      <w:r w:rsidRPr="00674368">
        <w:rPr>
          <w:rFonts w:ascii="Times New Roman" w:eastAsia="Times New Roman" w:hAnsi="Times New Roman" w:cs="Times New Roman"/>
          <w:sz w:val="28"/>
          <w:szCs w:val="28"/>
        </w:rPr>
        <w:t xml:space="preserve"> организаций по организационно-правовым формам,</w:t>
      </w:r>
      <w:r>
        <w:rPr>
          <w:rFonts w:ascii="Times New Roman" w:eastAsia="Times New Roman" w:hAnsi="Times New Roman" w:cs="Times New Roman"/>
          <w:sz w:val="28"/>
          <w:szCs w:val="28"/>
        </w:rPr>
        <w:t xml:space="preserve"> </w:t>
      </w:r>
      <w:r w:rsidRPr="00674368">
        <w:rPr>
          <w:rFonts w:ascii="Times New Roman" w:eastAsia="Times New Roman" w:hAnsi="Times New Roman" w:cs="Times New Roman"/>
          <w:sz w:val="28"/>
          <w:szCs w:val="28"/>
        </w:rPr>
        <w:t>% к общему количеству на начало отчетного периода</w:t>
      </w:r>
    </w:p>
    <w:tbl>
      <w:tblPr>
        <w:tblW w:w="4997" w:type="pct"/>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12"/>
        <w:gridCol w:w="896"/>
        <w:gridCol w:w="900"/>
        <w:gridCol w:w="601"/>
        <w:gridCol w:w="902"/>
        <w:gridCol w:w="752"/>
        <w:gridCol w:w="900"/>
        <w:gridCol w:w="752"/>
        <w:gridCol w:w="752"/>
        <w:gridCol w:w="1648"/>
      </w:tblGrid>
      <w:tr w:rsidR="003F4CFF" w:rsidRPr="00385C29" w14:paraId="1799EC4C" w14:textId="77777777" w:rsidTr="003F4CFF">
        <w:trPr>
          <w:trHeight w:val="20"/>
        </w:trPr>
        <w:tc>
          <w:tcPr>
            <w:tcW w:w="914" w:type="pct"/>
            <w:shd w:val="clear" w:color="auto" w:fill="auto"/>
            <w:noWrap/>
            <w:hideMark/>
          </w:tcPr>
          <w:p w14:paraId="730907F2" w14:textId="77777777" w:rsidR="003F4CFF" w:rsidRPr="00212EAE" w:rsidRDefault="003F4CFF" w:rsidP="003F4CFF">
            <w:pPr>
              <w:rPr>
                <w:rFonts w:ascii="Times New Roman" w:eastAsia="Times New Roman" w:hAnsi="Times New Roman" w:cs="Times New Roman"/>
              </w:rPr>
            </w:pPr>
          </w:p>
        </w:tc>
        <w:tc>
          <w:tcPr>
            <w:tcW w:w="452" w:type="pct"/>
            <w:shd w:val="clear" w:color="auto" w:fill="auto"/>
            <w:hideMark/>
          </w:tcPr>
          <w:p w14:paraId="3C82D3D6"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2013</w:t>
            </w:r>
          </w:p>
        </w:tc>
        <w:tc>
          <w:tcPr>
            <w:tcW w:w="454" w:type="pct"/>
            <w:shd w:val="clear" w:color="auto" w:fill="auto"/>
            <w:hideMark/>
          </w:tcPr>
          <w:p w14:paraId="02059B94"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2014</w:t>
            </w:r>
          </w:p>
        </w:tc>
        <w:tc>
          <w:tcPr>
            <w:tcW w:w="303" w:type="pct"/>
            <w:shd w:val="clear" w:color="auto" w:fill="auto"/>
            <w:hideMark/>
          </w:tcPr>
          <w:p w14:paraId="2C2E2048"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2015</w:t>
            </w:r>
          </w:p>
        </w:tc>
        <w:tc>
          <w:tcPr>
            <w:tcW w:w="455" w:type="pct"/>
            <w:shd w:val="clear" w:color="auto" w:fill="auto"/>
            <w:hideMark/>
          </w:tcPr>
          <w:p w14:paraId="009947C0"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2016</w:t>
            </w:r>
          </w:p>
        </w:tc>
        <w:tc>
          <w:tcPr>
            <w:tcW w:w="379" w:type="pct"/>
            <w:shd w:val="clear" w:color="auto" w:fill="auto"/>
            <w:hideMark/>
          </w:tcPr>
          <w:p w14:paraId="13622FD9"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2017</w:t>
            </w:r>
          </w:p>
        </w:tc>
        <w:tc>
          <w:tcPr>
            <w:tcW w:w="454" w:type="pct"/>
            <w:shd w:val="clear" w:color="auto" w:fill="auto"/>
            <w:hideMark/>
          </w:tcPr>
          <w:p w14:paraId="38D259EC"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2018</w:t>
            </w:r>
          </w:p>
        </w:tc>
        <w:tc>
          <w:tcPr>
            <w:tcW w:w="379" w:type="pct"/>
            <w:shd w:val="clear" w:color="auto" w:fill="auto"/>
            <w:noWrap/>
            <w:hideMark/>
          </w:tcPr>
          <w:p w14:paraId="78D079A7"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2019</w:t>
            </w:r>
          </w:p>
        </w:tc>
        <w:tc>
          <w:tcPr>
            <w:tcW w:w="379" w:type="pct"/>
            <w:shd w:val="clear" w:color="auto" w:fill="auto"/>
            <w:noWrap/>
            <w:hideMark/>
          </w:tcPr>
          <w:p w14:paraId="70D7E5C4"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на 01.09.2019</w:t>
            </w:r>
          </w:p>
        </w:tc>
        <w:tc>
          <w:tcPr>
            <w:tcW w:w="831" w:type="pct"/>
            <w:shd w:val="clear" w:color="auto" w:fill="auto"/>
            <w:noWrap/>
            <w:hideMark/>
          </w:tcPr>
          <w:p w14:paraId="259671D6" w14:textId="77777777" w:rsidR="003F4CFF" w:rsidRPr="00212EAE" w:rsidRDefault="003F4CFF" w:rsidP="003F4CFF">
            <w:pPr>
              <w:rPr>
                <w:rFonts w:ascii="Times New Roman" w:eastAsia="Times New Roman" w:hAnsi="Times New Roman" w:cs="Times New Roman"/>
              </w:rPr>
            </w:pPr>
            <w:r w:rsidRPr="00212EAE">
              <w:rPr>
                <w:rFonts w:ascii="Times New Roman" w:eastAsia="Times New Roman" w:hAnsi="Times New Roman" w:cs="Times New Roman"/>
              </w:rPr>
              <w:t>Динамика количества организаций с 01.01.2013 по 01.09.2019</w:t>
            </w:r>
          </w:p>
        </w:tc>
      </w:tr>
      <w:tr w:rsidR="003F4CFF" w:rsidRPr="00385C29" w14:paraId="7F1AEDBD" w14:textId="77777777" w:rsidTr="003F4CFF">
        <w:trPr>
          <w:trHeight w:val="20"/>
        </w:trPr>
        <w:tc>
          <w:tcPr>
            <w:tcW w:w="914" w:type="pct"/>
            <w:hideMark/>
          </w:tcPr>
          <w:p w14:paraId="070AD304" w14:textId="77777777" w:rsidR="003F4CFF" w:rsidRPr="00385C29" w:rsidRDefault="003F4CFF" w:rsidP="00BD1EFA">
            <w:pPr>
              <w:jc w:val="left"/>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Юридические лица, являющиеся коммерческими организациями</w:t>
            </w:r>
          </w:p>
        </w:tc>
        <w:tc>
          <w:tcPr>
            <w:tcW w:w="452" w:type="pct"/>
            <w:hideMark/>
          </w:tcPr>
          <w:p w14:paraId="454DE4CB"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88,5%</w:t>
            </w:r>
          </w:p>
        </w:tc>
        <w:tc>
          <w:tcPr>
            <w:tcW w:w="454" w:type="pct"/>
            <w:hideMark/>
          </w:tcPr>
          <w:p w14:paraId="584F1D41"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88,5%</w:t>
            </w:r>
          </w:p>
        </w:tc>
        <w:tc>
          <w:tcPr>
            <w:tcW w:w="303" w:type="pct"/>
            <w:hideMark/>
          </w:tcPr>
          <w:p w14:paraId="6E223AD3"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88,4%</w:t>
            </w:r>
          </w:p>
        </w:tc>
        <w:tc>
          <w:tcPr>
            <w:tcW w:w="455" w:type="pct"/>
            <w:hideMark/>
          </w:tcPr>
          <w:p w14:paraId="3237A64A"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88,6%</w:t>
            </w:r>
          </w:p>
        </w:tc>
        <w:tc>
          <w:tcPr>
            <w:tcW w:w="379" w:type="pct"/>
            <w:hideMark/>
          </w:tcPr>
          <w:p w14:paraId="1BF3459E"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87,3%</w:t>
            </w:r>
          </w:p>
        </w:tc>
        <w:tc>
          <w:tcPr>
            <w:tcW w:w="454" w:type="pct"/>
            <w:hideMark/>
          </w:tcPr>
          <w:p w14:paraId="5EC284FB"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86,5%</w:t>
            </w:r>
          </w:p>
        </w:tc>
        <w:tc>
          <w:tcPr>
            <w:tcW w:w="379" w:type="pct"/>
            <w:hideMark/>
          </w:tcPr>
          <w:p w14:paraId="67746F11"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86,0%</w:t>
            </w:r>
          </w:p>
        </w:tc>
        <w:tc>
          <w:tcPr>
            <w:tcW w:w="379" w:type="pct"/>
            <w:hideMark/>
          </w:tcPr>
          <w:p w14:paraId="78D5CFDD"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85,0%</w:t>
            </w:r>
          </w:p>
        </w:tc>
        <w:tc>
          <w:tcPr>
            <w:tcW w:w="831" w:type="pct"/>
            <w:hideMark/>
          </w:tcPr>
          <w:p w14:paraId="3D9458AE"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70,6%</w:t>
            </w:r>
          </w:p>
        </w:tc>
      </w:tr>
      <w:tr w:rsidR="003F4CFF" w:rsidRPr="00385C29" w14:paraId="7C3486FB" w14:textId="77777777" w:rsidTr="003F4CFF">
        <w:trPr>
          <w:trHeight w:val="20"/>
        </w:trPr>
        <w:tc>
          <w:tcPr>
            <w:tcW w:w="914" w:type="pct"/>
            <w:hideMark/>
          </w:tcPr>
          <w:p w14:paraId="471F6665" w14:textId="77777777" w:rsidR="003F4CFF" w:rsidRPr="00336CDA" w:rsidRDefault="003F4CFF" w:rsidP="00BD1EFA">
            <w:pPr>
              <w:jc w:val="left"/>
              <w:rPr>
                <w:rFonts w:ascii="Times New Roman" w:eastAsia="Times New Roman" w:hAnsi="Times New Roman" w:cs="Times New Roman"/>
              </w:rPr>
            </w:pPr>
            <w:r w:rsidRPr="00336CDA">
              <w:rPr>
                <w:rFonts w:ascii="Times New Roman" w:eastAsia="Times New Roman" w:hAnsi="Times New Roman" w:cs="Times New Roman"/>
              </w:rPr>
              <w:t>в том числе, унитарные предприятия</w:t>
            </w:r>
          </w:p>
        </w:tc>
        <w:tc>
          <w:tcPr>
            <w:tcW w:w="452" w:type="pct"/>
            <w:hideMark/>
          </w:tcPr>
          <w:p w14:paraId="1AA7F88D"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0,5%</w:t>
            </w:r>
          </w:p>
        </w:tc>
        <w:tc>
          <w:tcPr>
            <w:tcW w:w="454" w:type="pct"/>
            <w:hideMark/>
          </w:tcPr>
          <w:p w14:paraId="38F6F41E"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0,4%</w:t>
            </w:r>
          </w:p>
        </w:tc>
        <w:tc>
          <w:tcPr>
            <w:tcW w:w="303" w:type="pct"/>
            <w:hideMark/>
          </w:tcPr>
          <w:p w14:paraId="74FFF3E5"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0,4%</w:t>
            </w:r>
          </w:p>
        </w:tc>
        <w:tc>
          <w:tcPr>
            <w:tcW w:w="455" w:type="pct"/>
            <w:hideMark/>
          </w:tcPr>
          <w:p w14:paraId="1A3C7F98"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0,4%</w:t>
            </w:r>
          </w:p>
        </w:tc>
        <w:tc>
          <w:tcPr>
            <w:tcW w:w="379" w:type="pct"/>
            <w:hideMark/>
          </w:tcPr>
          <w:p w14:paraId="1DF7B72C"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0,4%</w:t>
            </w:r>
          </w:p>
        </w:tc>
        <w:tc>
          <w:tcPr>
            <w:tcW w:w="454" w:type="pct"/>
            <w:hideMark/>
          </w:tcPr>
          <w:p w14:paraId="433ADB5E"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0,4%</w:t>
            </w:r>
          </w:p>
        </w:tc>
        <w:tc>
          <w:tcPr>
            <w:tcW w:w="379" w:type="pct"/>
            <w:hideMark/>
          </w:tcPr>
          <w:p w14:paraId="43FE6A75"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0,4%</w:t>
            </w:r>
          </w:p>
        </w:tc>
        <w:tc>
          <w:tcPr>
            <w:tcW w:w="379" w:type="pct"/>
            <w:hideMark/>
          </w:tcPr>
          <w:p w14:paraId="1246E505"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0,4%</w:t>
            </w:r>
          </w:p>
        </w:tc>
        <w:tc>
          <w:tcPr>
            <w:tcW w:w="831" w:type="pct"/>
            <w:hideMark/>
          </w:tcPr>
          <w:p w14:paraId="44CCB47A"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68,3%</w:t>
            </w:r>
          </w:p>
        </w:tc>
      </w:tr>
      <w:tr w:rsidR="003F4CFF" w:rsidRPr="00385C29" w14:paraId="4B9C9466" w14:textId="77777777" w:rsidTr="003F4CFF">
        <w:trPr>
          <w:trHeight w:val="20"/>
        </w:trPr>
        <w:tc>
          <w:tcPr>
            <w:tcW w:w="914" w:type="pct"/>
            <w:hideMark/>
          </w:tcPr>
          <w:p w14:paraId="062B4326" w14:textId="77777777" w:rsidR="003F4CFF" w:rsidRPr="00336CDA" w:rsidRDefault="003F4CFF" w:rsidP="00BD1EFA">
            <w:pPr>
              <w:jc w:val="left"/>
              <w:rPr>
                <w:rFonts w:ascii="Times New Roman" w:eastAsia="Times New Roman" w:hAnsi="Times New Roman" w:cs="Times New Roman"/>
              </w:rPr>
            </w:pPr>
            <w:r w:rsidRPr="00336CDA">
              <w:rPr>
                <w:rFonts w:ascii="Times New Roman" w:eastAsia="Times New Roman" w:hAnsi="Times New Roman" w:cs="Times New Roman"/>
              </w:rPr>
              <w:t>в том числе, хозяйственные общества и товарищества</w:t>
            </w:r>
          </w:p>
        </w:tc>
        <w:tc>
          <w:tcPr>
            <w:tcW w:w="452" w:type="pct"/>
            <w:hideMark/>
          </w:tcPr>
          <w:p w14:paraId="44BBB4F0"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86,9%</w:t>
            </w:r>
          </w:p>
        </w:tc>
        <w:tc>
          <w:tcPr>
            <w:tcW w:w="454" w:type="pct"/>
            <w:hideMark/>
          </w:tcPr>
          <w:p w14:paraId="70193480"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87,0%</w:t>
            </w:r>
          </w:p>
        </w:tc>
        <w:tc>
          <w:tcPr>
            <w:tcW w:w="303" w:type="pct"/>
            <w:hideMark/>
          </w:tcPr>
          <w:p w14:paraId="12000020"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86,9%</w:t>
            </w:r>
          </w:p>
        </w:tc>
        <w:tc>
          <w:tcPr>
            <w:tcW w:w="455" w:type="pct"/>
            <w:hideMark/>
          </w:tcPr>
          <w:p w14:paraId="25117536"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87,2%</w:t>
            </w:r>
          </w:p>
        </w:tc>
        <w:tc>
          <w:tcPr>
            <w:tcW w:w="379" w:type="pct"/>
            <w:hideMark/>
          </w:tcPr>
          <w:p w14:paraId="29CA6B31"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85,9%</w:t>
            </w:r>
          </w:p>
        </w:tc>
        <w:tc>
          <w:tcPr>
            <w:tcW w:w="454" w:type="pct"/>
            <w:hideMark/>
          </w:tcPr>
          <w:p w14:paraId="557EF0B8"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85,4%</w:t>
            </w:r>
          </w:p>
        </w:tc>
        <w:tc>
          <w:tcPr>
            <w:tcW w:w="379" w:type="pct"/>
            <w:hideMark/>
          </w:tcPr>
          <w:p w14:paraId="01E5AC59"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84,0%</w:t>
            </w:r>
          </w:p>
        </w:tc>
        <w:tc>
          <w:tcPr>
            <w:tcW w:w="379" w:type="pct"/>
            <w:hideMark/>
          </w:tcPr>
          <w:p w14:paraId="63117C37"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83,0%</w:t>
            </w:r>
          </w:p>
        </w:tc>
        <w:tc>
          <w:tcPr>
            <w:tcW w:w="831" w:type="pct"/>
            <w:hideMark/>
          </w:tcPr>
          <w:p w14:paraId="30D7386E"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70,2%</w:t>
            </w:r>
          </w:p>
        </w:tc>
      </w:tr>
      <w:tr w:rsidR="003F4CFF" w:rsidRPr="00385C29" w14:paraId="18B22D56" w14:textId="77777777" w:rsidTr="003F4CFF">
        <w:trPr>
          <w:trHeight w:val="20"/>
        </w:trPr>
        <w:tc>
          <w:tcPr>
            <w:tcW w:w="914" w:type="pct"/>
            <w:hideMark/>
          </w:tcPr>
          <w:p w14:paraId="50F5EEFC" w14:textId="77777777" w:rsidR="003F4CFF" w:rsidRPr="00336CDA" w:rsidRDefault="003F4CFF" w:rsidP="00BD1EFA">
            <w:pPr>
              <w:jc w:val="left"/>
              <w:rPr>
                <w:rFonts w:ascii="Times New Roman" w:eastAsia="Times New Roman" w:hAnsi="Times New Roman" w:cs="Times New Roman"/>
              </w:rPr>
            </w:pPr>
            <w:r w:rsidRPr="00336CDA">
              <w:rPr>
                <w:rFonts w:ascii="Times New Roman" w:eastAsia="Times New Roman" w:hAnsi="Times New Roman" w:cs="Times New Roman"/>
              </w:rPr>
              <w:t>в том числе, акционерные общества</w:t>
            </w:r>
          </w:p>
        </w:tc>
        <w:tc>
          <w:tcPr>
            <w:tcW w:w="452" w:type="pct"/>
            <w:hideMark/>
          </w:tcPr>
          <w:p w14:paraId="05DE22E6"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3,4%</w:t>
            </w:r>
          </w:p>
        </w:tc>
        <w:tc>
          <w:tcPr>
            <w:tcW w:w="454" w:type="pct"/>
            <w:hideMark/>
          </w:tcPr>
          <w:p w14:paraId="35ED93DE"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3,1%</w:t>
            </w:r>
          </w:p>
        </w:tc>
        <w:tc>
          <w:tcPr>
            <w:tcW w:w="303" w:type="pct"/>
            <w:hideMark/>
          </w:tcPr>
          <w:p w14:paraId="764E7BF8"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2,6%</w:t>
            </w:r>
          </w:p>
        </w:tc>
        <w:tc>
          <w:tcPr>
            <w:tcW w:w="455" w:type="pct"/>
            <w:hideMark/>
          </w:tcPr>
          <w:p w14:paraId="3BF6CE82"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2,2%</w:t>
            </w:r>
          </w:p>
        </w:tc>
        <w:tc>
          <w:tcPr>
            <w:tcW w:w="379" w:type="pct"/>
            <w:hideMark/>
          </w:tcPr>
          <w:p w14:paraId="065D1CFC"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1,9%</w:t>
            </w:r>
          </w:p>
        </w:tc>
        <w:tc>
          <w:tcPr>
            <w:tcW w:w="454" w:type="pct"/>
            <w:hideMark/>
          </w:tcPr>
          <w:p w14:paraId="3D2D9529"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1,7%</w:t>
            </w:r>
          </w:p>
        </w:tc>
        <w:tc>
          <w:tcPr>
            <w:tcW w:w="379" w:type="pct"/>
            <w:hideMark/>
          </w:tcPr>
          <w:p w14:paraId="18C026C8"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1,6%</w:t>
            </w:r>
          </w:p>
        </w:tc>
        <w:tc>
          <w:tcPr>
            <w:tcW w:w="379" w:type="pct"/>
            <w:hideMark/>
          </w:tcPr>
          <w:p w14:paraId="1E9C74D0"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1,6%</w:t>
            </w:r>
          </w:p>
        </w:tc>
        <w:tc>
          <w:tcPr>
            <w:tcW w:w="831" w:type="pct"/>
            <w:hideMark/>
          </w:tcPr>
          <w:p w14:paraId="733A2534"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34,9%</w:t>
            </w:r>
          </w:p>
        </w:tc>
      </w:tr>
      <w:tr w:rsidR="003F4CFF" w:rsidRPr="00385C29" w14:paraId="588A8933" w14:textId="77777777" w:rsidTr="003F4CFF">
        <w:trPr>
          <w:trHeight w:val="20"/>
        </w:trPr>
        <w:tc>
          <w:tcPr>
            <w:tcW w:w="914" w:type="pct"/>
            <w:hideMark/>
          </w:tcPr>
          <w:p w14:paraId="0681F005" w14:textId="77777777" w:rsidR="003F4CFF" w:rsidRPr="00385C29" w:rsidRDefault="003F4CFF" w:rsidP="00BD1EFA">
            <w:pPr>
              <w:jc w:val="left"/>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Юридические лица, являющиеся не</w:t>
            </w:r>
            <w:r>
              <w:rPr>
                <w:rFonts w:ascii="Times New Roman" w:eastAsia="Times New Roman" w:hAnsi="Times New Roman" w:cs="Times New Roman"/>
                <w:b/>
                <w:bCs/>
                <w:color w:val="000000"/>
              </w:rPr>
              <w:t>коммерческими организациями</w:t>
            </w:r>
          </w:p>
        </w:tc>
        <w:tc>
          <w:tcPr>
            <w:tcW w:w="452" w:type="pct"/>
            <w:hideMark/>
          </w:tcPr>
          <w:p w14:paraId="41E1B700"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10,2%</w:t>
            </w:r>
          </w:p>
        </w:tc>
        <w:tc>
          <w:tcPr>
            <w:tcW w:w="454" w:type="pct"/>
            <w:hideMark/>
          </w:tcPr>
          <w:p w14:paraId="0B3643E9"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10,2%</w:t>
            </w:r>
          </w:p>
        </w:tc>
        <w:tc>
          <w:tcPr>
            <w:tcW w:w="303" w:type="pct"/>
            <w:hideMark/>
          </w:tcPr>
          <w:p w14:paraId="3BD7EB01"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10,3%</w:t>
            </w:r>
          </w:p>
        </w:tc>
        <w:tc>
          <w:tcPr>
            <w:tcW w:w="455" w:type="pct"/>
            <w:hideMark/>
          </w:tcPr>
          <w:p w14:paraId="655F6964"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10,2%</w:t>
            </w:r>
          </w:p>
        </w:tc>
        <w:tc>
          <w:tcPr>
            <w:tcW w:w="379" w:type="pct"/>
            <w:hideMark/>
          </w:tcPr>
          <w:p w14:paraId="185B0DFA"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11,3%</w:t>
            </w:r>
          </w:p>
        </w:tc>
        <w:tc>
          <w:tcPr>
            <w:tcW w:w="454" w:type="pct"/>
            <w:hideMark/>
          </w:tcPr>
          <w:p w14:paraId="7833F1D4"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11,8%</w:t>
            </w:r>
          </w:p>
        </w:tc>
        <w:tc>
          <w:tcPr>
            <w:tcW w:w="379" w:type="pct"/>
            <w:hideMark/>
          </w:tcPr>
          <w:p w14:paraId="7BD15330"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12,6%</w:t>
            </w:r>
          </w:p>
        </w:tc>
        <w:tc>
          <w:tcPr>
            <w:tcW w:w="379" w:type="pct"/>
            <w:hideMark/>
          </w:tcPr>
          <w:p w14:paraId="28715E56"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13,5%</w:t>
            </w:r>
          </w:p>
        </w:tc>
        <w:tc>
          <w:tcPr>
            <w:tcW w:w="831" w:type="pct"/>
            <w:hideMark/>
          </w:tcPr>
          <w:p w14:paraId="203CD380"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97,7%</w:t>
            </w:r>
          </w:p>
        </w:tc>
      </w:tr>
      <w:tr w:rsidR="003F4CFF" w:rsidRPr="00385C29" w14:paraId="734587F5" w14:textId="77777777" w:rsidTr="003F4CFF">
        <w:trPr>
          <w:trHeight w:val="20"/>
        </w:trPr>
        <w:tc>
          <w:tcPr>
            <w:tcW w:w="914" w:type="pct"/>
            <w:hideMark/>
          </w:tcPr>
          <w:p w14:paraId="55BE501A" w14:textId="77777777" w:rsidR="003F4CFF" w:rsidRPr="00336CDA" w:rsidRDefault="003F4CFF" w:rsidP="00BD1EFA">
            <w:pPr>
              <w:jc w:val="left"/>
              <w:rPr>
                <w:rFonts w:ascii="Times New Roman" w:eastAsia="Times New Roman" w:hAnsi="Times New Roman" w:cs="Times New Roman"/>
              </w:rPr>
            </w:pPr>
            <w:r w:rsidRPr="00336CDA">
              <w:rPr>
                <w:rFonts w:ascii="Times New Roman" w:eastAsia="Times New Roman" w:hAnsi="Times New Roman" w:cs="Times New Roman"/>
              </w:rPr>
              <w:lastRenderedPageBreak/>
              <w:t>в том числе, потребительские кооперативы</w:t>
            </w:r>
          </w:p>
        </w:tc>
        <w:tc>
          <w:tcPr>
            <w:tcW w:w="452" w:type="pct"/>
            <w:hideMark/>
          </w:tcPr>
          <w:p w14:paraId="0113E8D7"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1,8%</w:t>
            </w:r>
          </w:p>
        </w:tc>
        <w:tc>
          <w:tcPr>
            <w:tcW w:w="454" w:type="pct"/>
            <w:hideMark/>
          </w:tcPr>
          <w:p w14:paraId="73D82917"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1,7%</w:t>
            </w:r>
          </w:p>
        </w:tc>
        <w:tc>
          <w:tcPr>
            <w:tcW w:w="303" w:type="pct"/>
            <w:hideMark/>
          </w:tcPr>
          <w:p w14:paraId="46AD3EE8"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1,7%</w:t>
            </w:r>
          </w:p>
        </w:tc>
        <w:tc>
          <w:tcPr>
            <w:tcW w:w="455" w:type="pct"/>
            <w:hideMark/>
          </w:tcPr>
          <w:p w14:paraId="7F5330B4"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1,8%</w:t>
            </w:r>
          </w:p>
        </w:tc>
        <w:tc>
          <w:tcPr>
            <w:tcW w:w="379" w:type="pct"/>
            <w:hideMark/>
          </w:tcPr>
          <w:p w14:paraId="35807535"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1,9%</w:t>
            </w:r>
          </w:p>
        </w:tc>
        <w:tc>
          <w:tcPr>
            <w:tcW w:w="454" w:type="pct"/>
            <w:hideMark/>
          </w:tcPr>
          <w:p w14:paraId="1C1D49FF"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2,0%</w:t>
            </w:r>
          </w:p>
        </w:tc>
        <w:tc>
          <w:tcPr>
            <w:tcW w:w="379" w:type="pct"/>
            <w:hideMark/>
          </w:tcPr>
          <w:p w14:paraId="2AAC8A03"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2,1%</w:t>
            </w:r>
          </w:p>
        </w:tc>
        <w:tc>
          <w:tcPr>
            <w:tcW w:w="379" w:type="pct"/>
            <w:hideMark/>
          </w:tcPr>
          <w:p w14:paraId="38376EC8"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2,2%</w:t>
            </w:r>
          </w:p>
        </w:tc>
        <w:tc>
          <w:tcPr>
            <w:tcW w:w="831" w:type="pct"/>
            <w:hideMark/>
          </w:tcPr>
          <w:p w14:paraId="41A1B264"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90,5%</w:t>
            </w:r>
          </w:p>
        </w:tc>
      </w:tr>
      <w:tr w:rsidR="003F4CFF" w:rsidRPr="00385C29" w14:paraId="3AA77C83" w14:textId="77777777" w:rsidTr="003F4CFF">
        <w:trPr>
          <w:trHeight w:val="20"/>
        </w:trPr>
        <w:tc>
          <w:tcPr>
            <w:tcW w:w="914" w:type="pct"/>
            <w:hideMark/>
          </w:tcPr>
          <w:p w14:paraId="4D7DB5D8" w14:textId="77777777" w:rsidR="003F4CFF" w:rsidRPr="00336CDA" w:rsidRDefault="003F4CFF" w:rsidP="00BD1EFA">
            <w:pPr>
              <w:jc w:val="left"/>
              <w:rPr>
                <w:rFonts w:ascii="Times New Roman" w:eastAsia="Times New Roman" w:hAnsi="Times New Roman" w:cs="Times New Roman"/>
              </w:rPr>
            </w:pPr>
            <w:r w:rsidRPr="00336CDA">
              <w:rPr>
                <w:rFonts w:ascii="Times New Roman" w:eastAsia="Times New Roman" w:hAnsi="Times New Roman" w:cs="Times New Roman"/>
              </w:rPr>
              <w:t>в том числе, фонды</w:t>
            </w:r>
          </w:p>
        </w:tc>
        <w:tc>
          <w:tcPr>
            <w:tcW w:w="452" w:type="pct"/>
            <w:hideMark/>
          </w:tcPr>
          <w:p w14:paraId="6AB5F269"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0,4%</w:t>
            </w:r>
          </w:p>
        </w:tc>
        <w:tc>
          <w:tcPr>
            <w:tcW w:w="454" w:type="pct"/>
            <w:hideMark/>
          </w:tcPr>
          <w:p w14:paraId="6121A944"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0,4%</w:t>
            </w:r>
          </w:p>
        </w:tc>
        <w:tc>
          <w:tcPr>
            <w:tcW w:w="303" w:type="pct"/>
            <w:hideMark/>
          </w:tcPr>
          <w:p w14:paraId="636790F5"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0,5%</w:t>
            </w:r>
          </w:p>
        </w:tc>
        <w:tc>
          <w:tcPr>
            <w:tcW w:w="455" w:type="pct"/>
            <w:hideMark/>
          </w:tcPr>
          <w:p w14:paraId="1730FF7E"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0,5%</w:t>
            </w:r>
          </w:p>
        </w:tc>
        <w:tc>
          <w:tcPr>
            <w:tcW w:w="379" w:type="pct"/>
            <w:hideMark/>
          </w:tcPr>
          <w:p w14:paraId="4DC63B3F"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0,5%</w:t>
            </w:r>
          </w:p>
        </w:tc>
        <w:tc>
          <w:tcPr>
            <w:tcW w:w="454" w:type="pct"/>
            <w:hideMark/>
          </w:tcPr>
          <w:p w14:paraId="48DBBBC0"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0,5%</w:t>
            </w:r>
          </w:p>
        </w:tc>
        <w:tc>
          <w:tcPr>
            <w:tcW w:w="379" w:type="pct"/>
            <w:hideMark/>
          </w:tcPr>
          <w:p w14:paraId="30BE82C0"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0,6%</w:t>
            </w:r>
          </w:p>
        </w:tc>
        <w:tc>
          <w:tcPr>
            <w:tcW w:w="379" w:type="pct"/>
            <w:hideMark/>
          </w:tcPr>
          <w:p w14:paraId="17AADCF7"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0,6%</w:t>
            </w:r>
          </w:p>
        </w:tc>
        <w:tc>
          <w:tcPr>
            <w:tcW w:w="831" w:type="pct"/>
            <w:hideMark/>
          </w:tcPr>
          <w:p w14:paraId="10EBA1B6"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97,1%</w:t>
            </w:r>
          </w:p>
        </w:tc>
      </w:tr>
      <w:tr w:rsidR="003F4CFF" w:rsidRPr="00385C29" w14:paraId="0F46F08D" w14:textId="77777777" w:rsidTr="003F4CFF">
        <w:trPr>
          <w:trHeight w:val="20"/>
        </w:trPr>
        <w:tc>
          <w:tcPr>
            <w:tcW w:w="914" w:type="pct"/>
            <w:hideMark/>
          </w:tcPr>
          <w:p w14:paraId="46608CAC" w14:textId="77777777" w:rsidR="003F4CFF" w:rsidRPr="00336CDA" w:rsidRDefault="003F4CFF" w:rsidP="00BD1EFA">
            <w:pPr>
              <w:jc w:val="left"/>
              <w:rPr>
                <w:rFonts w:ascii="Times New Roman" w:eastAsia="Times New Roman" w:hAnsi="Times New Roman" w:cs="Times New Roman"/>
              </w:rPr>
            </w:pPr>
            <w:r w:rsidRPr="00336CDA">
              <w:rPr>
                <w:rFonts w:ascii="Times New Roman" w:eastAsia="Times New Roman" w:hAnsi="Times New Roman" w:cs="Times New Roman"/>
              </w:rPr>
              <w:t>в том числе, учреждения</w:t>
            </w:r>
          </w:p>
        </w:tc>
        <w:tc>
          <w:tcPr>
            <w:tcW w:w="452" w:type="pct"/>
            <w:hideMark/>
          </w:tcPr>
          <w:p w14:paraId="01018F96"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3,4%</w:t>
            </w:r>
          </w:p>
        </w:tc>
        <w:tc>
          <w:tcPr>
            <w:tcW w:w="454" w:type="pct"/>
            <w:hideMark/>
          </w:tcPr>
          <w:p w14:paraId="33EE0C97"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3,4%</w:t>
            </w:r>
          </w:p>
        </w:tc>
        <w:tc>
          <w:tcPr>
            <w:tcW w:w="303" w:type="pct"/>
            <w:hideMark/>
          </w:tcPr>
          <w:p w14:paraId="4E65BEF1"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3,4%</w:t>
            </w:r>
          </w:p>
        </w:tc>
        <w:tc>
          <w:tcPr>
            <w:tcW w:w="455" w:type="pct"/>
            <w:hideMark/>
          </w:tcPr>
          <w:p w14:paraId="305B10D6"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3,3%</w:t>
            </w:r>
          </w:p>
        </w:tc>
        <w:tc>
          <w:tcPr>
            <w:tcW w:w="379" w:type="pct"/>
            <w:hideMark/>
          </w:tcPr>
          <w:p w14:paraId="30A1A57B"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3,6%</w:t>
            </w:r>
          </w:p>
        </w:tc>
        <w:tc>
          <w:tcPr>
            <w:tcW w:w="454" w:type="pct"/>
            <w:hideMark/>
          </w:tcPr>
          <w:p w14:paraId="44561AF4"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3,7%</w:t>
            </w:r>
          </w:p>
        </w:tc>
        <w:tc>
          <w:tcPr>
            <w:tcW w:w="379" w:type="pct"/>
            <w:hideMark/>
          </w:tcPr>
          <w:p w14:paraId="3654D01E"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4,0%</w:t>
            </w:r>
          </w:p>
        </w:tc>
        <w:tc>
          <w:tcPr>
            <w:tcW w:w="379" w:type="pct"/>
            <w:hideMark/>
          </w:tcPr>
          <w:p w14:paraId="6EC0E1B1"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4,2%</w:t>
            </w:r>
          </w:p>
        </w:tc>
        <w:tc>
          <w:tcPr>
            <w:tcW w:w="831" w:type="pct"/>
            <w:hideMark/>
          </w:tcPr>
          <w:p w14:paraId="789F387C" w14:textId="77777777" w:rsidR="003F4CFF" w:rsidRPr="00336CDA" w:rsidRDefault="003F4CFF" w:rsidP="003F4CFF">
            <w:pPr>
              <w:rPr>
                <w:rFonts w:ascii="Times New Roman" w:eastAsia="Times New Roman" w:hAnsi="Times New Roman" w:cs="Times New Roman"/>
              </w:rPr>
            </w:pPr>
            <w:r w:rsidRPr="00336CDA">
              <w:rPr>
                <w:rFonts w:ascii="Times New Roman" w:eastAsia="Times New Roman" w:hAnsi="Times New Roman" w:cs="Times New Roman"/>
              </w:rPr>
              <w:t>90,6%</w:t>
            </w:r>
          </w:p>
        </w:tc>
      </w:tr>
      <w:tr w:rsidR="003F4CFF" w:rsidRPr="00385C29" w14:paraId="209780C6" w14:textId="77777777" w:rsidTr="003F4CFF">
        <w:trPr>
          <w:trHeight w:val="20"/>
        </w:trPr>
        <w:tc>
          <w:tcPr>
            <w:tcW w:w="914" w:type="pct"/>
            <w:hideMark/>
          </w:tcPr>
          <w:p w14:paraId="2F86FC4F" w14:textId="77777777" w:rsidR="003F4CFF" w:rsidRPr="00385C29" w:rsidRDefault="003F4CFF" w:rsidP="00BD1EFA">
            <w:pPr>
              <w:jc w:val="left"/>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Организац</w:t>
            </w:r>
            <w:r>
              <w:rPr>
                <w:rFonts w:ascii="Times New Roman" w:eastAsia="Times New Roman" w:hAnsi="Times New Roman" w:cs="Times New Roman"/>
                <w:b/>
                <w:bCs/>
                <w:color w:val="000000"/>
              </w:rPr>
              <w:t>ии без прав юридического лица</w:t>
            </w:r>
          </w:p>
        </w:tc>
        <w:tc>
          <w:tcPr>
            <w:tcW w:w="452" w:type="pct"/>
            <w:hideMark/>
          </w:tcPr>
          <w:p w14:paraId="688A272E"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1,3%</w:t>
            </w:r>
          </w:p>
        </w:tc>
        <w:tc>
          <w:tcPr>
            <w:tcW w:w="454" w:type="pct"/>
            <w:hideMark/>
          </w:tcPr>
          <w:p w14:paraId="170E10AA"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1,3%</w:t>
            </w:r>
          </w:p>
        </w:tc>
        <w:tc>
          <w:tcPr>
            <w:tcW w:w="303" w:type="pct"/>
            <w:hideMark/>
          </w:tcPr>
          <w:p w14:paraId="11A21464"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1,3%</w:t>
            </w:r>
          </w:p>
        </w:tc>
        <w:tc>
          <w:tcPr>
            <w:tcW w:w="455" w:type="pct"/>
            <w:hideMark/>
          </w:tcPr>
          <w:p w14:paraId="11F4F083"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1,2%</w:t>
            </w:r>
          </w:p>
        </w:tc>
        <w:tc>
          <w:tcPr>
            <w:tcW w:w="379" w:type="pct"/>
            <w:hideMark/>
          </w:tcPr>
          <w:p w14:paraId="7CBB7D32"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1,3%</w:t>
            </w:r>
          </w:p>
        </w:tc>
        <w:tc>
          <w:tcPr>
            <w:tcW w:w="454" w:type="pct"/>
            <w:hideMark/>
          </w:tcPr>
          <w:p w14:paraId="3FBEDC6D"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1,3%</w:t>
            </w:r>
          </w:p>
        </w:tc>
        <w:tc>
          <w:tcPr>
            <w:tcW w:w="379" w:type="pct"/>
            <w:hideMark/>
          </w:tcPr>
          <w:p w14:paraId="181B25C8"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1,4%</w:t>
            </w:r>
          </w:p>
        </w:tc>
        <w:tc>
          <w:tcPr>
            <w:tcW w:w="379" w:type="pct"/>
            <w:hideMark/>
          </w:tcPr>
          <w:p w14:paraId="64851783"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1,4%</w:t>
            </w:r>
          </w:p>
        </w:tc>
        <w:tc>
          <w:tcPr>
            <w:tcW w:w="831" w:type="pct"/>
            <w:hideMark/>
          </w:tcPr>
          <w:p w14:paraId="60E3DCB9" w14:textId="77777777" w:rsidR="003F4CFF" w:rsidRPr="00385C29" w:rsidRDefault="003F4CFF" w:rsidP="003F4CFF">
            <w:pPr>
              <w:rPr>
                <w:rFonts w:ascii="Times New Roman" w:eastAsia="Times New Roman" w:hAnsi="Times New Roman" w:cs="Times New Roman"/>
                <w:b/>
                <w:bCs/>
                <w:color w:val="000000"/>
              </w:rPr>
            </w:pPr>
            <w:r w:rsidRPr="00385C29">
              <w:rPr>
                <w:rFonts w:ascii="Times New Roman" w:eastAsia="Times New Roman" w:hAnsi="Times New Roman" w:cs="Times New Roman"/>
                <w:b/>
                <w:bCs/>
                <w:color w:val="000000"/>
              </w:rPr>
              <w:t>82,0%</w:t>
            </w:r>
          </w:p>
        </w:tc>
      </w:tr>
    </w:tbl>
    <w:p w14:paraId="6F33DE0E" w14:textId="77777777" w:rsidR="003F4CFF" w:rsidRDefault="003F4CFF" w:rsidP="003F4CFF">
      <w:pPr>
        <w:ind w:firstLine="567"/>
        <w:jc w:val="both"/>
        <w:rPr>
          <w:rFonts w:ascii="Times New Roman" w:hAnsi="Times New Roman" w:cs="Times New Roman"/>
          <w:bCs/>
          <w:sz w:val="28"/>
          <w:szCs w:val="28"/>
        </w:rPr>
      </w:pPr>
    </w:p>
    <w:p w14:paraId="33DAACC8" w14:textId="20B0D897" w:rsidR="003F4CFF" w:rsidRPr="00385C29" w:rsidRDefault="003F4CFF" w:rsidP="003F4CFF">
      <w:pPr>
        <w:ind w:firstLine="567"/>
        <w:jc w:val="both"/>
        <w:rPr>
          <w:rFonts w:ascii="Times New Roman" w:hAnsi="Times New Roman" w:cs="Times New Roman"/>
          <w:bCs/>
          <w:sz w:val="28"/>
          <w:szCs w:val="28"/>
        </w:rPr>
      </w:pPr>
      <w:r>
        <w:rPr>
          <w:rFonts w:ascii="Times New Roman" w:hAnsi="Times New Roman" w:cs="Times New Roman"/>
          <w:bCs/>
          <w:sz w:val="28"/>
          <w:szCs w:val="28"/>
        </w:rPr>
        <w:t>На начало 2019 </w:t>
      </w:r>
      <w:r w:rsidRPr="00385C29">
        <w:rPr>
          <w:rFonts w:ascii="Times New Roman" w:hAnsi="Times New Roman" w:cs="Times New Roman"/>
          <w:bCs/>
          <w:sz w:val="28"/>
          <w:szCs w:val="28"/>
        </w:rPr>
        <w:t>г</w:t>
      </w:r>
      <w:r w:rsidR="009E0C37">
        <w:rPr>
          <w:rFonts w:ascii="Times New Roman" w:hAnsi="Times New Roman" w:cs="Times New Roman"/>
          <w:bCs/>
          <w:sz w:val="28"/>
          <w:szCs w:val="28"/>
        </w:rPr>
        <w:t>ода</w:t>
      </w:r>
      <w:r w:rsidRPr="00385C29">
        <w:rPr>
          <w:rFonts w:ascii="Times New Roman" w:hAnsi="Times New Roman" w:cs="Times New Roman"/>
          <w:bCs/>
          <w:sz w:val="28"/>
          <w:szCs w:val="28"/>
        </w:rPr>
        <w:t xml:space="preserve"> численность ма</w:t>
      </w:r>
      <w:r>
        <w:rPr>
          <w:rFonts w:ascii="Times New Roman" w:hAnsi="Times New Roman" w:cs="Times New Roman"/>
          <w:bCs/>
          <w:sz w:val="28"/>
          <w:szCs w:val="28"/>
        </w:rPr>
        <w:t xml:space="preserve">лых предприятий </w:t>
      </w:r>
      <w:r w:rsidR="009E0C37">
        <w:rPr>
          <w:rFonts w:ascii="Times New Roman" w:hAnsi="Times New Roman" w:cs="Times New Roman"/>
          <w:bCs/>
          <w:sz w:val="28"/>
          <w:szCs w:val="28"/>
        </w:rPr>
        <w:t xml:space="preserve">составила </w:t>
      </w:r>
      <w:r>
        <w:rPr>
          <w:rFonts w:ascii="Times New Roman" w:hAnsi="Times New Roman" w:cs="Times New Roman"/>
          <w:bCs/>
          <w:sz w:val="28"/>
          <w:szCs w:val="28"/>
        </w:rPr>
        <w:t>6057 </w:t>
      </w:r>
      <w:r w:rsidRPr="00385C29">
        <w:rPr>
          <w:rFonts w:ascii="Times New Roman" w:hAnsi="Times New Roman" w:cs="Times New Roman"/>
          <w:bCs/>
          <w:sz w:val="28"/>
          <w:szCs w:val="28"/>
        </w:rPr>
        <w:t>организаций. Это меньше на 419</w:t>
      </w:r>
      <w:r>
        <w:rPr>
          <w:rFonts w:ascii="Times New Roman" w:hAnsi="Times New Roman" w:cs="Times New Roman"/>
          <w:bCs/>
          <w:sz w:val="28"/>
          <w:szCs w:val="28"/>
        </w:rPr>
        <w:t> предприятий, чем в начале 2018 </w:t>
      </w:r>
      <w:r w:rsidRPr="00385C29">
        <w:rPr>
          <w:rFonts w:ascii="Times New Roman" w:hAnsi="Times New Roman" w:cs="Times New Roman"/>
          <w:bCs/>
          <w:sz w:val="28"/>
          <w:szCs w:val="28"/>
        </w:rPr>
        <w:t>г</w:t>
      </w:r>
      <w:r w:rsidR="009E0C37">
        <w:rPr>
          <w:rFonts w:ascii="Times New Roman" w:hAnsi="Times New Roman" w:cs="Times New Roman"/>
          <w:bCs/>
          <w:sz w:val="28"/>
          <w:szCs w:val="28"/>
        </w:rPr>
        <w:t>ода.</w:t>
      </w:r>
      <w:r w:rsidR="009E0C37" w:rsidRPr="00385C29">
        <w:rPr>
          <w:rFonts w:ascii="Times New Roman" w:hAnsi="Times New Roman" w:cs="Times New Roman"/>
          <w:bCs/>
          <w:sz w:val="28"/>
          <w:szCs w:val="28"/>
        </w:rPr>
        <w:t xml:space="preserve"> </w:t>
      </w:r>
      <w:r w:rsidRPr="00385C29">
        <w:rPr>
          <w:rFonts w:ascii="Times New Roman" w:hAnsi="Times New Roman" w:cs="Times New Roman"/>
          <w:bCs/>
          <w:sz w:val="28"/>
          <w:szCs w:val="28"/>
        </w:rPr>
        <w:t>Значимой динамики за пос</w:t>
      </w:r>
      <w:r>
        <w:rPr>
          <w:rFonts w:ascii="Times New Roman" w:hAnsi="Times New Roman" w:cs="Times New Roman"/>
          <w:bCs/>
          <w:sz w:val="28"/>
          <w:szCs w:val="28"/>
        </w:rPr>
        <w:t>ледние 7 лет нет, исключая 2017 </w:t>
      </w:r>
      <w:r w:rsidRPr="00385C29">
        <w:rPr>
          <w:rFonts w:ascii="Times New Roman" w:hAnsi="Times New Roman" w:cs="Times New Roman"/>
          <w:bCs/>
          <w:sz w:val="28"/>
          <w:szCs w:val="28"/>
        </w:rPr>
        <w:t>г</w:t>
      </w:r>
      <w:r w:rsidR="009E0C37">
        <w:rPr>
          <w:rFonts w:ascii="Times New Roman" w:hAnsi="Times New Roman" w:cs="Times New Roman"/>
          <w:bCs/>
          <w:sz w:val="28"/>
          <w:szCs w:val="28"/>
        </w:rPr>
        <w:t>од</w:t>
      </w:r>
      <w:r w:rsidRPr="00385C29">
        <w:rPr>
          <w:rFonts w:ascii="Times New Roman" w:hAnsi="Times New Roman" w:cs="Times New Roman"/>
          <w:bCs/>
          <w:sz w:val="28"/>
          <w:szCs w:val="28"/>
        </w:rPr>
        <w:t>, когда количество малых предприятий на 01.01.2017 составило 4010.</w:t>
      </w:r>
    </w:p>
    <w:p w14:paraId="67234B7F" w14:textId="00E5FB46" w:rsidR="003F4CFF" w:rsidRPr="00385C29" w:rsidRDefault="003F4CFF" w:rsidP="003F4CFF">
      <w:pPr>
        <w:ind w:firstLine="567"/>
        <w:jc w:val="both"/>
        <w:rPr>
          <w:rFonts w:ascii="Times New Roman" w:hAnsi="Times New Roman" w:cs="Times New Roman"/>
          <w:sz w:val="28"/>
          <w:szCs w:val="28"/>
        </w:rPr>
      </w:pPr>
      <w:r w:rsidRPr="00385C29">
        <w:rPr>
          <w:rFonts w:ascii="Times New Roman" w:hAnsi="Times New Roman" w:cs="Times New Roman"/>
          <w:sz w:val="28"/>
          <w:szCs w:val="28"/>
        </w:rPr>
        <w:t xml:space="preserve">Динамика оборота малых предприятий (без учета микропредприятий) с 01.01.2014 по 01.01.2019 составляет 189% </w:t>
      </w:r>
      <w:r w:rsidRPr="00350166">
        <w:rPr>
          <w:rFonts w:ascii="Times New Roman" w:hAnsi="Times New Roman" w:cs="Times New Roman"/>
          <w:sz w:val="28"/>
          <w:szCs w:val="28"/>
        </w:rPr>
        <w:t>(таблиц</w:t>
      </w:r>
      <w:r w:rsidR="001E0024">
        <w:rPr>
          <w:rFonts w:ascii="Times New Roman" w:hAnsi="Times New Roman" w:cs="Times New Roman"/>
          <w:sz w:val="28"/>
          <w:szCs w:val="28"/>
        </w:rPr>
        <w:t>а</w:t>
      </w:r>
      <w:r>
        <w:rPr>
          <w:rFonts w:ascii="Times New Roman" w:hAnsi="Times New Roman" w:cs="Times New Roman"/>
          <w:sz w:val="28"/>
          <w:szCs w:val="28"/>
        </w:rPr>
        <w:t> </w:t>
      </w:r>
      <w:r w:rsidRPr="00350166">
        <w:rPr>
          <w:rFonts w:ascii="Times New Roman" w:hAnsi="Times New Roman" w:cs="Times New Roman"/>
          <w:sz w:val="28"/>
          <w:szCs w:val="28"/>
        </w:rPr>
        <w:t>7).</w:t>
      </w:r>
      <w:r w:rsidRPr="00385C29">
        <w:rPr>
          <w:rFonts w:ascii="Times New Roman" w:hAnsi="Times New Roman" w:cs="Times New Roman"/>
          <w:sz w:val="28"/>
          <w:szCs w:val="28"/>
        </w:rPr>
        <w:t xml:space="preserve"> Ежегодная динамика оборота малых предприятий в фактических ценах за последние 6 лет составляет от 105,1% (2016 г</w:t>
      </w:r>
      <w:r w:rsidR="009E0C37">
        <w:rPr>
          <w:rFonts w:ascii="Times New Roman" w:hAnsi="Times New Roman" w:cs="Times New Roman"/>
          <w:sz w:val="28"/>
          <w:szCs w:val="28"/>
        </w:rPr>
        <w:t>од</w:t>
      </w:r>
      <w:r w:rsidRPr="00385C29">
        <w:rPr>
          <w:rFonts w:ascii="Times New Roman" w:hAnsi="Times New Roman" w:cs="Times New Roman"/>
          <w:sz w:val="28"/>
          <w:szCs w:val="28"/>
        </w:rPr>
        <w:t>) до 116,1% (2018 г</w:t>
      </w:r>
      <w:r w:rsidR="009E0C37">
        <w:rPr>
          <w:rFonts w:ascii="Times New Roman" w:hAnsi="Times New Roman" w:cs="Times New Roman"/>
          <w:sz w:val="28"/>
          <w:szCs w:val="28"/>
        </w:rPr>
        <w:t>од</w:t>
      </w:r>
      <w:r w:rsidRPr="00385C29">
        <w:rPr>
          <w:rFonts w:ascii="Times New Roman" w:hAnsi="Times New Roman" w:cs="Times New Roman"/>
          <w:sz w:val="28"/>
          <w:szCs w:val="28"/>
        </w:rPr>
        <w:t>). По состоянию на 01.01.2019 годовая динамика оборота составила 112,4%.</w:t>
      </w:r>
    </w:p>
    <w:p w14:paraId="501434FB" w14:textId="26E6F476" w:rsidR="003F4CFF" w:rsidRPr="00385C29" w:rsidRDefault="003F4CFF" w:rsidP="003F4CFF">
      <w:pPr>
        <w:ind w:firstLine="567"/>
        <w:jc w:val="both"/>
        <w:rPr>
          <w:rFonts w:ascii="Times New Roman" w:hAnsi="Times New Roman" w:cs="Times New Roman"/>
          <w:sz w:val="28"/>
          <w:szCs w:val="28"/>
        </w:rPr>
      </w:pPr>
      <w:r w:rsidRPr="00385C29">
        <w:rPr>
          <w:rFonts w:ascii="Times New Roman" w:hAnsi="Times New Roman" w:cs="Times New Roman"/>
          <w:sz w:val="28"/>
          <w:szCs w:val="28"/>
        </w:rPr>
        <w:t xml:space="preserve">Удельный вес малых предприятий (без учета микропредприятий) в общем обороте предприятий составляет на </w:t>
      </w:r>
      <w:r w:rsidR="009E0C37">
        <w:rPr>
          <w:rFonts w:ascii="Times New Roman" w:hAnsi="Times New Roman" w:cs="Times New Roman"/>
          <w:sz w:val="28"/>
          <w:szCs w:val="28"/>
        </w:rPr>
        <w:t>01.01</w:t>
      </w:r>
      <w:r w:rsidRPr="00385C29">
        <w:rPr>
          <w:rFonts w:ascii="Times New Roman" w:hAnsi="Times New Roman" w:cs="Times New Roman"/>
          <w:sz w:val="28"/>
          <w:szCs w:val="28"/>
        </w:rPr>
        <w:t xml:space="preserve"> 2019 23,8%. За последние 3</w:t>
      </w:r>
      <w:r w:rsidR="009E0C37">
        <w:rPr>
          <w:rFonts w:ascii="Times New Roman" w:hAnsi="Times New Roman" w:cs="Times New Roman"/>
          <w:sz w:val="28"/>
          <w:szCs w:val="28"/>
        </w:rPr>
        <w:t> </w:t>
      </w:r>
      <w:r w:rsidRPr="00385C29">
        <w:rPr>
          <w:rFonts w:ascii="Times New Roman" w:hAnsi="Times New Roman" w:cs="Times New Roman"/>
          <w:sz w:val="28"/>
          <w:szCs w:val="28"/>
        </w:rPr>
        <w:t>года отмечается тенденция к росту доли малого бизнеса в обороте полного круга предприятий, в 2018 г</w:t>
      </w:r>
      <w:r w:rsidR="009E0C37">
        <w:rPr>
          <w:rFonts w:ascii="Times New Roman" w:hAnsi="Times New Roman" w:cs="Times New Roman"/>
          <w:sz w:val="28"/>
          <w:szCs w:val="28"/>
        </w:rPr>
        <w:t>оду</w:t>
      </w:r>
      <w:r w:rsidR="009E0C37" w:rsidRPr="00385C29">
        <w:rPr>
          <w:rFonts w:ascii="Times New Roman" w:hAnsi="Times New Roman" w:cs="Times New Roman"/>
          <w:sz w:val="28"/>
          <w:szCs w:val="28"/>
        </w:rPr>
        <w:t xml:space="preserve"> </w:t>
      </w:r>
      <w:r w:rsidRPr="00385C29">
        <w:rPr>
          <w:rFonts w:ascii="Times New Roman" w:hAnsi="Times New Roman" w:cs="Times New Roman"/>
          <w:sz w:val="28"/>
          <w:szCs w:val="28"/>
        </w:rPr>
        <w:t xml:space="preserve">она приблизилась к 25%, в то время как в 2014-2016 гг. составляла 21-22%. </w:t>
      </w:r>
    </w:p>
    <w:p w14:paraId="324165F7" w14:textId="77777777" w:rsidR="003F4CFF" w:rsidRDefault="003F4CFF" w:rsidP="003F4CFF">
      <w:pPr>
        <w:jc w:val="both"/>
        <w:rPr>
          <w:rFonts w:ascii="Times New Roman" w:eastAsia="Times New Roman" w:hAnsi="Times New Roman" w:cs="Times New Roman"/>
          <w:sz w:val="28"/>
          <w:szCs w:val="28"/>
        </w:rPr>
      </w:pPr>
    </w:p>
    <w:p w14:paraId="11F173F9" w14:textId="77777777" w:rsidR="003F4CFF" w:rsidRPr="005B076E" w:rsidRDefault="003F4CFF" w:rsidP="003F4CFF">
      <w:pPr>
        <w:jc w:val="both"/>
        <w:rPr>
          <w:rFonts w:ascii="Times New Roman" w:eastAsia="Times New Roman" w:hAnsi="Times New Roman" w:cs="Times New Roman"/>
          <w:sz w:val="28"/>
          <w:szCs w:val="28"/>
        </w:rPr>
      </w:pPr>
      <w:r w:rsidRPr="00350166">
        <w:rPr>
          <w:rFonts w:ascii="Times New Roman" w:eastAsia="Times New Roman" w:hAnsi="Times New Roman" w:cs="Times New Roman"/>
          <w:sz w:val="28"/>
          <w:szCs w:val="28"/>
        </w:rPr>
        <w:t>Таблица</w:t>
      </w:r>
      <w:r>
        <w:rPr>
          <w:rFonts w:ascii="Times New Roman" w:eastAsia="Times New Roman" w:hAnsi="Times New Roman" w:cs="Times New Roman"/>
          <w:sz w:val="28"/>
          <w:szCs w:val="28"/>
        </w:rPr>
        <w:t> </w:t>
      </w:r>
      <w:r w:rsidRPr="00350166">
        <w:rPr>
          <w:rFonts w:ascii="Times New Roman" w:eastAsia="Times New Roman" w:hAnsi="Times New Roman" w:cs="Times New Roman"/>
          <w:sz w:val="28"/>
          <w:szCs w:val="28"/>
        </w:rPr>
        <w:t>7</w:t>
      </w:r>
      <w:r>
        <w:rPr>
          <w:rFonts w:ascii="Times New Roman" w:eastAsia="Times New Roman" w:hAnsi="Times New Roman" w:cs="Times New Roman"/>
          <w:sz w:val="28"/>
          <w:szCs w:val="28"/>
        </w:rPr>
        <w:t> – О</w:t>
      </w:r>
      <w:r w:rsidRPr="00350166">
        <w:rPr>
          <w:rFonts w:ascii="Times New Roman" w:eastAsia="Times New Roman" w:hAnsi="Times New Roman" w:cs="Times New Roman"/>
          <w:sz w:val="28"/>
          <w:szCs w:val="28"/>
        </w:rPr>
        <w:t>борот</w:t>
      </w:r>
      <w:r w:rsidRPr="00674368">
        <w:rPr>
          <w:rFonts w:ascii="Times New Roman" w:eastAsia="Times New Roman" w:hAnsi="Times New Roman" w:cs="Times New Roman"/>
          <w:sz w:val="28"/>
          <w:szCs w:val="28"/>
        </w:rPr>
        <w:t xml:space="preserve"> предпр</w:t>
      </w:r>
      <w:r>
        <w:rPr>
          <w:rFonts w:ascii="Times New Roman" w:eastAsia="Times New Roman" w:hAnsi="Times New Roman" w:cs="Times New Roman"/>
          <w:sz w:val="28"/>
          <w:szCs w:val="28"/>
        </w:rPr>
        <w:t xml:space="preserve">иятий малого бизнеса (без учета </w:t>
      </w:r>
      <w:r w:rsidRPr="00674368">
        <w:rPr>
          <w:rFonts w:ascii="Times New Roman" w:eastAsia="Times New Roman" w:hAnsi="Times New Roman" w:cs="Times New Roman"/>
          <w:sz w:val="28"/>
          <w:szCs w:val="28"/>
        </w:rPr>
        <w:t>микропредприятий)</w:t>
      </w:r>
      <w:r>
        <w:rPr>
          <w:rFonts w:ascii="Times New Roman" w:eastAsia="Times New Roman" w:hAnsi="Times New Roman" w:cs="Times New Roman"/>
          <w:sz w:val="28"/>
          <w:szCs w:val="28"/>
        </w:rPr>
        <w:t xml:space="preserve"> в динамике за 2014-2019 </w:t>
      </w:r>
      <w:r w:rsidRPr="00674368">
        <w:rPr>
          <w:rFonts w:ascii="Times New Roman" w:eastAsia="Times New Roman" w:hAnsi="Times New Roman" w:cs="Times New Roman"/>
          <w:sz w:val="28"/>
          <w:szCs w:val="28"/>
        </w:rPr>
        <w:t>гг., на начало отчетного периода</w:t>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7"/>
        <w:gridCol w:w="923"/>
        <w:gridCol w:w="1007"/>
        <w:gridCol w:w="853"/>
        <w:gridCol w:w="1135"/>
        <w:gridCol w:w="1321"/>
        <w:gridCol w:w="818"/>
      </w:tblGrid>
      <w:tr w:rsidR="003F4CFF" w:rsidRPr="00385C29" w14:paraId="0DFC79E8" w14:textId="77777777" w:rsidTr="003F4CFF">
        <w:tc>
          <w:tcPr>
            <w:tcW w:w="332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AD69E" w14:textId="77777777" w:rsidR="003F4CFF" w:rsidRPr="00683637" w:rsidRDefault="003F4CFF" w:rsidP="003F4CFF">
            <w:pPr>
              <w:rPr>
                <w:rFonts w:ascii="Times New Roman" w:hAnsi="Times New Roman" w:cs="Times New Roman"/>
                <w:lang w:eastAsia="en-US"/>
              </w:rPr>
            </w:pPr>
            <w:r w:rsidRPr="00683637">
              <w:rPr>
                <w:rFonts w:ascii="Times New Roman" w:hAnsi="Times New Roman" w:cs="Times New Roman"/>
              </w:rPr>
              <w:t> </w:t>
            </w:r>
          </w:p>
        </w:tc>
        <w:tc>
          <w:tcPr>
            <w:tcW w:w="92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087053"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2014</w:t>
            </w:r>
          </w:p>
        </w:tc>
        <w:tc>
          <w:tcPr>
            <w:tcW w:w="100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C9DC9F"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2015</w:t>
            </w:r>
          </w:p>
        </w:tc>
        <w:tc>
          <w:tcPr>
            <w:tcW w:w="8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2189A5"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2016</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AA362A"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2017</w:t>
            </w:r>
          </w:p>
        </w:tc>
        <w:tc>
          <w:tcPr>
            <w:tcW w:w="132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ECBE13"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2018</w:t>
            </w:r>
          </w:p>
        </w:tc>
        <w:tc>
          <w:tcPr>
            <w:tcW w:w="0" w:type="auto"/>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7F44D06A"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2019</w:t>
            </w:r>
          </w:p>
        </w:tc>
      </w:tr>
      <w:tr w:rsidR="003F4CFF" w:rsidRPr="00385C29" w14:paraId="13C45267" w14:textId="77777777" w:rsidTr="003F4CFF">
        <w:tc>
          <w:tcPr>
            <w:tcW w:w="332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DD7573" w14:textId="77777777" w:rsidR="003F4CFF" w:rsidRPr="00683637" w:rsidRDefault="003F4CFF" w:rsidP="00BD1EFA">
            <w:pPr>
              <w:jc w:val="left"/>
              <w:rPr>
                <w:rFonts w:ascii="Times New Roman" w:hAnsi="Times New Roman" w:cs="Times New Roman"/>
              </w:rPr>
            </w:pPr>
            <w:r w:rsidRPr="00683637">
              <w:rPr>
                <w:rFonts w:ascii="Times New Roman" w:hAnsi="Times New Roman" w:cs="Times New Roman"/>
              </w:rPr>
              <w:t>Оборот организаций (за отчетный период), млн. рублей за отчетный период</w:t>
            </w:r>
          </w:p>
        </w:tc>
        <w:tc>
          <w:tcPr>
            <w:tcW w:w="92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EF9126"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1629802,7</w:t>
            </w:r>
          </w:p>
        </w:tc>
        <w:tc>
          <w:tcPr>
            <w:tcW w:w="100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A02684"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1839644</w:t>
            </w:r>
          </w:p>
        </w:tc>
        <w:tc>
          <w:tcPr>
            <w:tcW w:w="8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F242E9"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1933671</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FDBDE3"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2175694</w:t>
            </w:r>
          </w:p>
        </w:tc>
        <w:tc>
          <w:tcPr>
            <w:tcW w:w="132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6A6DC1"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2526172</w:t>
            </w:r>
          </w:p>
        </w:tc>
        <w:tc>
          <w:tcPr>
            <w:tcW w:w="0" w:type="auto"/>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0901591D"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2839418</w:t>
            </w:r>
          </w:p>
        </w:tc>
      </w:tr>
      <w:tr w:rsidR="003F4CFF" w:rsidRPr="00385C29" w14:paraId="277ACA8D" w14:textId="77777777" w:rsidTr="003F4CFF">
        <w:tc>
          <w:tcPr>
            <w:tcW w:w="332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99FAFA" w14:textId="77777777" w:rsidR="003F4CFF" w:rsidRPr="00683637" w:rsidRDefault="003F4CFF" w:rsidP="00BD1EFA">
            <w:pPr>
              <w:jc w:val="left"/>
              <w:rPr>
                <w:rFonts w:ascii="Times New Roman" w:hAnsi="Times New Roman" w:cs="Times New Roman"/>
              </w:rPr>
            </w:pPr>
            <w:r w:rsidRPr="00683637">
              <w:rPr>
                <w:rFonts w:ascii="Times New Roman" w:hAnsi="Times New Roman" w:cs="Times New Roman"/>
              </w:rPr>
              <w:t>- в т.ч. по малым предприятиям (без микропредприятий), за отчетный период, млн. рублей за отчетный период</w:t>
            </w:r>
          </w:p>
        </w:tc>
        <w:tc>
          <w:tcPr>
            <w:tcW w:w="92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3E468D"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357094,3</w:t>
            </w:r>
          </w:p>
        </w:tc>
        <w:tc>
          <w:tcPr>
            <w:tcW w:w="100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256145"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387434,6</w:t>
            </w:r>
          </w:p>
        </w:tc>
        <w:tc>
          <w:tcPr>
            <w:tcW w:w="8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1169F0"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401404,6</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19D5CF"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485268,3</w:t>
            </w:r>
          </w:p>
        </w:tc>
        <w:tc>
          <w:tcPr>
            <w:tcW w:w="132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2C33D3"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628566,7</w:t>
            </w:r>
          </w:p>
        </w:tc>
        <w:tc>
          <w:tcPr>
            <w:tcW w:w="0" w:type="auto"/>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6FCD0662"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675547,9</w:t>
            </w:r>
          </w:p>
        </w:tc>
      </w:tr>
      <w:tr w:rsidR="003F4CFF" w:rsidRPr="00385C29" w14:paraId="1CF0BAC9" w14:textId="77777777" w:rsidTr="003F4CFF">
        <w:tc>
          <w:tcPr>
            <w:tcW w:w="332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B93AE5" w14:textId="77777777" w:rsidR="003F4CFF" w:rsidRPr="00683637" w:rsidRDefault="003F4CFF" w:rsidP="00BD1EFA">
            <w:pPr>
              <w:jc w:val="left"/>
              <w:rPr>
                <w:rFonts w:ascii="Times New Roman" w:hAnsi="Times New Roman" w:cs="Times New Roman"/>
              </w:rPr>
            </w:pPr>
            <w:r w:rsidRPr="00683637">
              <w:rPr>
                <w:rFonts w:ascii="Times New Roman" w:hAnsi="Times New Roman" w:cs="Times New Roman"/>
              </w:rPr>
              <w:t>- Удельный вес малых предприятий в обороте предприятий, % к итогу по области</w:t>
            </w:r>
          </w:p>
        </w:tc>
        <w:tc>
          <w:tcPr>
            <w:tcW w:w="92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153B75"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21,9</w:t>
            </w:r>
          </w:p>
        </w:tc>
        <w:tc>
          <w:tcPr>
            <w:tcW w:w="100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96D04C"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21,1</w:t>
            </w:r>
          </w:p>
        </w:tc>
        <w:tc>
          <w:tcPr>
            <w:tcW w:w="8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C1B074"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20,8</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39B1880"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22,3</w:t>
            </w:r>
          </w:p>
        </w:tc>
        <w:tc>
          <w:tcPr>
            <w:tcW w:w="132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07AF7B"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24,9</w:t>
            </w:r>
          </w:p>
        </w:tc>
        <w:tc>
          <w:tcPr>
            <w:tcW w:w="0" w:type="auto"/>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01E3D861"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23,8</w:t>
            </w:r>
          </w:p>
        </w:tc>
      </w:tr>
      <w:tr w:rsidR="003F4CFF" w:rsidRPr="00385C29" w14:paraId="05CCF88F" w14:textId="77777777" w:rsidTr="003F4CFF">
        <w:tc>
          <w:tcPr>
            <w:tcW w:w="332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3A77AE" w14:textId="77777777" w:rsidR="003F4CFF" w:rsidRPr="00683637" w:rsidRDefault="003F4CFF" w:rsidP="00BD1EFA">
            <w:pPr>
              <w:jc w:val="left"/>
              <w:rPr>
                <w:rFonts w:ascii="Times New Roman" w:hAnsi="Times New Roman" w:cs="Times New Roman"/>
              </w:rPr>
            </w:pPr>
            <w:r w:rsidRPr="00683637">
              <w:rPr>
                <w:rFonts w:ascii="Times New Roman" w:hAnsi="Times New Roman" w:cs="Times New Roman"/>
              </w:rPr>
              <w:t>Динамика оборота малых предприятий, % к предыдущему периоду</w:t>
            </w:r>
          </w:p>
        </w:tc>
        <w:tc>
          <w:tcPr>
            <w:tcW w:w="9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0E23B5"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w:t>
            </w:r>
          </w:p>
        </w:tc>
        <w:tc>
          <w:tcPr>
            <w:tcW w:w="10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7C93E6"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112,9</w:t>
            </w:r>
          </w:p>
        </w:tc>
        <w:tc>
          <w:tcPr>
            <w:tcW w:w="8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429A6D"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105,1</w:t>
            </w:r>
          </w:p>
        </w:tc>
        <w:tc>
          <w:tcPr>
            <w:tcW w:w="11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2B0019"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112,5</w:t>
            </w:r>
          </w:p>
        </w:tc>
        <w:tc>
          <w:tcPr>
            <w:tcW w:w="13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AF70E9"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116,1</w:t>
            </w:r>
          </w:p>
        </w:tc>
        <w:tc>
          <w:tcPr>
            <w:tcW w:w="0" w:type="auto"/>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3E8B6C77" w14:textId="77777777" w:rsidR="003F4CFF" w:rsidRPr="00683637" w:rsidRDefault="003F4CFF" w:rsidP="003F4CFF">
            <w:pPr>
              <w:rPr>
                <w:rFonts w:ascii="Times New Roman" w:hAnsi="Times New Roman" w:cs="Times New Roman"/>
              </w:rPr>
            </w:pPr>
            <w:r w:rsidRPr="00683637">
              <w:rPr>
                <w:rFonts w:ascii="Times New Roman" w:hAnsi="Times New Roman" w:cs="Times New Roman"/>
              </w:rPr>
              <w:t>112,4</w:t>
            </w:r>
          </w:p>
        </w:tc>
      </w:tr>
    </w:tbl>
    <w:p w14:paraId="23684BEF" w14:textId="77777777" w:rsidR="003F4CFF" w:rsidRDefault="003F4CFF" w:rsidP="003F4CFF">
      <w:pPr>
        <w:ind w:firstLine="709"/>
        <w:jc w:val="both"/>
        <w:rPr>
          <w:rFonts w:ascii="Times New Roman" w:hAnsi="Times New Roman" w:cs="Times New Roman"/>
          <w:bCs/>
          <w:sz w:val="28"/>
          <w:szCs w:val="28"/>
          <w:lang w:eastAsia="en-US"/>
        </w:rPr>
      </w:pPr>
    </w:p>
    <w:p w14:paraId="7335DC53" w14:textId="053D2059" w:rsidR="003F4CFF" w:rsidRPr="00385C29" w:rsidRDefault="003F4CFF" w:rsidP="003F4CFF">
      <w:pPr>
        <w:ind w:firstLine="567"/>
        <w:jc w:val="both"/>
        <w:rPr>
          <w:rFonts w:ascii="Times New Roman" w:hAnsi="Times New Roman" w:cs="Times New Roman"/>
          <w:bCs/>
          <w:sz w:val="28"/>
          <w:szCs w:val="28"/>
          <w:lang w:eastAsia="en-US"/>
        </w:rPr>
      </w:pPr>
      <w:r>
        <w:rPr>
          <w:rFonts w:ascii="Times New Roman" w:hAnsi="Times New Roman" w:cs="Times New Roman"/>
          <w:bCs/>
          <w:sz w:val="28"/>
          <w:szCs w:val="28"/>
          <w:lang w:eastAsia="en-US"/>
        </w:rPr>
        <w:t xml:space="preserve">Информация об объеме инвестиций </w:t>
      </w:r>
      <w:r w:rsidRPr="00A53D83">
        <w:rPr>
          <w:rFonts w:ascii="Times New Roman" w:hAnsi="Times New Roman" w:cs="Times New Roman"/>
          <w:bCs/>
          <w:sz w:val="28"/>
          <w:szCs w:val="28"/>
          <w:lang w:eastAsia="en-US"/>
        </w:rPr>
        <w:t>в основной капитал, направленных на развитие малого бизнеса (без учета микропредприятий)</w:t>
      </w:r>
      <w:r w:rsidR="009E0C37">
        <w:rPr>
          <w:rFonts w:ascii="Times New Roman" w:hAnsi="Times New Roman" w:cs="Times New Roman"/>
          <w:bCs/>
          <w:sz w:val="28"/>
          <w:szCs w:val="28"/>
          <w:lang w:eastAsia="en-US"/>
        </w:rPr>
        <w:t>,</w:t>
      </w:r>
      <w:r w:rsidRPr="00A53D83">
        <w:rPr>
          <w:rFonts w:ascii="Times New Roman" w:hAnsi="Times New Roman" w:cs="Times New Roman"/>
          <w:bCs/>
          <w:sz w:val="28"/>
          <w:szCs w:val="28"/>
          <w:lang w:eastAsia="en-US"/>
        </w:rPr>
        <w:t xml:space="preserve"> в динамике за 2014-2019</w:t>
      </w:r>
      <w:r w:rsidR="009E0C37">
        <w:rPr>
          <w:rFonts w:ascii="Times New Roman" w:hAnsi="Times New Roman" w:cs="Times New Roman"/>
          <w:bCs/>
          <w:sz w:val="28"/>
          <w:szCs w:val="28"/>
          <w:lang w:eastAsia="en-US"/>
        </w:rPr>
        <w:t> </w:t>
      </w:r>
      <w:r w:rsidRPr="00A53D83">
        <w:rPr>
          <w:rFonts w:ascii="Times New Roman" w:hAnsi="Times New Roman" w:cs="Times New Roman"/>
          <w:bCs/>
          <w:sz w:val="28"/>
          <w:szCs w:val="28"/>
          <w:lang w:eastAsia="en-US"/>
        </w:rPr>
        <w:t>гг.</w:t>
      </w:r>
      <w:r>
        <w:rPr>
          <w:rFonts w:ascii="Times New Roman" w:hAnsi="Times New Roman" w:cs="Times New Roman"/>
          <w:bCs/>
          <w:sz w:val="28"/>
          <w:szCs w:val="28"/>
          <w:lang w:eastAsia="en-US"/>
        </w:rPr>
        <w:t xml:space="preserve"> представлена </w:t>
      </w:r>
      <w:r w:rsidRPr="00350166">
        <w:rPr>
          <w:rFonts w:ascii="Times New Roman" w:hAnsi="Times New Roman" w:cs="Times New Roman"/>
          <w:bCs/>
          <w:sz w:val="28"/>
          <w:szCs w:val="28"/>
          <w:lang w:eastAsia="en-US"/>
        </w:rPr>
        <w:t>в таблице 8</w:t>
      </w:r>
      <w:r>
        <w:rPr>
          <w:rFonts w:ascii="Times New Roman" w:hAnsi="Times New Roman" w:cs="Times New Roman"/>
          <w:bCs/>
          <w:sz w:val="28"/>
          <w:szCs w:val="28"/>
          <w:lang w:eastAsia="en-US"/>
        </w:rPr>
        <w:t xml:space="preserve">. </w:t>
      </w:r>
    </w:p>
    <w:p w14:paraId="74524772" w14:textId="77777777" w:rsidR="003F4CFF" w:rsidRPr="00674368" w:rsidRDefault="003F4CFF" w:rsidP="003F4CFF">
      <w:pPr>
        <w:jc w:val="both"/>
        <w:rPr>
          <w:rFonts w:ascii="Times New Roman" w:eastAsia="Times New Roman" w:hAnsi="Times New Roman" w:cs="Times New Roman"/>
          <w:sz w:val="28"/>
          <w:szCs w:val="28"/>
          <w:highlight w:val="yellow"/>
        </w:rPr>
      </w:pPr>
    </w:p>
    <w:p w14:paraId="138BE4D1" w14:textId="77777777" w:rsidR="003F4CFF" w:rsidRPr="00BF7B1F" w:rsidRDefault="003F4CFF" w:rsidP="003F4CFF">
      <w:pPr>
        <w:jc w:val="both"/>
        <w:rPr>
          <w:rFonts w:ascii="Times New Roman" w:eastAsia="Times New Roman" w:hAnsi="Times New Roman" w:cs="Times New Roman"/>
          <w:sz w:val="28"/>
          <w:szCs w:val="28"/>
        </w:rPr>
      </w:pPr>
      <w:r w:rsidRPr="00350166">
        <w:rPr>
          <w:rFonts w:ascii="Times New Roman" w:eastAsia="Times New Roman" w:hAnsi="Times New Roman" w:cs="Times New Roman"/>
          <w:sz w:val="28"/>
          <w:szCs w:val="28"/>
        </w:rPr>
        <w:lastRenderedPageBreak/>
        <w:t>Таблица</w:t>
      </w:r>
      <w:r>
        <w:rPr>
          <w:rFonts w:ascii="Times New Roman" w:eastAsia="Times New Roman" w:hAnsi="Times New Roman" w:cs="Times New Roman"/>
          <w:sz w:val="28"/>
          <w:szCs w:val="28"/>
        </w:rPr>
        <w:t xml:space="preserve"> 8 – </w:t>
      </w:r>
      <w:r w:rsidRPr="00674368">
        <w:rPr>
          <w:rFonts w:ascii="Times New Roman" w:hAnsi="Times New Roman" w:cs="Times New Roman"/>
          <w:bCs/>
          <w:sz w:val="28"/>
          <w:szCs w:val="28"/>
        </w:rPr>
        <w:t>Объем инвестиций в основной капитал,</w:t>
      </w:r>
      <w:r>
        <w:rPr>
          <w:rFonts w:ascii="Times New Roman" w:hAnsi="Times New Roman" w:cs="Times New Roman"/>
          <w:bCs/>
          <w:sz w:val="28"/>
          <w:szCs w:val="28"/>
        </w:rPr>
        <w:t xml:space="preserve"> </w:t>
      </w:r>
      <w:r w:rsidRPr="00674368">
        <w:rPr>
          <w:rFonts w:ascii="Times New Roman" w:hAnsi="Times New Roman" w:cs="Times New Roman"/>
          <w:sz w:val="28"/>
          <w:szCs w:val="28"/>
        </w:rPr>
        <w:t xml:space="preserve">направленных на развитие малого бизнеса </w:t>
      </w:r>
      <w:r w:rsidRPr="00674368">
        <w:rPr>
          <w:rFonts w:ascii="Times New Roman" w:eastAsia="SimSun" w:hAnsi="Times New Roman" w:cs="Times New Roman"/>
          <w:sz w:val="28"/>
          <w:szCs w:val="28"/>
          <w:lang w:eastAsia="ar-SA"/>
        </w:rPr>
        <w:t>(без учета микропредприятий)</w:t>
      </w:r>
      <w:r w:rsidR="009E0C37">
        <w:rPr>
          <w:rFonts w:ascii="Times New Roman" w:eastAsia="SimSun" w:hAnsi="Times New Roman" w:cs="Times New Roman"/>
          <w:sz w:val="28"/>
          <w:szCs w:val="28"/>
          <w:lang w:eastAsia="ar-SA"/>
        </w:rPr>
        <w:t>,</w:t>
      </w:r>
      <w:r>
        <w:rPr>
          <w:rFonts w:ascii="Times New Roman" w:hAnsi="Times New Roman" w:cs="Times New Roman"/>
          <w:bCs/>
          <w:sz w:val="28"/>
          <w:szCs w:val="28"/>
        </w:rPr>
        <w:t xml:space="preserve"> </w:t>
      </w:r>
      <w:r>
        <w:rPr>
          <w:rFonts w:ascii="Times New Roman" w:eastAsia="SimSun" w:hAnsi="Times New Roman" w:cs="Times New Roman"/>
          <w:sz w:val="28"/>
          <w:szCs w:val="28"/>
          <w:lang w:eastAsia="ar-SA"/>
        </w:rPr>
        <w:t>в динамике за 2014-2019 </w:t>
      </w:r>
      <w:r w:rsidRPr="00674368">
        <w:rPr>
          <w:rFonts w:ascii="Times New Roman" w:eastAsia="SimSun" w:hAnsi="Times New Roman" w:cs="Times New Roman"/>
          <w:sz w:val="28"/>
          <w:szCs w:val="28"/>
          <w:lang w:eastAsia="ar-SA"/>
        </w:rPr>
        <w:t>гг.</w:t>
      </w:r>
      <w:r>
        <w:rPr>
          <w:rFonts w:ascii="Times New Roman" w:hAnsi="Times New Roman" w:cs="Times New Roman"/>
          <w:bCs/>
          <w:sz w:val="28"/>
          <w:szCs w:val="28"/>
        </w:rPr>
        <w:t xml:space="preserve">, на начало </w:t>
      </w:r>
      <w:r w:rsidRPr="00674368">
        <w:rPr>
          <w:rFonts w:ascii="Times New Roman" w:hAnsi="Times New Roman" w:cs="Times New Roman"/>
          <w:bCs/>
          <w:sz w:val="28"/>
          <w:szCs w:val="28"/>
        </w:rPr>
        <w:t>отчетного периода</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10"/>
        <w:gridCol w:w="1202"/>
        <w:gridCol w:w="1050"/>
        <w:gridCol w:w="1202"/>
        <w:gridCol w:w="1054"/>
        <w:gridCol w:w="1141"/>
        <w:gridCol w:w="962"/>
      </w:tblGrid>
      <w:tr w:rsidR="003F4CFF" w:rsidRPr="00385C29" w14:paraId="27A4CF35" w14:textId="77777777" w:rsidTr="003F4CFF">
        <w:tc>
          <w:tcPr>
            <w:tcW w:w="1668" w:type="pct"/>
            <w:tcBorders>
              <w:top w:val="single" w:sz="4" w:space="0" w:color="auto"/>
              <w:left w:val="nil"/>
              <w:bottom w:val="single" w:sz="4" w:space="0" w:color="auto"/>
              <w:right w:val="single" w:sz="4" w:space="0" w:color="auto"/>
            </w:tcBorders>
            <w:shd w:val="clear" w:color="auto" w:fill="auto"/>
            <w:noWrap/>
            <w:hideMark/>
          </w:tcPr>
          <w:p w14:paraId="78D5D7E6" w14:textId="77777777" w:rsidR="003F4CFF" w:rsidRPr="00A53D83" w:rsidRDefault="003F4CFF" w:rsidP="003F4CFF">
            <w:pPr>
              <w:rPr>
                <w:rFonts w:ascii="Times New Roman" w:eastAsia="Times New Roman" w:hAnsi="Times New Roman" w:cs="Times New Roman"/>
              </w:rPr>
            </w:pPr>
          </w:p>
        </w:tc>
        <w:tc>
          <w:tcPr>
            <w:tcW w:w="606" w:type="pct"/>
            <w:tcBorders>
              <w:top w:val="single" w:sz="4" w:space="0" w:color="auto"/>
              <w:left w:val="single" w:sz="4" w:space="0" w:color="auto"/>
              <w:bottom w:val="single" w:sz="4" w:space="0" w:color="auto"/>
              <w:right w:val="single" w:sz="4" w:space="0" w:color="auto"/>
            </w:tcBorders>
            <w:shd w:val="clear" w:color="auto" w:fill="auto"/>
            <w:hideMark/>
          </w:tcPr>
          <w:p w14:paraId="3EC898AD"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2014</w:t>
            </w:r>
          </w:p>
        </w:tc>
        <w:tc>
          <w:tcPr>
            <w:tcW w:w="529" w:type="pct"/>
            <w:tcBorders>
              <w:top w:val="single" w:sz="4" w:space="0" w:color="auto"/>
              <w:left w:val="single" w:sz="4" w:space="0" w:color="auto"/>
              <w:bottom w:val="single" w:sz="4" w:space="0" w:color="auto"/>
              <w:right w:val="single" w:sz="4" w:space="0" w:color="auto"/>
            </w:tcBorders>
            <w:shd w:val="clear" w:color="auto" w:fill="auto"/>
            <w:hideMark/>
          </w:tcPr>
          <w:p w14:paraId="30960415"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2015</w:t>
            </w:r>
          </w:p>
        </w:tc>
        <w:tc>
          <w:tcPr>
            <w:tcW w:w="606" w:type="pct"/>
            <w:tcBorders>
              <w:top w:val="single" w:sz="4" w:space="0" w:color="auto"/>
              <w:left w:val="single" w:sz="4" w:space="0" w:color="auto"/>
              <w:bottom w:val="single" w:sz="4" w:space="0" w:color="auto"/>
              <w:right w:val="single" w:sz="4" w:space="0" w:color="auto"/>
            </w:tcBorders>
            <w:shd w:val="clear" w:color="auto" w:fill="auto"/>
            <w:hideMark/>
          </w:tcPr>
          <w:p w14:paraId="06276E4D"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2016</w:t>
            </w:r>
          </w:p>
        </w:tc>
        <w:tc>
          <w:tcPr>
            <w:tcW w:w="531" w:type="pct"/>
            <w:tcBorders>
              <w:top w:val="single" w:sz="4" w:space="0" w:color="auto"/>
              <w:left w:val="single" w:sz="4" w:space="0" w:color="auto"/>
              <w:bottom w:val="single" w:sz="4" w:space="0" w:color="auto"/>
              <w:right w:val="single" w:sz="4" w:space="0" w:color="auto"/>
            </w:tcBorders>
            <w:shd w:val="clear" w:color="auto" w:fill="auto"/>
            <w:hideMark/>
          </w:tcPr>
          <w:p w14:paraId="31BF3D31"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2017</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109B43A4"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2018</w:t>
            </w:r>
          </w:p>
        </w:tc>
        <w:tc>
          <w:tcPr>
            <w:tcW w:w="485" w:type="pct"/>
            <w:tcBorders>
              <w:top w:val="single" w:sz="4" w:space="0" w:color="auto"/>
              <w:left w:val="single" w:sz="4" w:space="0" w:color="auto"/>
              <w:bottom w:val="single" w:sz="4" w:space="0" w:color="auto"/>
              <w:right w:val="nil"/>
            </w:tcBorders>
            <w:shd w:val="clear" w:color="auto" w:fill="auto"/>
            <w:hideMark/>
          </w:tcPr>
          <w:p w14:paraId="2F7E9EF4"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2019</w:t>
            </w:r>
          </w:p>
        </w:tc>
      </w:tr>
      <w:tr w:rsidR="003F4CFF" w:rsidRPr="00385C29" w14:paraId="2E316738" w14:textId="77777777" w:rsidTr="003F4CFF">
        <w:tc>
          <w:tcPr>
            <w:tcW w:w="1668" w:type="pct"/>
            <w:tcBorders>
              <w:top w:val="single" w:sz="4" w:space="0" w:color="auto"/>
              <w:left w:val="nil"/>
              <w:bottom w:val="single" w:sz="4" w:space="0" w:color="auto"/>
              <w:right w:val="single" w:sz="4" w:space="0" w:color="auto"/>
            </w:tcBorders>
            <w:shd w:val="clear" w:color="auto" w:fill="auto"/>
            <w:hideMark/>
          </w:tcPr>
          <w:p w14:paraId="78ADF28D" w14:textId="77777777" w:rsidR="003F4CFF" w:rsidRPr="00A53D83" w:rsidRDefault="003F4CFF" w:rsidP="00BD1EFA">
            <w:pPr>
              <w:jc w:val="left"/>
              <w:rPr>
                <w:rFonts w:ascii="Times New Roman" w:eastAsia="Times New Roman" w:hAnsi="Times New Roman" w:cs="Times New Roman"/>
              </w:rPr>
            </w:pPr>
            <w:r w:rsidRPr="00A53D83">
              <w:rPr>
                <w:rFonts w:ascii="Times New Roman" w:eastAsia="Times New Roman" w:hAnsi="Times New Roman" w:cs="Times New Roman"/>
              </w:rPr>
              <w:t>Инвестиции в основной капитал, млн. рублей за отчетный период</w:t>
            </w:r>
          </w:p>
        </w:tc>
        <w:tc>
          <w:tcPr>
            <w:tcW w:w="606" w:type="pct"/>
            <w:tcBorders>
              <w:top w:val="single" w:sz="4" w:space="0" w:color="auto"/>
              <w:left w:val="single" w:sz="4" w:space="0" w:color="auto"/>
              <w:bottom w:val="single" w:sz="4" w:space="0" w:color="auto"/>
              <w:right w:val="single" w:sz="4" w:space="0" w:color="auto"/>
            </w:tcBorders>
            <w:shd w:val="clear" w:color="auto" w:fill="auto"/>
            <w:hideMark/>
          </w:tcPr>
          <w:p w14:paraId="443F044F"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183997,9</w:t>
            </w:r>
          </w:p>
        </w:tc>
        <w:tc>
          <w:tcPr>
            <w:tcW w:w="529" w:type="pct"/>
            <w:tcBorders>
              <w:top w:val="single" w:sz="4" w:space="0" w:color="auto"/>
              <w:left w:val="single" w:sz="4" w:space="0" w:color="auto"/>
              <w:bottom w:val="single" w:sz="4" w:space="0" w:color="auto"/>
              <w:right w:val="single" w:sz="4" w:space="0" w:color="auto"/>
            </w:tcBorders>
            <w:shd w:val="clear" w:color="auto" w:fill="auto"/>
            <w:hideMark/>
          </w:tcPr>
          <w:p w14:paraId="4095128E"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193170,7</w:t>
            </w:r>
          </w:p>
        </w:tc>
        <w:tc>
          <w:tcPr>
            <w:tcW w:w="606" w:type="pct"/>
            <w:tcBorders>
              <w:top w:val="single" w:sz="4" w:space="0" w:color="auto"/>
              <w:left w:val="single" w:sz="4" w:space="0" w:color="auto"/>
              <w:bottom w:val="single" w:sz="4" w:space="0" w:color="auto"/>
              <w:right w:val="single" w:sz="4" w:space="0" w:color="auto"/>
            </w:tcBorders>
            <w:shd w:val="clear" w:color="auto" w:fill="auto"/>
            <w:noWrap/>
            <w:hideMark/>
          </w:tcPr>
          <w:p w14:paraId="31F5B2D8"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164439,6</w:t>
            </w:r>
          </w:p>
        </w:tc>
        <w:tc>
          <w:tcPr>
            <w:tcW w:w="531" w:type="pct"/>
            <w:tcBorders>
              <w:top w:val="single" w:sz="4" w:space="0" w:color="auto"/>
              <w:left w:val="single" w:sz="4" w:space="0" w:color="auto"/>
              <w:bottom w:val="single" w:sz="4" w:space="0" w:color="auto"/>
              <w:right w:val="single" w:sz="4" w:space="0" w:color="auto"/>
            </w:tcBorders>
            <w:shd w:val="clear" w:color="auto" w:fill="auto"/>
            <w:noWrap/>
            <w:hideMark/>
          </w:tcPr>
          <w:p w14:paraId="39DAD978"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163058,5</w:t>
            </w:r>
          </w:p>
        </w:tc>
        <w:tc>
          <w:tcPr>
            <w:tcW w:w="575" w:type="pct"/>
            <w:tcBorders>
              <w:top w:val="single" w:sz="4" w:space="0" w:color="auto"/>
              <w:left w:val="single" w:sz="4" w:space="0" w:color="auto"/>
              <w:bottom w:val="single" w:sz="4" w:space="0" w:color="auto"/>
              <w:right w:val="single" w:sz="4" w:space="0" w:color="auto"/>
            </w:tcBorders>
            <w:shd w:val="clear" w:color="auto" w:fill="auto"/>
            <w:noWrap/>
            <w:hideMark/>
          </w:tcPr>
          <w:p w14:paraId="1BD591A2"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175608,7</w:t>
            </w:r>
          </w:p>
        </w:tc>
        <w:tc>
          <w:tcPr>
            <w:tcW w:w="485" w:type="pct"/>
            <w:tcBorders>
              <w:top w:val="single" w:sz="4" w:space="0" w:color="auto"/>
              <w:left w:val="single" w:sz="4" w:space="0" w:color="auto"/>
              <w:bottom w:val="single" w:sz="4" w:space="0" w:color="auto"/>
              <w:right w:val="nil"/>
            </w:tcBorders>
            <w:shd w:val="clear" w:color="auto" w:fill="auto"/>
            <w:noWrap/>
            <w:hideMark/>
          </w:tcPr>
          <w:p w14:paraId="6B40C0CD"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195950,5</w:t>
            </w:r>
          </w:p>
        </w:tc>
      </w:tr>
      <w:tr w:rsidR="003F4CFF" w:rsidRPr="00385C29" w14:paraId="09B0D441" w14:textId="77777777" w:rsidTr="003F4CFF">
        <w:tc>
          <w:tcPr>
            <w:tcW w:w="1668" w:type="pct"/>
            <w:tcBorders>
              <w:top w:val="single" w:sz="4" w:space="0" w:color="auto"/>
              <w:left w:val="nil"/>
              <w:bottom w:val="single" w:sz="4" w:space="0" w:color="auto"/>
              <w:right w:val="single" w:sz="4" w:space="0" w:color="auto"/>
            </w:tcBorders>
            <w:shd w:val="clear" w:color="auto" w:fill="auto"/>
            <w:hideMark/>
          </w:tcPr>
          <w:p w14:paraId="385194CE" w14:textId="77777777" w:rsidR="003F4CFF" w:rsidRPr="00A53D83" w:rsidRDefault="003F4CFF" w:rsidP="00BD1EFA">
            <w:pPr>
              <w:jc w:val="left"/>
              <w:rPr>
                <w:rFonts w:ascii="Times New Roman" w:eastAsia="Times New Roman" w:hAnsi="Times New Roman" w:cs="Times New Roman"/>
              </w:rPr>
            </w:pPr>
            <w:r w:rsidRPr="00A53D83">
              <w:rPr>
                <w:rFonts w:ascii="Times New Roman" w:eastAsia="Times New Roman" w:hAnsi="Times New Roman" w:cs="Times New Roman"/>
              </w:rPr>
              <w:t>- в т.ч. по малым предприятиям (без микропредприятий), млн. рублей за отчетный период</w:t>
            </w:r>
          </w:p>
        </w:tc>
        <w:tc>
          <w:tcPr>
            <w:tcW w:w="606" w:type="pct"/>
            <w:tcBorders>
              <w:top w:val="single" w:sz="4" w:space="0" w:color="auto"/>
              <w:left w:val="single" w:sz="4" w:space="0" w:color="auto"/>
              <w:bottom w:val="single" w:sz="4" w:space="0" w:color="auto"/>
              <w:right w:val="single" w:sz="4" w:space="0" w:color="auto"/>
            </w:tcBorders>
            <w:shd w:val="clear" w:color="auto" w:fill="auto"/>
            <w:hideMark/>
          </w:tcPr>
          <w:p w14:paraId="2CC664ED"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14900</w:t>
            </w:r>
          </w:p>
        </w:tc>
        <w:tc>
          <w:tcPr>
            <w:tcW w:w="529" w:type="pct"/>
            <w:tcBorders>
              <w:top w:val="single" w:sz="4" w:space="0" w:color="auto"/>
              <w:left w:val="single" w:sz="4" w:space="0" w:color="auto"/>
              <w:bottom w:val="single" w:sz="4" w:space="0" w:color="auto"/>
              <w:right w:val="single" w:sz="4" w:space="0" w:color="auto"/>
            </w:tcBorders>
            <w:shd w:val="clear" w:color="auto" w:fill="auto"/>
            <w:hideMark/>
          </w:tcPr>
          <w:p w14:paraId="521A9384"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15129</w:t>
            </w:r>
          </w:p>
        </w:tc>
        <w:tc>
          <w:tcPr>
            <w:tcW w:w="606" w:type="pct"/>
            <w:tcBorders>
              <w:top w:val="single" w:sz="4" w:space="0" w:color="auto"/>
              <w:left w:val="single" w:sz="4" w:space="0" w:color="auto"/>
              <w:bottom w:val="single" w:sz="4" w:space="0" w:color="auto"/>
              <w:right w:val="single" w:sz="4" w:space="0" w:color="auto"/>
            </w:tcBorders>
            <w:shd w:val="clear" w:color="auto" w:fill="auto"/>
            <w:hideMark/>
          </w:tcPr>
          <w:p w14:paraId="609A0A5D"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14909,4</w:t>
            </w:r>
          </w:p>
        </w:tc>
        <w:tc>
          <w:tcPr>
            <w:tcW w:w="531" w:type="pct"/>
            <w:tcBorders>
              <w:top w:val="single" w:sz="4" w:space="0" w:color="auto"/>
              <w:left w:val="single" w:sz="4" w:space="0" w:color="auto"/>
              <w:bottom w:val="single" w:sz="4" w:space="0" w:color="auto"/>
              <w:right w:val="single" w:sz="4" w:space="0" w:color="auto"/>
            </w:tcBorders>
            <w:shd w:val="clear" w:color="auto" w:fill="auto"/>
            <w:hideMark/>
          </w:tcPr>
          <w:p w14:paraId="108C82B5"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13877,3</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797F02F6"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12866,8</w:t>
            </w:r>
          </w:p>
        </w:tc>
        <w:tc>
          <w:tcPr>
            <w:tcW w:w="485" w:type="pct"/>
            <w:tcBorders>
              <w:top w:val="single" w:sz="4" w:space="0" w:color="auto"/>
              <w:left w:val="single" w:sz="4" w:space="0" w:color="auto"/>
              <w:bottom w:val="single" w:sz="4" w:space="0" w:color="auto"/>
              <w:right w:val="nil"/>
            </w:tcBorders>
            <w:shd w:val="clear" w:color="auto" w:fill="auto"/>
            <w:hideMark/>
          </w:tcPr>
          <w:p w14:paraId="18A193D3"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9712,6</w:t>
            </w:r>
          </w:p>
        </w:tc>
      </w:tr>
      <w:tr w:rsidR="003F4CFF" w:rsidRPr="00385C29" w14:paraId="7138FCFD" w14:textId="77777777" w:rsidTr="003F4CFF">
        <w:tc>
          <w:tcPr>
            <w:tcW w:w="1668" w:type="pct"/>
            <w:tcBorders>
              <w:top w:val="single" w:sz="4" w:space="0" w:color="auto"/>
              <w:left w:val="nil"/>
              <w:bottom w:val="single" w:sz="4" w:space="0" w:color="auto"/>
              <w:right w:val="single" w:sz="4" w:space="0" w:color="auto"/>
            </w:tcBorders>
            <w:shd w:val="clear" w:color="auto" w:fill="auto"/>
            <w:hideMark/>
          </w:tcPr>
          <w:p w14:paraId="5FCB89D8" w14:textId="77777777" w:rsidR="003F4CFF" w:rsidRPr="00A53D83" w:rsidRDefault="003F4CFF" w:rsidP="00BD1EFA">
            <w:pPr>
              <w:jc w:val="left"/>
              <w:rPr>
                <w:rFonts w:ascii="Times New Roman" w:eastAsia="Times New Roman" w:hAnsi="Times New Roman" w:cs="Times New Roman"/>
              </w:rPr>
            </w:pPr>
            <w:r w:rsidRPr="00A53D83">
              <w:rPr>
                <w:rFonts w:ascii="Times New Roman" w:eastAsia="Times New Roman" w:hAnsi="Times New Roman" w:cs="Times New Roman"/>
              </w:rPr>
              <w:t>- Удельный вес малых предприятий по объему инвестиций в основной капитал (% к итогу по области)</w:t>
            </w:r>
          </w:p>
        </w:tc>
        <w:tc>
          <w:tcPr>
            <w:tcW w:w="606" w:type="pct"/>
            <w:tcBorders>
              <w:top w:val="single" w:sz="4" w:space="0" w:color="auto"/>
              <w:left w:val="single" w:sz="4" w:space="0" w:color="auto"/>
              <w:bottom w:val="single" w:sz="4" w:space="0" w:color="auto"/>
              <w:right w:val="single" w:sz="4" w:space="0" w:color="auto"/>
            </w:tcBorders>
            <w:shd w:val="clear" w:color="auto" w:fill="auto"/>
            <w:hideMark/>
          </w:tcPr>
          <w:p w14:paraId="1E740135"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8,1</w:t>
            </w:r>
          </w:p>
        </w:tc>
        <w:tc>
          <w:tcPr>
            <w:tcW w:w="529" w:type="pct"/>
            <w:tcBorders>
              <w:top w:val="single" w:sz="4" w:space="0" w:color="auto"/>
              <w:left w:val="single" w:sz="4" w:space="0" w:color="auto"/>
              <w:bottom w:val="single" w:sz="4" w:space="0" w:color="auto"/>
              <w:right w:val="single" w:sz="4" w:space="0" w:color="auto"/>
            </w:tcBorders>
            <w:shd w:val="clear" w:color="auto" w:fill="auto"/>
            <w:hideMark/>
          </w:tcPr>
          <w:p w14:paraId="635F0AA5"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7,8</w:t>
            </w:r>
          </w:p>
        </w:tc>
        <w:tc>
          <w:tcPr>
            <w:tcW w:w="606" w:type="pct"/>
            <w:tcBorders>
              <w:top w:val="single" w:sz="4" w:space="0" w:color="auto"/>
              <w:left w:val="single" w:sz="4" w:space="0" w:color="auto"/>
              <w:bottom w:val="single" w:sz="4" w:space="0" w:color="auto"/>
              <w:right w:val="single" w:sz="4" w:space="0" w:color="auto"/>
            </w:tcBorders>
            <w:shd w:val="clear" w:color="auto" w:fill="auto"/>
            <w:hideMark/>
          </w:tcPr>
          <w:p w14:paraId="50284537"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9,1</w:t>
            </w:r>
          </w:p>
        </w:tc>
        <w:tc>
          <w:tcPr>
            <w:tcW w:w="531" w:type="pct"/>
            <w:tcBorders>
              <w:top w:val="single" w:sz="4" w:space="0" w:color="auto"/>
              <w:left w:val="single" w:sz="4" w:space="0" w:color="auto"/>
              <w:bottom w:val="single" w:sz="4" w:space="0" w:color="auto"/>
              <w:right w:val="single" w:sz="4" w:space="0" w:color="auto"/>
            </w:tcBorders>
            <w:shd w:val="clear" w:color="auto" w:fill="auto"/>
            <w:hideMark/>
          </w:tcPr>
          <w:p w14:paraId="33F430B0"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8,5</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39FCA462"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7,3</w:t>
            </w:r>
          </w:p>
        </w:tc>
        <w:tc>
          <w:tcPr>
            <w:tcW w:w="485" w:type="pct"/>
            <w:tcBorders>
              <w:top w:val="single" w:sz="4" w:space="0" w:color="auto"/>
              <w:left w:val="single" w:sz="4" w:space="0" w:color="auto"/>
              <w:bottom w:val="single" w:sz="4" w:space="0" w:color="auto"/>
              <w:right w:val="nil"/>
            </w:tcBorders>
            <w:shd w:val="clear" w:color="auto" w:fill="auto"/>
            <w:hideMark/>
          </w:tcPr>
          <w:p w14:paraId="2C3B1247"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5,0</w:t>
            </w:r>
          </w:p>
        </w:tc>
      </w:tr>
      <w:tr w:rsidR="003F4CFF" w:rsidRPr="00385C29" w14:paraId="0323CA05" w14:textId="77777777" w:rsidTr="003F4CFF">
        <w:tc>
          <w:tcPr>
            <w:tcW w:w="1668" w:type="pct"/>
            <w:tcBorders>
              <w:top w:val="single" w:sz="4" w:space="0" w:color="auto"/>
              <w:left w:val="nil"/>
              <w:bottom w:val="single" w:sz="4" w:space="0" w:color="auto"/>
              <w:right w:val="single" w:sz="4" w:space="0" w:color="auto"/>
            </w:tcBorders>
            <w:noWrap/>
            <w:hideMark/>
          </w:tcPr>
          <w:p w14:paraId="324E75E4" w14:textId="77777777" w:rsidR="003F4CFF" w:rsidRPr="00385C29" w:rsidRDefault="003F4CFF" w:rsidP="00BD1EFA">
            <w:pPr>
              <w:jc w:val="left"/>
              <w:rPr>
                <w:rFonts w:ascii="Times New Roman" w:eastAsia="Times New Roman" w:hAnsi="Times New Roman" w:cs="Times New Roman"/>
              </w:rPr>
            </w:pPr>
            <w:r w:rsidRPr="00385C29">
              <w:rPr>
                <w:rFonts w:ascii="Times New Roman" w:eastAsia="Times New Roman" w:hAnsi="Times New Roman" w:cs="Times New Roman"/>
              </w:rPr>
              <w:t>Динамика инвестиций в основной капитал, % к предыдущему периоду</w:t>
            </w:r>
          </w:p>
        </w:tc>
        <w:tc>
          <w:tcPr>
            <w:tcW w:w="606" w:type="pct"/>
            <w:tcBorders>
              <w:top w:val="single" w:sz="4" w:space="0" w:color="auto"/>
              <w:left w:val="single" w:sz="4" w:space="0" w:color="auto"/>
              <w:bottom w:val="single" w:sz="4" w:space="0" w:color="auto"/>
              <w:right w:val="single" w:sz="4" w:space="0" w:color="auto"/>
            </w:tcBorders>
            <w:noWrap/>
            <w:hideMark/>
          </w:tcPr>
          <w:p w14:paraId="070D6899" w14:textId="77777777" w:rsidR="003F4CFF" w:rsidRPr="00385C29" w:rsidRDefault="003F4CFF" w:rsidP="003F4CFF">
            <w:pPr>
              <w:rPr>
                <w:rFonts w:ascii="Times New Roman" w:eastAsia="Times New Roman" w:hAnsi="Times New Roman" w:cs="Times New Roman"/>
              </w:rPr>
            </w:pPr>
            <w:r w:rsidRPr="00385C29">
              <w:rPr>
                <w:rFonts w:ascii="Times New Roman" w:eastAsia="Times New Roman" w:hAnsi="Times New Roman" w:cs="Times New Roman"/>
              </w:rPr>
              <w:t>-</w:t>
            </w:r>
          </w:p>
        </w:tc>
        <w:tc>
          <w:tcPr>
            <w:tcW w:w="529" w:type="pct"/>
            <w:tcBorders>
              <w:top w:val="single" w:sz="4" w:space="0" w:color="auto"/>
              <w:left w:val="single" w:sz="4" w:space="0" w:color="auto"/>
              <w:bottom w:val="single" w:sz="4" w:space="0" w:color="auto"/>
              <w:right w:val="single" w:sz="4" w:space="0" w:color="auto"/>
            </w:tcBorders>
            <w:noWrap/>
            <w:hideMark/>
          </w:tcPr>
          <w:p w14:paraId="287274F9" w14:textId="77777777" w:rsidR="003F4CFF" w:rsidRPr="00385C29" w:rsidRDefault="003F4CFF" w:rsidP="003F4CFF">
            <w:pPr>
              <w:spacing w:after="160" w:line="259" w:lineRule="auto"/>
              <w:rPr>
                <w:rFonts w:ascii="Times New Roman" w:hAnsi="Times New Roman" w:cs="Times New Roman"/>
                <w:lang w:eastAsia="en-US"/>
              </w:rPr>
            </w:pPr>
            <w:r w:rsidRPr="00385C29">
              <w:rPr>
                <w:rFonts w:ascii="Times New Roman" w:hAnsi="Times New Roman" w:cs="Times New Roman"/>
              </w:rPr>
              <w:t>101,5</w:t>
            </w:r>
          </w:p>
        </w:tc>
        <w:tc>
          <w:tcPr>
            <w:tcW w:w="606" w:type="pct"/>
            <w:tcBorders>
              <w:top w:val="single" w:sz="4" w:space="0" w:color="auto"/>
              <w:left w:val="single" w:sz="4" w:space="0" w:color="auto"/>
              <w:bottom w:val="single" w:sz="4" w:space="0" w:color="auto"/>
              <w:right w:val="single" w:sz="4" w:space="0" w:color="auto"/>
            </w:tcBorders>
            <w:noWrap/>
            <w:hideMark/>
          </w:tcPr>
          <w:p w14:paraId="49FE418F" w14:textId="77777777" w:rsidR="003F4CFF" w:rsidRPr="00385C29" w:rsidRDefault="003F4CFF" w:rsidP="003F4CFF">
            <w:pPr>
              <w:spacing w:after="160" w:line="259" w:lineRule="auto"/>
              <w:rPr>
                <w:rFonts w:ascii="Times New Roman" w:hAnsi="Times New Roman" w:cs="Times New Roman"/>
              </w:rPr>
            </w:pPr>
            <w:r w:rsidRPr="00385C29">
              <w:rPr>
                <w:rFonts w:ascii="Times New Roman" w:hAnsi="Times New Roman" w:cs="Times New Roman"/>
              </w:rPr>
              <w:t>98,5</w:t>
            </w:r>
          </w:p>
        </w:tc>
        <w:tc>
          <w:tcPr>
            <w:tcW w:w="531" w:type="pct"/>
            <w:tcBorders>
              <w:top w:val="single" w:sz="4" w:space="0" w:color="auto"/>
              <w:left w:val="single" w:sz="4" w:space="0" w:color="auto"/>
              <w:bottom w:val="single" w:sz="4" w:space="0" w:color="auto"/>
              <w:right w:val="single" w:sz="4" w:space="0" w:color="auto"/>
            </w:tcBorders>
            <w:noWrap/>
            <w:hideMark/>
          </w:tcPr>
          <w:p w14:paraId="3A25E144" w14:textId="77777777" w:rsidR="003F4CFF" w:rsidRPr="00385C29" w:rsidRDefault="003F4CFF" w:rsidP="003F4CFF">
            <w:pPr>
              <w:spacing w:after="160" w:line="259" w:lineRule="auto"/>
              <w:rPr>
                <w:rFonts w:ascii="Times New Roman" w:hAnsi="Times New Roman" w:cs="Times New Roman"/>
              </w:rPr>
            </w:pPr>
            <w:r w:rsidRPr="00385C29">
              <w:rPr>
                <w:rFonts w:ascii="Times New Roman" w:hAnsi="Times New Roman" w:cs="Times New Roman"/>
              </w:rPr>
              <w:t>93,1</w:t>
            </w:r>
          </w:p>
        </w:tc>
        <w:tc>
          <w:tcPr>
            <w:tcW w:w="575" w:type="pct"/>
            <w:tcBorders>
              <w:top w:val="single" w:sz="4" w:space="0" w:color="auto"/>
              <w:left w:val="single" w:sz="4" w:space="0" w:color="auto"/>
              <w:bottom w:val="single" w:sz="4" w:space="0" w:color="auto"/>
              <w:right w:val="single" w:sz="4" w:space="0" w:color="auto"/>
            </w:tcBorders>
            <w:noWrap/>
            <w:hideMark/>
          </w:tcPr>
          <w:p w14:paraId="5A3FD122" w14:textId="77777777" w:rsidR="003F4CFF" w:rsidRPr="00385C29" w:rsidRDefault="003F4CFF" w:rsidP="003F4CFF">
            <w:pPr>
              <w:spacing w:after="160" w:line="259" w:lineRule="auto"/>
              <w:rPr>
                <w:rFonts w:ascii="Times New Roman" w:hAnsi="Times New Roman" w:cs="Times New Roman"/>
              </w:rPr>
            </w:pPr>
            <w:r w:rsidRPr="00385C29">
              <w:rPr>
                <w:rFonts w:ascii="Times New Roman" w:hAnsi="Times New Roman" w:cs="Times New Roman"/>
              </w:rPr>
              <w:t>92,7</w:t>
            </w:r>
          </w:p>
        </w:tc>
        <w:tc>
          <w:tcPr>
            <w:tcW w:w="485" w:type="pct"/>
            <w:tcBorders>
              <w:top w:val="single" w:sz="4" w:space="0" w:color="auto"/>
              <w:left w:val="single" w:sz="4" w:space="0" w:color="auto"/>
              <w:bottom w:val="single" w:sz="4" w:space="0" w:color="auto"/>
              <w:right w:val="nil"/>
            </w:tcBorders>
            <w:noWrap/>
            <w:hideMark/>
          </w:tcPr>
          <w:p w14:paraId="5D46E09D" w14:textId="77777777" w:rsidR="003F4CFF" w:rsidRPr="00385C29" w:rsidRDefault="003F4CFF" w:rsidP="003F4CFF">
            <w:pPr>
              <w:spacing w:after="160" w:line="259" w:lineRule="auto"/>
              <w:rPr>
                <w:rFonts w:ascii="Times New Roman" w:hAnsi="Times New Roman" w:cs="Times New Roman"/>
              </w:rPr>
            </w:pPr>
            <w:r w:rsidRPr="00385C29">
              <w:rPr>
                <w:rFonts w:ascii="Times New Roman" w:hAnsi="Times New Roman" w:cs="Times New Roman"/>
              </w:rPr>
              <w:t>75,5</w:t>
            </w:r>
          </w:p>
        </w:tc>
      </w:tr>
    </w:tbl>
    <w:p w14:paraId="0F09D346" w14:textId="77777777" w:rsidR="003F4CFF" w:rsidRPr="00385C29" w:rsidRDefault="003F4CFF" w:rsidP="003F4CFF">
      <w:pPr>
        <w:ind w:firstLine="709"/>
        <w:jc w:val="both"/>
        <w:rPr>
          <w:rFonts w:ascii="Times New Roman" w:hAnsi="Times New Roman" w:cs="Times New Roman"/>
          <w:bCs/>
          <w:sz w:val="24"/>
          <w:szCs w:val="24"/>
          <w:lang w:eastAsia="en-US"/>
        </w:rPr>
      </w:pPr>
    </w:p>
    <w:p w14:paraId="06FAD36A" w14:textId="27B7D1A9" w:rsidR="003F4CFF" w:rsidRPr="00385C29" w:rsidRDefault="003F4CFF" w:rsidP="003F4CFF">
      <w:pPr>
        <w:ind w:firstLine="567"/>
        <w:jc w:val="both"/>
        <w:rPr>
          <w:rFonts w:ascii="Times New Roman" w:hAnsi="Times New Roman" w:cs="Times New Roman"/>
          <w:bCs/>
          <w:sz w:val="28"/>
          <w:szCs w:val="28"/>
        </w:rPr>
      </w:pPr>
      <w:r w:rsidRPr="00385C29">
        <w:rPr>
          <w:rFonts w:ascii="Times New Roman" w:hAnsi="Times New Roman" w:cs="Times New Roman"/>
          <w:bCs/>
          <w:sz w:val="28"/>
          <w:szCs w:val="28"/>
        </w:rPr>
        <w:t>Среднесписочная численность занятых на малых предприятиях (без учета микропредпр</w:t>
      </w:r>
      <w:r>
        <w:rPr>
          <w:rFonts w:ascii="Times New Roman" w:hAnsi="Times New Roman" w:cs="Times New Roman"/>
          <w:bCs/>
          <w:sz w:val="28"/>
          <w:szCs w:val="28"/>
        </w:rPr>
        <w:t>иятий) составила на начало 2019</w:t>
      </w:r>
      <w:r w:rsidR="00755DD4">
        <w:rPr>
          <w:rFonts w:ascii="Times New Roman" w:hAnsi="Times New Roman" w:cs="Times New Roman"/>
          <w:bCs/>
          <w:sz w:val="28"/>
          <w:szCs w:val="28"/>
        </w:rPr>
        <w:t xml:space="preserve"> </w:t>
      </w:r>
      <w:r w:rsidRPr="00385C29">
        <w:rPr>
          <w:rFonts w:ascii="Times New Roman" w:hAnsi="Times New Roman" w:cs="Times New Roman"/>
          <w:bCs/>
          <w:sz w:val="28"/>
          <w:szCs w:val="28"/>
        </w:rPr>
        <w:t>г</w:t>
      </w:r>
      <w:r w:rsidR="00755DD4">
        <w:rPr>
          <w:rFonts w:ascii="Times New Roman" w:hAnsi="Times New Roman" w:cs="Times New Roman"/>
          <w:bCs/>
          <w:sz w:val="28"/>
          <w:szCs w:val="28"/>
        </w:rPr>
        <w:t>ода</w:t>
      </w:r>
      <w:r w:rsidRPr="00385C29">
        <w:rPr>
          <w:rFonts w:ascii="Times New Roman" w:hAnsi="Times New Roman" w:cs="Times New Roman"/>
          <w:bCs/>
          <w:sz w:val="28"/>
          <w:szCs w:val="28"/>
        </w:rPr>
        <w:t xml:space="preserve"> 150,2 тыс</w:t>
      </w:r>
      <w:r>
        <w:rPr>
          <w:rFonts w:ascii="Times New Roman" w:hAnsi="Times New Roman" w:cs="Times New Roman"/>
          <w:bCs/>
          <w:sz w:val="28"/>
          <w:szCs w:val="28"/>
        </w:rPr>
        <w:t>. человек (-11,7% к началу 2018 г</w:t>
      </w:r>
      <w:r w:rsidR="00755DD4">
        <w:rPr>
          <w:rFonts w:ascii="Times New Roman" w:hAnsi="Times New Roman" w:cs="Times New Roman"/>
          <w:bCs/>
          <w:sz w:val="28"/>
          <w:szCs w:val="28"/>
        </w:rPr>
        <w:t>ода</w:t>
      </w:r>
      <w:r w:rsidRPr="00385C29">
        <w:rPr>
          <w:rFonts w:ascii="Times New Roman" w:hAnsi="Times New Roman" w:cs="Times New Roman"/>
          <w:bCs/>
          <w:sz w:val="28"/>
          <w:szCs w:val="28"/>
        </w:rPr>
        <w:t>). Динамика среднесписочной численности занятых на малых предприятиях с 2014</w:t>
      </w:r>
      <w:r w:rsidR="00755DD4">
        <w:rPr>
          <w:rFonts w:ascii="Times New Roman" w:hAnsi="Times New Roman" w:cs="Times New Roman"/>
          <w:bCs/>
          <w:sz w:val="28"/>
          <w:szCs w:val="28"/>
        </w:rPr>
        <w:t xml:space="preserve"> года</w:t>
      </w:r>
      <w:r w:rsidRPr="00385C29">
        <w:rPr>
          <w:rFonts w:ascii="Times New Roman" w:hAnsi="Times New Roman" w:cs="Times New Roman"/>
          <w:bCs/>
          <w:sz w:val="28"/>
          <w:szCs w:val="28"/>
        </w:rPr>
        <w:t xml:space="preserve"> по 2019 г</w:t>
      </w:r>
      <w:r w:rsidR="00755DD4">
        <w:rPr>
          <w:rFonts w:ascii="Times New Roman" w:hAnsi="Times New Roman" w:cs="Times New Roman"/>
          <w:bCs/>
          <w:sz w:val="28"/>
          <w:szCs w:val="28"/>
        </w:rPr>
        <w:t>од</w:t>
      </w:r>
      <w:r w:rsidRPr="00385C29">
        <w:rPr>
          <w:rFonts w:ascii="Times New Roman" w:hAnsi="Times New Roman" w:cs="Times New Roman"/>
          <w:bCs/>
          <w:sz w:val="28"/>
          <w:szCs w:val="28"/>
        </w:rPr>
        <w:t xml:space="preserve"> составила 88,3%.</w:t>
      </w:r>
    </w:p>
    <w:p w14:paraId="5F8D4FB7" w14:textId="77777777" w:rsidR="003F4CFF" w:rsidRPr="00385C29" w:rsidRDefault="003F4CFF" w:rsidP="003F4CFF">
      <w:pPr>
        <w:ind w:firstLine="709"/>
        <w:jc w:val="both"/>
        <w:rPr>
          <w:rFonts w:ascii="Times New Roman" w:hAnsi="Times New Roman" w:cs="Times New Roman"/>
          <w:bCs/>
          <w:sz w:val="24"/>
          <w:szCs w:val="24"/>
        </w:rPr>
      </w:pPr>
    </w:p>
    <w:p w14:paraId="4B3800E3" w14:textId="77777777" w:rsidR="003F4CFF" w:rsidRPr="00BF7B1F" w:rsidRDefault="003F4CFF" w:rsidP="003F4CFF">
      <w:pPr>
        <w:jc w:val="both"/>
        <w:rPr>
          <w:rFonts w:ascii="Times New Roman" w:hAnsi="Times New Roman" w:cs="Times New Roman"/>
          <w:bCs/>
          <w:sz w:val="28"/>
          <w:szCs w:val="28"/>
        </w:rPr>
      </w:pPr>
      <w:r>
        <w:rPr>
          <w:rFonts w:ascii="Times New Roman" w:hAnsi="Times New Roman" w:cs="Times New Roman"/>
          <w:bCs/>
          <w:sz w:val="28"/>
          <w:szCs w:val="28"/>
        </w:rPr>
        <w:t>Таблица 9 – </w:t>
      </w:r>
      <w:r w:rsidRPr="00674368">
        <w:rPr>
          <w:rFonts w:ascii="Times New Roman" w:hAnsi="Times New Roman" w:cs="Times New Roman"/>
          <w:bCs/>
          <w:sz w:val="28"/>
          <w:szCs w:val="28"/>
        </w:rPr>
        <w:t>Среднесписочная численность занятых на малых предприятиях</w:t>
      </w:r>
      <w:r>
        <w:rPr>
          <w:rFonts w:ascii="Times New Roman" w:hAnsi="Times New Roman" w:cs="Times New Roman"/>
          <w:bCs/>
          <w:sz w:val="28"/>
          <w:szCs w:val="28"/>
        </w:rPr>
        <w:t xml:space="preserve"> </w:t>
      </w:r>
      <w:r w:rsidRPr="00674368">
        <w:rPr>
          <w:rFonts w:ascii="Times New Roman" w:hAnsi="Times New Roman" w:cs="Times New Roman"/>
          <w:bCs/>
          <w:sz w:val="28"/>
          <w:szCs w:val="28"/>
        </w:rPr>
        <w:t>(без учета микропредприятий)</w:t>
      </w:r>
      <w:r w:rsidRPr="00674368">
        <w:rPr>
          <w:rFonts w:ascii="Times New Roman" w:eastAsia="SimSun" w:hAnsi="Times New Roman" w:cs="Times New Roman"/>
          <w:sz w:val="28"/>
          <w:szCs w:val="28"/>
          <w:lang w:eastAsia="ar-SA"/>
        </w:rPr>
        <w:t xml:space="preserve"> в динамике за 2014-2019 гг.</w:t>
      </w:r>
      <w:r w:rsidRPr="00674368">
        <w:rPr>
          <w:rFonts w:ascii="Times New Roman" w:hAnsi="Times New Roman" w:cs="Times New Roman"/>
          <w:bCs/>
          <w:sz w:val="28"/>
          <w:szCs w:val="28"/>
        </w:rPr>
        <w:t>, на начало отчетного периода</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49"/>
        <w:gridCol w:w="827"/>
        <w:gridCol w:w="1240"/>
        <w:gridCol w:w="966"/>
        <w:gridCol w:w="825"/>
        <w:gridCol w:w="689"/>
        <w:gridCol w:w="825"/>
      </w:tblGrid>
      <w:tr w:rsidR="003F4CFF" w:rsidRPr="00385C29" w14:paraId="2ECA2A65" w14:textId="77777777" w:rsidTr="003F4CFF">
        <w:trPr>
          <w:trHeight w:val="454"/>
        </w:trPr>
        <w:tc>
          <w:tcPr>
            <w:tcW w:w="2292" w:type="pct"/>
            <w:tcBorders>
              <w:top w:val="single" w:sz="4" w:space="0" w:color="auto"/>
              <w:left w:val="nil"/>
              <w:bottom w:val="single" w:sz="4" w:space="0" w:color="auto"/>
              <w:right w:val="single" w:sz="4" w:space="0" w:color="auto"/>
            </w:tcBorders>
            <w:shd w:val="clear" w:color="auto" w:fill="auto"/>
            <w:hideMark/>
          </w:tcPr>
          <w:p w14:paraId="3E86E366" w14:textId="77777777" w:rsidR="003F4CFF" w:rsidRPr="00A53D83" w:rsidRDefault="003F4CFF" w:rsidP="003F4CFF">
            <w:pPr>
              <w:rPr>
                <w:rFonts w:ascii="Times New Roman" w:eastAsia="Times New Roman" w:hAnsi="Times New Roman" w:cs="Times New Roman"/>
              </w:rPr>
            </w:pP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57CE9F36"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2014</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2CBECEAF"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2015</w:t>
            </w:r>
          </w:p>
        </w:tc>
        <w:tc>
          <w:tcPr>
            <w:tcW w:w="487" w:type="pct"/>
            <w:tcBorders>
              <w:top w:val="single" w:sz="4" w:space="0" w:color="auto"/>
              <w:left w:val="single" w:sz="4" w:space="0" w:color="auto"/>
              <w:bottom w:val="single" w:sz="4" w:space="0" w:color="auto"/>
              <w:right w:val="single" w:sz="4" w:space="0" w:color="auto"/>
            </w:tcBorders>
            <w:shd w:val="clear" w:color="auto" w:fill="auto"/>
            <w:hideMark/>
          </w:tcPr>
          <w:p w14:paraId="2F0BD0EA"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2016</w:t>
            </w:r>
          </w:p>
        </w:tc>
        <w:tc>
          <w:tcPr>
            <w:tcW w:w="416" w:type="pct"/>
            <w:tcBorders>
              <w:top w:val="single" w:sz="4" w:space="0" w:color="auto"/>
              <w:left w:val="single" w:sz="4" w:space="0" w:color="auto"/>
              <w:bottom w:val="single" w:sz="4" w:space="0" w:color="auto"/>
              <w:right w:val="single" w:sz="4" w:space="0" w:color="auto"/>
            </w:tcBorders>
            <w:shd w:val="clear" w:color="auto" w:fill="auto"/>
            <w:hideMark/>
          </w:tcPr>
          <w:p w14:paraId="735A6377"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2017</w:t>
            </w:r>
          </w:p>
        </w:tc>
        <w:tc>
          <w:tcPr>
            <w:tcW w:w="347" w:type="pct"/>
            <w:tcBorders>
              <w:top w:val="single" w:sz="4" w:space="0" w:color="auto"/>
              <w:left w:val="single" w:sz="4" w:space="0" w:color="auto"/>
              <w:bottom w:val="single" w:sz="4" w:space="0" w:color="auto"/>
              <w:right w:val="single" w:sz="4" w:space="0" w:color="auto"/>
            </w:tcBorders>
            <w:shd w:val="clear" w:color="auto" w:fill="auto"/>
            <w:hideMark/>
          </w:tcPr>
          <w:p w14:paraId="6DA6D0DA"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2018</w:t>
            </w:r>
          </w:p>
        </w:tc>
        <w:tc>
          <w:tcPr>
            <w:tcW w:w="416" w:type="pct"/>
            <w:tcBorders>
              <w:top w:val="single" w:sz="4" w:space="0" w:color="auto"/>
              <w:left w:val="single" w:sz="4" w:space="0" w:color="auto"/>
              <w:bottom w:val="single" w:sz="4" w:space="0" w:color="auto"/>
              <w:right w:val="nil"/>
            </w:tcBorders>
            <w:shd w:val="clear" w:color="auto" w:fill="auto"/>
            <w:hideMark/>
          </w:tcPr>
          <w:p w14:paraId="33A72884"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2019</w:t>
            </w:r>
          </w:p>
        </w:tc>
      </w:tr>
      <w:tr w:rsidR="003F4CFF" w:rsidRPr="00385C29" w14:paraId="4DEC8379" w14:textId="77777777" w:rsidTr="003F4CFF">
        <w:trPr>
          <w:trHeight w:val="454"/>
        </w:trPr>
        <w:tc>
          <w:tcPr>
            <w:tcW w:w="2292" w:type="pct"/>
            <w:tcBorders>
              <w:top w:val="single" w:sz="4" w:space="0" w:color="auto"/>
              <w:left w:val="nil"/>
              <w:bottom w:val="single" w:sz="4" w:space="0" w:color="auto"/>
              <w:right w:val="single" w:sz="4" w:space="0" w:color="auto"/>
            </w:tcBorders>
            <w:shd w:val="clear" w:color="auto" w:fill="auto"/>
            <w:hideMark/>
          </w:tcPr>
          <w:p w14:paraId="1CC92163" w14:textId="77777777" w:rsidR="003F4CFF" w:rsidRPr="00A53D83" w:rsidRDefault="003F4CFF" w:rsidP="00BD1EFA">
            <w:pPr>
              <w:jc w:val="left"/>
              <w:rPr>
                <w:rFonts w:ascii="Times New Roman" w:eastAsia="Times New Roman" w:hAnsi="Times New Roman" w:cs="Times New Roman"/>
              </w:rPr>
            </w:pPr>
            <w:r w:rsidRPr="00A53D83">
              <w:rPr>
                <w:rFonts w:ascii="Times New Roman" w:eastAsia="Times New Roman" w:hAnsi="Times New Roman" w:cs="Times New Roman"/>
              </w:rPr>
              <w:t>Среднесписочная численность занятых (без внешних совместителей), тыс. человек за отчетный период</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6B128B62"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929</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417A2630"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950,6</w:t>
            </w:r>
          </w:p>
        </w:tc>
        <w:tc>
          <w:tcPr>
            <w:tcW w:w="487" w:type="pct"/>
            <w:tcBorders>
              <w:top w:val="single" w:sz="4" w:space="0" w:color="auto"/>
              <w:left w:val="single" w:sz="4" w:space="0" w:color="auto"/>
              <w:bottom w:val="single" w:sz="4" w:space="0" w:color="auto"/>
              <w:right w:val="single" w:sz="4" w:space="0" w:color="auto"/>
            </w:tcBorders>
            <w:shd w:val="clear" w:color="auto" w:fill="auto"/>
            <w:hideMark/>
          </w:tcPr>
          <w:p w14:paraId="0617D562"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927,4</w:t>
            </w:r>
          </w:p>
        </w:tc>
        <w:tc>
          <w:tcPr>
            <w:tcW w:w="416" w:type="pct"/>
            <w:tcBorders>
              <w:top w:val="single" w:sz="4" w:space="0" w:color="auto"/>
              <w:left w:val="single" w:sz="4" w:space="0" w:color="auto"/>
              <w:bottom w:val="single" w:sz="4" w:space="0" w:color="auto"/>
              <w:right w:val="single" w:sz="4" w:space="0" w:color="auto"/>
            </w:tcBorders>
            <w:shd w:val="clear" w:color="auto" w:fill="auto"/>
            <w:hideMark/>
          </w:tcPr>
          <w:p w14:paraId="5B61D130"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902,8</w:t>
            </w:r>
          </w:p>
        </w:tc>
        <w:tc>
          <w:tcPr>
            <w:tcW w:w="347" w:type="pct"/>
            <w:tcBorders>
              <w:top w:val="single" w:sz="4" w:space="0" w:color="auto"/>
              <w:left w:val="single" w:sz="4" w:space="0" w:color="auto"/>
              <w:bottom w:val="single" w:sz="4" w:space="0" w:color="auto"/>
              <w:right w:val="single" w:sz="4" w:space="0" w:color="auto"/>
            </w:tcBorders>
            <w:shd w:val="clear" w:color="auto" w:fill="auto"/>
            <w:hideMark/>
          </w:tcPr>
          <w:p w14:paraId="52A30E4E"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889,5</w:t>
            </w:r>
          </w:p>
        </w:tc>
        <w:tc>
          <w:tcPr>
            <w:tcW w:w="416" w:type="pct"/>
            <w:tcBorders>
              <w:top w:val="single" w:sz="4" w:space="0" w:color="auto"/>
              <w:left w:val="single" w:sz="4" w:space="0" w:color="auto"/>
              <w:bottom w:val="single" w:sz="4" w:space="0" w:color="auto"/>
              <w:right w:val="nil"/>
            </w:tcBorders>
            <w:shd w:val="clear" w:color="auto" w:fill="auto"/>
            <w:noWrap/>
            <w:hideMark/>
          </w:tcPr>
          <w:p w14:paraId="5468A771"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923,3</w:t>
            </w:r>
          </w:p>
        </w:tc>
      </w:tr>
      <w:tr w:rsidR="003F4CFF" w:rsidRPr="00385C29" w14:paraId="26930CF8" w14:textId="77777777" w:rsidTr="003F4CFF">
        <w:trPr>
          <w:trHeight w:val="454"/>
        </w:trPr>
        <w:tc>
          <w:tcPr>
            <w:tcW w:w="2292" w:type="pct"/>
            <w:tcBorders>
              <w:top w:val="single" w:sz="4" w:space="0" w:color="auto"/>
              <w:left w:val="nil"/>
              <w:bottom w:val="single" w:sz="4" w:space="0" w:color="auto"/>
              <w:right w:val="single" w:sz="4" w:space="0" w:color="auto"/>
            </w:tcBorders>
            <w:shd w:val="clear" w:color="auto" w:fill="auto"/>
            <w:hideMark/>
          </w:tcPr>
          <w:p w14:paraId="057CA89B" w14:textId="77777777" w:rsidR="003F4CFF" w:rsidRPr="00A53D83" w:rsidRDefault="003F4CFF" w:rsidP="00BD1EFA">
            <w:pPr>
              <w:jc w:val="left"/>
              <w:rPr>
                <w:rFonts w:ascii="Times New Roman" w:eastAsia="Times New Roman" w:hAnsi="Times New Roman" w:cs="Times New Roman"/>
              </w:rPr>
            </w:pPr>
            <w:r w:rsidRPr="00A53D83">
              <w:rPr>
                <w:rFonts w:ascii="Times New Roman" w:eastAsia="Times New Roman" w:hAnsi="Times New Roman" w:cs="Times New Roman"/>
              </w:rPr>
              <w:t>- в т.ч. по малым предприятиям (без микропредприятий), тыс. человек за отчетный период</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1A5CE826"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170,1</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7942C93A"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168,5</w:t>
            </w:r>
          </w:p>
        </w:tc>
        <w:tc>
          <w:tcPr>
            <w:tcW w:w="487" w:type="pct"/>
            <w:tcBorders>
              <w:top w:val="single" w:sz="4" w:space="0" w:color="auto"/>
              <w:left w:val="single" w:sz="4" w:space="0" w:color="auto"/>
              <w:bottom w:val="single" w:sz="4" w:space="0" w:color="auto"/>
              <w:right w:val="single" w:sz="4" w:space="0" w:color="auto"/>
            </w:tcBorders>
            <w:shd w:val="clear" w:color="auto" w:fill="auto"/>
            <w:hideMark/>
          </w:tcPr>
          <w:p w14:paraId="122EA498"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158</w:t>
            </w:r>
          </w:p>
        </w:tc>
        <w:tc>
          <w:tcPr>
            <w:tcW w:w="416" w:type="pct"/>
            <w:tcBorders>
              <w:top w:val="single" w:sz="4" w:space="0" w:color="auto"/>
              <w:left w:val="single" w:sz="4" w:space="0" w:color="auto"/>
              <w:bottom w:val="single" w:sz="4" w:space="0" w:color="auto"/>
              <w:right w:val="single" w:sz="4" w:space="0" w:color="auto"/>
            </w:tcBorders>
            <w:shd w:val="clear" w:color="auto" w:fill="auto"/>
            <w:hideMark/>
          </w:tcPr>
          <w:p w14:paraId="226D0BB3"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118,8</w:t>
            </w:r>
          </w:p>
        </w:tc>
        <w:tc>
          <w:tcPr>
            <w:tcW w:w="347" w:type="pct"/>
            <w:tcBorders>
              <w:top w:val="single" w:sz="4" w:space="0" w:color="auto"/>
              <w:left w:val="single" w:sz="4" w:space="0" w:color="auto"/>
              <w:bottom w:val="single" w:sz="4" w:space="0" w:color="auto"/>
              <w:right w:val="single" w:sz="4" w:space="0" w:color="auto"/>
            </w:tcBorders>
            <w:shd w:val="clear" w:color="auto" w:fill="auto"/>
            <w:hideMark/>
          </w:tcPr>
          <w:p w14:paraId="4C669982"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170,1</w:t>
            </w:r>
          </w:p>
        </w:tc>
        <w:tc>
          <w:tcPr>
            <w:tcW w:w="416" w:type="pct"/>
            <w:tcBorders>
              <w:top w:val="single" w:sz="4" w:space="0" w:color="auto"/>
              <w:left w:val="single" w:sz="4" w:space="0" w:color="auto"/>
              <w:bottom w:val="single" w:sz="4" w:space="0" w:color="auto"/>
              <w:right w:val="nil"/>
            </w:tcBorders>
            <w:shd w:val="clear" w:color="auto" w:fill="auto"/>
            <w:hideMark/>
          </w:tcPr>
          <w:p w14:paraId="171BF502"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150,2</w:t>
            </w:r>
          </w:p>
        </w:tc>
      </w:tr>
      <w:tr w:rsidR="003F4CFF" w:rsidRPr="00385C29" w14:paraId="60A24417" w14:textId="77777777" w:rsidTr="003F4CFF">
        <w:trPr>
          <w:trHeight w:val="454"/>
        </w:trPr>
        <w:tc>
          <w:tcPr>
            <w:tcW w:w="2292" w:type="pct"/>
            <w:tcBorders>
              <w:top w:val="single" w:sz="4" w:space="0" w:color="auto"/>
              <w:left w:val="nil"/>
              <w:bottom w:val="single" w:sz="4" w:space="0" w:color="auto"/>
              <w:right w:val="single" w:sz="4" w:space="0" w:color="auto"/>
            </w:tcBorders>
            <w:shd w:val="clear" w:color="auto" w:fill="auto"/>
            <w:hideMark/>
          </w:tcPr>
          <w:p w14:paraId="72654541" w14:textId="77777777" w:rsidR="003F4CFF" w:rsidRPr="00A53D83" w:rsidRDefault="003F4CFF" w:rsidP="00BD1EFA">
            <w:pPr>
              <w:jc w:val="left"/>
              <w:rPr>
                <w:rFonts w:ascii="Times New Roman" w:eastAsia="Times New Roman" w:hAnsi="Times New Roman" w:cs="Times New Roman"/>
              </w:rPr>
            </w:pPr>
            <w:r w:rsidRPr="00A53D83">
              <w:rPr>
                <w:rFonts w:ascii="Times New Roman" w:eastAsia="Times New Roman" w:hAnsi="Times New Roman" w:cs="Times New Roman"/>
              </w:rPr>
              <w:t>- Удельный вес малых предприятий по среднесписочной численности занятых (% к итогу по области)</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321ED38A"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18,3</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63A61199"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17,7</w:t>
            </w:r>
          </w:p>
        </w:tc>
        <w:tc>
          <w:tcPr>
            <w:tcW w:w="487" w:type="pct"/>
            <w:tcBorders>
              <w:top w:val="single" w:sz="4" w:space="0" w:color="auto"/>
              <w:left w:val="single" w:sz="4" w:space="0" w:color="auto"/>
              <w:bottom w:val="single" w:sz="4" w:space="0" w:color="auto"/>
              <w:right w:val="single" w:sz="4" w:space="0" w:color="auto"/>
            </w:tcBorders>
            <w:shd w:val="clear" w:color="auto" w:fill="auto"/>
            <w:hideMark/>
          </w:tcPr>
          <w:p w14:paraId="74FE0AD2"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17,0</w:t>
            </w:r>
          </w:p>
        </w:tc>
        <w:tc>
          <w:tcPr>
            <w:tcW w:w="416" w:type="pct"/>
            <w:tcBorders>
              <w:top w:val="single" w:sz="4" w:space="0" w:color="auto"/>
              <w:left w:val="single" w:sz="4" w:space="0" w:color="auto"/>
              <w:bottom w:val="single" w:sz="4" w:space="0" w:color="auto"/>
              <w:right w:val="single" w:sz="4" w:space="0" w:color="auto"/>
            </w:tcBorders>
            <w:shd w:val="clear" w:color="auto" w:fill="auto"/>
            <w:hideMark/>
          </w:tcPr>
          <w:p w14:paraId="50F21E3D"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13,2</w:t>
            </w:r>
          </w:p>
        </w:tc>
        <w:tc>
          <w:tcPr>
            <w:tcW w:w="347" w:type="pct"/>
            <w:tcBorders>
              <w:top w:val="single" w:sz="4" w:space="0" w:color="auto"/>
              <w:left w:val="single" w:sz="4" w:space="0" w:color="auto"/>
              <w:bottom w:val="single" w:sz="4" w:space="0" w:color="auto"/>
              <w:right w:val="single" w:sz="4" w:space="0" w:color="auto"/>
            </w:tcBorders>
            <w:shd w:val="clear" w:color="auto" w:fill="auto"/>
            <w:hideMark/>
          </w:tcPr>
          <w:p w14:paraId="737EDF0D"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19,1</w:t>
            </w:r>
          </w:p>
        </w:tc>
        <w:tc>
          <w:tcPr>
            <w:tcW w:w="416" w:type="pct"/>
            <w:tcBorders>
              <w:top w:val="single" w:sz="4" w:space="0" w:color="auto"/>
              <w:left w:val="single" w:sz="4" w:space="0" w:color="auto"/>
              <w:bottom w:val="single" w:sz="4" w:space="0" w:color="auto"/>
              <w:right w:val="nil"/>
            </w:tcBorders>
            <w:shd w:val="clear" w:color="auto" w:fill="auto"/>
            <w:hideMark/>
          </w:tcPr>
          <w:p w14:paraId="653FEE35"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16,3</w:t>
            </w:r>
          </w:p>
        </w:tc>
      </w:tr>
      <w:tr w:rsidR="003F4CFF" w:rsidRPr="00385C29" w14:paraId="72DDDC6E" w14:textId="77777777" w:rsidTr="003F4CFF">
        <w:trPr>
          <w:trHeight w:val="454"/>
        </w:trPr>
        <w:tc>
          <w:tcPr>
            <w:tcW w:w="2292" w:type="pct"/>
            <w:tcBorders>
              <w:top w:val="single" w:sz="4" w:space="0" w:color="auto"/>
              <w:left w:val="nil"/>
              <w:bottom w:val="single" w:sz="4" w:space="0" w:color="auto"/>
              <w:right w:val="single" w:sz="4" w:space="0" w:color="auto"/>
            </w:tcBorders>
            <w:shd w:val="clear" w:color="auto" w:fill="auto"/>
            <w:noWrap/>
            <w:hideMark/>
          </w:tcPr>
          <w:p w14:paraId="4C1B0238" w14:textId="77777777" w:rsidR="003F4CFF" w:rsidRPr="00A53D83" w:rsidRDefault="003F4CFF" w:rsidP="00BD1EFA">
            <w:pPr>
              <w:jc w:val="left"/>
              <w:rPr>
                <w:rFonts w:ascii="Times New Roman" w:eastAsia="Times New Roman" w:hAnsi="Times New Roman" w:cs="Times New Roman"/>
              </w:rPr>
            </w:pPr>
            <w:r w:rsidRPr="00A53D83">
              <w:rPr>
                <w:rFonts w:ascii="Times New Roman" w:eastAsia="Times New Roman" w:hAnsi="Times New Roman" w:cs="Times New Roman"/>
              </w:rPr>
              <w:t>Динамика среднесписочной численности занятых (без внешних совместителей), % к предыдущему периоду</w:t>
            </w:r>
          </w:p>
        </w:tc>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4330EC58"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w:t>
            </w:r>
          </w:p>
        </w:tc>
        <w:tc>
          <w:tcPr>
            <w:tcW w:w="625" w:type="pct"/>
            <w:tcBorders>
              <w:top w:val="single" w:sz="4" w:space="0" w:color="auto"/>
              <w:left w:val="single" w:sz="4" w:space="0" w:color="auto"/>
              <w:bottom w:val="single" w:sz="4" w:space="0" w:color="auto"/>
              <w:right w:val="single" w:sz="4" w:space="0" w:color="auto"/>
            </w:tcBorders>
            <w:shd w:val="clear" w:color="auto" w:fill="auto"/>
            <w:noWrap/>
            <w:hideMark/>
          </w:tcPr>
          <w:p w14:paraId="46E7C92E"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99,1</w:t>
            </w:r>
          </w:p>
        </w:tc>
        <w:tc>
          <w:tcPr>
            <w:tcW w:w="487" w:type="pct"/>
            <w:tcBorders>
              <w:top w:val="single" w:sz="4" w:space="0" w:color="auto"/>
              <w:left w:val="single" w:sz="4" w:space="0" w:color="auto"/>
              <w:bottom w:val="single" w:sz="4" w:space="0" w:color="auto"/>
              <w:right w:val="single" w:sz="4" w:space="0" w:color="auto"/>
            </w:tcBorders>
            <w:shd w:val="clear" w:color="auto" w:fill="auto"/>
            <w:noWrap/>
            <w:hideMark/>
          </w:tcPr>
          <w:p w14:paraId="451DC20D"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93,8</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14:paraId="21AA4C7C"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75,2</w:t>
            </w:r>
          </w:p>
        </w:tc>
        <w:tc>
          <w:tcPr>
            <w:tcW w:w="347" w:type="pct"/>
            <w:tcBorders>
              <w:top w:val="single" w:sz="4" w:space="0" w:color="auto"/>
              <w:left w:val="single" w:sz="4" w:space="0" w:color="auto"/>
              <w:bottom w:val="single" w:sz="4" w:space="0" w:color="auto"/>
              <w:right w:val="single" w:sz="4" w:space="0" w:color="auto"/>
            </w:tcBorders>
            <w:shd w:val="clear" w:color="auto" w:fill="auto"/>
            <w:noWrap/>
            <w:hideMark/>
          </w:tcPr>
          <w:p w14:paraId="1D44E9C5"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143,2</w:t>
            </w:r>
          </w:p>
        </w:tc>
        <w:tc>
          <w:tcPr>
            <w:tcW w:w="416" w:type="pct"/>
            <w:tcBorders>
              <w:top w:val="single" w:sz="4" w:space="0" w:color="auto"/>
              <w:left w:val="single" w:sz="4" w:space="0" w:color="auto"/>
              <w:bottom w:val="single" w:sz="4" w:space="0" w:color="auto"/>
              <w:right w:val="nil"/>
            </w:tcBorders>
            <w:shd w:val="clear" w:color="auto" w:fill="auto"/>
            <w:noWrap/>
            <w:hideMark/>
          </w:tcPr>
          <w:p w14:paraId="77C8F14C"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88,3</w:t>
            </w:r>
          </w:p>
        </w:tc>
      </w:tr>
    </w:tbl>
    <w:p w14:paraId="445E507C" w14:textId="77777777" w:rsidR="003F4CFF" w:rsidRPr="00385C29" w:rsidRDefault="003F4CFF" w:rsidP="003F4CFF">
      <w:pPr>
        <w:ind w:firstLine="709"/>
        <w:jc w:val="both"/>
        <w:rPr>
          <w:rFonts w:ascii="Times New Roman" w:hAnsi="Times New Roman" w:cs="Times New Roman"/>
          <w:bCs/>
          <w:sz w:val="24"/>
          <w:szCs w:val="24"/>
          <w:lang w:eastAsia="en-US"/>
        </w:rPr>
      </w:pPr>
    </w:p>
    <w:p w14:paraId="71428DDE" w14:textId="51F304F4" w:rsidR="003F4CFF" w:rsidRPr="00BF7B1F" w:rsidRDefault="003F4CFF" w:rsidP="003F4CFF">
      <w:pPr>
        <w:ind w:firstLine="567"/>
        <w:jc w:val="both"/>
        <w:rPr>
          <w:rFonts w:ascii="Times New Roman" w:hAnsi="Times New Roman" w:cs="Times New Roman"/>
          <w:bCs/>
          <w:sz w:val="28"/>
          <w:szCs w:val="28"/>
        </w:rPr>
      </w:pPr>
      <w:r w:rsidRPr="00385C29">
        <w:rPr>
          <w:rFonts w:ascii="Times New Roman" w:hAnsi="Times New Roman" w:cs="Times New Roman"/>
          <w:bCs/>
          <w:sz w:val="28"/>
          <w:szCs w:val="28"/>
        </w:rPr>
        <w:t xml:space="preserve">Общий объем отгруженных товаров </w:t>
      </w:r>
      <w:r w:rsidRPr="00385C29">
        <w:rPr>
          <w:rFonts w:ascii="Times New Roman" w:hAnsi="Times New Roman" w:cs="Times New Roman"/>
          <w:sz w:val="28"/>
          <w:szCs w:val="28"/>
        </w:rPr>
        <w:t xml:space="preserve">собственного производства, выполненных работ и услуг собственными силами </w:t>
      </w:r>
      <w:r w:rsidR="00584796">
        <w:rPr>
          <w:rFonts w:ascii="Times New Roman" w:hAnsi="Times New Roman" w:cs="Times New Roman"/>
          <w:sz w:val="28"/>
          <w:szCs w:val="28"/>
        </w:rPr>
        <w:t xml:space="preserve">на 01.01.2019 </w:t>
      </w:r>
      <w:r w:rsidR="00723FED" w:rsidRPr="00385C29">
        <w:rPr>
          <w:rFonts w:ascii="Times New Roman" w:hAnsi="Times New Roman" w:cs="Times New Roman"/>
          <w:sz w:val="28"/>
          <w:szCs w:val="28"/>
        </w:rPr>
        <w:t>состави</w:t>
      </w:r>
      <w:r w:rsidR="00723FED">
        <w:rPr>
          <w:rFonts w:ascii="Times New Roman" w:hAnsi="Times New Roman" w:cs="Times New Roman"/>
          <w:sz w:val="28"/>
          <w:szCs w:val="28"/>
        </w:rPr>
        <w:t xml:space="preserve">л </w:t>
      </w:r>
      <w:r w:rsidR="00584796">
        <w:rPr>
          <w:rFonts w:ascii="Times New Roman" w:hAnsi="Times New Roman" w:cs="Times New Roman"/>
          <w:sz w:val="28"/>
          <w:szCs w:val="28"/>
        </w:rPr>
        <w:t>190,8</w:t>
      </w:r>
      <w:r w:rsidR="00755DD4">
        <w:rPr>
          <w:rFonts w:ascii="Times New Roman" w:hAnsi="Times New Roman" w:cs="Times New Roman"/>
          <w:sz w:val="28"/>
          <w:szCs w:val="28"/>
        </w:rPr>
        <w:t> </w:t>
      </w:r>
      <w:r w:rsidR="00584796">
        <w:rPr>
          <w:rFonts w:ascii="Times New Roman" w:hAnsi="Times New Roman" w:cs="Times New Roman"/>
          <w:sz w:val="28"/>
          <w:szCs w:val="28"/>
        </w:rPr>
        <w:t>млрд. рублей</w:t>
      </w:r>
      <w:r w:rsidRPr="00385C29">
        <w:rPr>
          <w:rFonts w:ascii="Times New Roman" w:hAnsi="Times New Roman" w:cs="Times New Roman"/>
          <w:sz w:val="28"/>
          <w:szCs w:val="28"/>
        </w:rPr>
        <w:t>, что на 6,5% больше, чем в начале 2018 г</w:t>
      </w:r>
      <w:r w:rsidRPr="00BF7B1F">
        <w:rPr>
          <w:rFonts w:ascii="Times New Roman" w:hAnsi="Times New Roman" w:cs="Times New Roman"/>
          <w:sz w:val="28"/>
          <w:szCs w:val="28"/>
        </w:rPr>
        <w:t xml:space="preserve">. (таблица 10). </w:t>
      </w:r>
      <w:r>
        <w:rPr>
          <w:rFonts w:ascii="Times New Roman" w:hAnsi="Times New Roman" w:cs="Times New Roman"/>
          <w:bCs/>
          <w:sz w:val="28"/>
          <w:szCs w:val="28"/>
        </w:rPr>
        <w:t>По сравнению с 2014 </w:t>
      </w:r>
      <w:r w:rsidRPr="00BF7B1F">
        <w:rPr>
          <w:rFonts w:ascii="Times New Roman" w:hAnsi="Times New Roman" w:cs="Times New Roman"/>
          <w:bCs/>
          <w:sz w:val="28"/>
          <w:szCs w:val="28"/>
        </w:rPr>
        <w:t xml:space="preserve">г. отгрузка выросла на 18,6%. Удельный вес малых предприятий в общем объеме отгрузки на 01.01.2019 </w:t>
      </w:r>
      <w:r w:rsidR="00723FED" w:rsidRPr="00BF7B1F">
        <w:rPr>
          <w:rFonts w:ascii="Times New Roman" w:hAnsi="Times New Roman" w:cs="Times New Roman"/>
          <w:bCs/>
          <w:sz w:val="28"/>
          <w:szCs w:val="28"/>
        </w:rPr>
        <w:t xml:space="preserve">составил </w:t>
      </w:r>
      <w:r w:rsidRPr="00BF7B1F">
        <w:rPr>
          <w:rFonts w:ascii="Times New Roman" w:hAnsi="Times New Roman" w:cs="Times New Roman"/>
          <w:bCs/>
          <w:sz w:val="28"/>
          <w:szCs w:val="28"/>
        </w:rPr>
        <w:t>19,9%, что соотве</w:t>
      </w:r>
      <w:r>
        <w:rPr>
          <w:rFonts w:ascii="Times New Roman" w:hAnsi="Times New Roman" w:cs="Times New Roman"/>
          <w:bCs/>
          <w:sz w:val="28"/>
          <w:szCs w:val="28"/>
        </w:rPr>
        <w:t>тствует тенденции последних 3</w:t>
      </w:r>
      <w:r w:rsidRPr="00BF7B1F">
        <w:rPr>
          <w:rFonts w:ascii="Times New Roman" w:hAnsi="Times New Roman" w:cs="Times New Roman"/>
          <w:bCs/>
          <w:sz w:val="28"/>
          <w:szCs w:val="28"/>
        </w:rPr>
        <w:t xml:space="preserve">лет. </w:t>
      </w:r>
    </w:p>
    <w:p w14:paraId="21498246" w14:textId="77777777" w:rsidR="003F4CFF" w:rsidRPr="00BF7B1F" w:rsidRDefault="003F4CFF" w:rsidP="003F4CFF">
      <w:pPr>
        <w:ind w:firstLine="709"/>
        <w:jc w:val="both"/>
        <w:rPr>
          <w:rFonts w:ascii="Times New Roman" w:hAnsi="Times New Roman" w:cs="Times New Roman"/>
          <w:bCs/>
          <w:sz w:val="28"/>
          <w:szCs w:val="28"/>
        </w:rPr>
      </w:pPr>
    </w:p>
    <w:p w14:paraId="1C177E64" w14:textId="77777777" w:rsidR="003F4CFF" w:rsidRPr="00674368" w:rsidRDefault="003F4CFF" w:rsidP="003F4CFF">
      <w:pPr>
        <w:jc w:val="both"/>
        <w:rPr>
          <w:rFonts w:ascii="Times New Roman" w:hAnsi="Times New Roman" w:cs="Times New Roman"/>
          <w:sz w:val="28"/>
          <w:szCs w:val="28"/>
        </w:rPr>
      </w:pPr>
      <w:r w:rsidRPr="00BF7B1F">
        <w:rPr>
          <w:rFonts w:ascii="Times New Roman" w:eastAsia="Times New Roman" w:hAnsi="Times New Roman" w:cs="Times New Roman"/>
          <w:sz w:val="28"/>
          <w:szCs w:val="28"/>
        </w:rPr>
        <w:t xml:space="preserve">Таблица 10 – </w:t>
      </w:r>
      <w:r w:rsidRPr="00BF7B1F">
        <w:rPr>
          <w:rFonts w:ascii="Times New Roman" w:hAnsi="Times New Roman" w:cs="Times New Roman"/>
          <w:bCs/>
          <w:sz w:val="28"/>
          <w:szCs w:val="28"/>
        </w:rPr>
        <w:t xml:space="preserve">Общий объем отгруженных товаров </w:t>
      </w:r>
      <w:r w:rsidRPr="00BF7B1F">
        <w:rPr>
          <w:rFonts w:ascii="Times New Roman" w:hAnsi="Times New Roman" w:cs="Times New Roman"/>
          <w:sz w:val="28"/>
          <w:szCs w:val="28"/>
        </w:rPr>
        <w:t xml:space="preserve">собственного производства, выполненных работ и услуг собственными силами </w:t>
      </w:r>
      <w:r w:rsidRPr="00BF7B1F">
        <w:rPr>
          <w:rFonts w:ascii="Times New Roman" w:hAnsi="Times New Roman" w:cs="Times New Roman"/>
          <w:bCs/>
          <w:sz w:val="28"/>
          <w:szCs w:val="28"/>
        </w:rPr>
        <w:t>по малым предприятиям (без учета микропредприятий)</w:t>
      </w:r>
      <w:r w:rsidRPr="00BF7B1F">
        <w:rPr>
          <w:rFonts w:ascii="Times New Roman" w:eastAsia="SimSun" w:hAnsi="Times New Roman" w:cs="Times New Roman"/>
          <w:sz w:val="28"/>
          <w:szCs w:val="28"/>
          <w:lang w:eastAsia="ar-SA"/>
        </w:rPr>
        <w:t xml:space="preserve"> в динамике за 2014-2019 гг.</w:t>
      </w:r>
      <w:r w:rsidR="00584796">
        <w:rPr>
          <w:rFonts w:ascii="Times New Roman" w:hAnsi="Times New Roman" w:cs="Times New Roman"/>
          <w:bCs/>
          <w:sz w:val="28"/>
          <w:szCs w:val="28"/>
        </w:rPr>
        <w:t>, млрд рублей</w:t>
      </w:r>
      <w:r w:rsidRPr="00BF7B1F">
        <w:rPr>
          <w:rFonts w:ascii="Times New Roman" w:hAnsi="Times New Roman" w:cs="Times New Roman"/>
          <w:bCs/>
          <w:sz w:val="28"/>
          <w:szCs w:val="28"/>
        </w:rPr>
        <w:t xml:space="preserve"> на начало отчетного периода</w:t>
      </w:r>
    </w:p>
    <w:tbl>
      <w:tblPr>
        <w:tblW w:w="5000" w:type="pct"/>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65"/>
        <w:gridCol w:w="591"/>
        <w:gridCol w:w="591"/>
        <w:gridCol w:w="592"/>
        <w:gridCol w:w="592"/>
        <w:gridCol w:w="592"/>
        <w:gridCol w:w="598"/>
      </w:tblGrid>
      <w:tr w:rsidR="003F4CFF" w:rsidRPr="00385C29" w14:paraId="5BFA23C4" w14:textId="77777777" w:rsidTr="003F4CFF">
        <w:tc>
          <w:tcPr>
            <w:tcW w:w="2615" w:type="pct"/>
            <w:tcBorders>
              <w:top w:val="single" w:sz="4" w:space="0" w:color="auto"/>
              <w:left w:val="nil"/>
              <w:bottom w:val="single" w:sz="4" w:space="0" w:color="auto"/>
              <w:right w:val="single" w:sz="4" w:space="0" w:color="auto"/>
            </w:tcBorders>
            <w:shd w:val="clear" w:color="auto" w:fill="auto"/>
            <w:noWrap/>
            <w:vAlign w:val="center"/>
            <w:hideMark/>
          </w:tcPr>
          <w:p w14:paraId="4C587654" w14:textId="77777777" w:rsidR="003F4CFF" w:rsidRPr="00A53D83" w:rsidRDefault="003F4CFF" w:rsidP="003F4CFF">
            <w:pPr>
              <w:rPr>
                <w:rFonts w:ascii="Times New Roman" w:eastAsia="Times New Roman" w:hAnsi="Times New Roman" w:cs="Times New Roman"/>
              </w:rPr>
            </w:pPr>
            <w:bookmarkStart w:id="60" w:name="RANGE!A1"/>
            <w:r w:rsidRPr="00A53D83">
              <w:rPr>
                <w:rFonts w:ascii="Times New Roman" w:eastAsia="Times New Roman" w:hAnsi="Times New Roman" w:cs="Times New Roman"/>
              </w:rPr>
              <w:t> </w:t>
            </w:r>
            <w:bookmarkEnd w:id="60"/>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05099"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106DB"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0AA0B"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84176"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4210F"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2018</w:t>
            </w:r>
          </w:p>
        </w:tc>
        <w:tc>
          <w:tcPr>
            <w:tcW w:w="401" w:type="pct"/>
            <w:tcBorders>
              <w:top w:val="single" w:sz="4" w:space="0" w:color="auto"/>
              <w:left w:val="single" w:sz="4" w:space="0" w:color="auto"/>
              <w:bottom w:val="single" w:sz="4" w:space="0" w:color="auto"/>
              <w:right w:val="nil"/>
            </w:tcBorders>
            <w:shd w:val="clear" w:color="auto" w:fill="auto"/>
            <w:noWrap/>
            <w:vAlign w:val="center"/>
            <w:hideMark/>
          </w:tcPr>
          <w:p w14:paraId="39C52A72"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2019</w:t>
            </w:r>
          </w:p>
        </w:tc>
      </w:tr>
      <w:tr w:rsidR="003F4CFF" w:rsidRPr="00385C29" w14:paraId="408652E6" w14:textId="77777777" w:rsidTr="003F4CFF">
        <w:tc>
          <w:tcPr>
            <w:tcW w:w="2615" w:type="pct"/>
            <w:tcBorders>
              <w:top w:val="single" w:sz="4" w:space="0" w:color="auto"/>
              <w:left w:val="nil"/>
              <w:bottom w:val="single" w:sz="4" w:space="0" w:color="auto"/>
              <w:right w:val="single" w:sz="4" w:space="0" w:color="auto"/>
            </w:tcBorders>
            <w:shd w:val="clear" w:color="auto" w:fill="auto"/>
            <w:vAlign w:val="center"/>
            <w:hideMark/>
          </w:tcPr>
          <w:p w14:paraId="263AF391" w14:textId="77777777" w:rsidR="003F4CFF" w:rsidRPr="00A53D83" w:rsidRDefault="003F4CFF" w:rsidP="00BD1EFA">
            <w:pPr>
              <w:jc w:val="left"/>
              <w:rPr>
                <w:rFonts w:ascii="Times New Roman" w:eastAsia="Times New Roman" w:hAnsi="Times New Roman" w:cs="Times New Roman"/>
              </w:rPr>
            </w:pPr>
            <w:r w:rsidRPr="00A53D83">
              <w:rPr>
                <w:rFonts w:ascii="Times New Roman" w:eastAsia="Times New Roman" w:hAnsi="Times New Roman" w:cs="Times New Roman"/>
              </w:rPr>
              <w:lastRenderedPageBreak/>
              <w:t>Общий объем отгруженных товаров собственного производства, выполненных работ и услуг</w:t>
            </w:r>
            <w:r w:rsidR="00584796">
              <w:rPr>
                <w:rFonts w:ascii="Times New Roman" w:eastAsia="Times New Roman" w:hAnsi="Times New Roman" w:cs="Times New Roman"/>
              </w:rPr>
              <w:t xml:space="preserve"> собственными силами, млрд. рублей</w:t>
            </w:r>
            <w:r w:rsidRPr="00A53D83">
              <w:rPr>
                <w:rFonts w:ascii="Times New Roman" w:eastAsia="Times New Roman" w:hAnsi="Times New Roman" w:cs="Times New Roman"/>
              </w:rPr>
              <w:t xml:space="preserve"> за отчетный период</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EC197"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808,4</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5955F"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843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03D59"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914,6</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E3F18"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984,5</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76BA9"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849</w:t>
            </w:r>
          </w:p>
        </w:tc>
        <w:tc>
          <w:tcPr>
            <w:tcW w:w="401" w:type="pct"/>
            <w:tcBorders>
              <w:top w:val="single" w:sz="4" w:space="0" w:color="auto"/>
              <w:left w:val="single" w:sz="4" w:space="0" w:color="auto"/>
              <w:bottom w:val="single" w:sz="4" w:space="0" w:color="auto"/>
              <w:right w:val="nil"/>
            </w:tcBorders>
            <w:shd w:val="clear" w:color="auto" w:fill="auto"/>
            <w:vAlign w:val="center"/>
            <w:hideMark/>
          </w:tcPr>
          <w:p w14:paraId="4B6A1A78"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958,9</w:t>
            </w:r>
          </w:p>
        </w:tc>
      </w:tr>
      <w:tr w:rsidR="003F4CFF" w:rsidRPr="00385C29" w14:paraId="2711822F" w14:textId="77777777" w:rsidTr="003F4CFF">
        <w:tc>
          <w:tcPr>
            <w:tcW w:w="2615" w:type="pct"/>
            <w:tcBorders>
              <w:top w:val="single" w:sz="4" w:space="0" w:color="auto"/>
              <w:left w:val="nil"/>
              <w:bottom w:val="single" w:sz="4" w:space="0" w:color="auto"/>
              <w:right w:val="single" w:sz="4" w:space="0" w:color="auto"/>
            </w:tcBorders>
            <w:shd w:val="clear" w:color="auto" w:fill="auto"/>
            <w:vAlign w:val="center"/>
            <w:hideMark/>
          </w:tcPr>
          <w:p w14:paraId="7C270B35" w14:textId="77777777" w:rsidR="003F4CFF" w:rsidRPr="00A53D83" w:rsidRDefault="003F4CFF" w:rsidP="00BD1EFA">
            <w:pPr>
              <w:jc w:val="left"/>
              <w:rPr>
                <w:rFonts w:ascii="Times New Roman" w:eastAsia="Times New Roman" w:hAnsi="Times New Roman" w:cs="Times New Roman"/>
              </w:rPr>
            </w:pPr>
            <w:r w:rsidRPr="00A53D83">
              <w:rPr>
                <w:rFonts w:ascii="Times New Roman" w:eastAsia="Times New Roman" w:hAnsi="Times New Roman" w:cs="Times New Roman"/>
              </w:rPr>
              <w:t>- в т.ч. по малым предприятиям (б</w:t>
            </w:r>
            <w:r w:rsidR="00584796">
              <w:rPr>
                <w:rFonts w:ascii="Times New Roman" w:eastAsia="Times New Roman" w:hAnsi="Times New Roman" w:cs="Times New Roman"/>
              </w:rPr>
              <w:t>ез микропредприятий), млрд. рублей</w:t>
            </w:r>
            <w:r w:rsidRPr="00A53D83">
              <w:rPr>
                <w:rFonts w:ascii="Times New Roman" w:eastAsia="Times New Roman" w:hAnsi="Times New Roman" w:cs="Times New Roman"/>
              </w:rPr>
              <w:t xml:space="preserve"> за отчетный период</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5DF4D"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144,7</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447F2"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150,9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8C084"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156,4</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E76BD"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178,2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DE64F"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179,2</w:t>
            </w:r>
          </w:p>
        </w:tc>
        <w:tc>
          <w:tcPr>
            <w:tcW w:w="401" w:type="pct"/>
            <w:tcBorders>
              <w:top w:val="single" w:sz="4" w:space="0" w:color="auto"/>
              <w:left w:val="single" w:sz="4" w:space="0" w:color="auto"/>
              <w:bottom w:val="single" w:sz="4" w:space="0" w:color="auto"/>
              <w:right w:val="nil"/>
            </w:tcBorders>
            <w:shd w:val="clear" w:color="auto" w:fill="auto"/>
            <w:noWrap/>
            <w:vAlign w:val="center"/>
            <w:hideMark/>
          </w:tcPr>
          <w:p w14:paraId="1C5940A4"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190,8</w:t>
            </w:r>
          </w:p>
        </w:tc>
      </w:tr>
      <w:tr w:rsidR="003F4CFF" w:rsidRPr="00385C29" w14:paraId="4A3952F1" w14:textId="77777777" w:rsidTr="003F4CFF">
        <w:tc>
          <w:tcPr>
            <w:tcW w:w="2615" w:type="pct"/>
            <w:tcBorders>
              <w:top w:val="single" w:sz="4" w:space="0" w:color="auto"/>
              <w:left w:val="nil"/>
              <w:bottom w:val="single" w:sz="4" w:space="0" w:color="auto"/>
              <w:right w:val="single" w:sz="4" w:space="0" w:color="auto"/>
            </w:tcBorders>
            <w:shd w:val="clear" w:color="auto" w:fill="auto"/>
            <w:vAlign w:val="center"/>
            <w:hideMark/>
          </w:tcPr>
          <w:p w14:paraId="65BC1E29" w14:textId="77777777" w:rsidR="003F4CFF" w:rsidRPr="00A53D83" w:rsidRDefault="003F4CFF" w:rsidP="00BD1EFA">
            <w:pPr>
              <w:jc w:val="left"/>
              <w:rPr>
                <w:rFonts w:ascii="Times New Roman" w:eastAsia="Times New Roman" w:hAnsi="Times New Roman" w:cs="Times New Roman"/>
              </w:rPr>
            </w:pPr>
            <w:r w:rsidRPr="00A53D83">
              <w:rPr>
                <w:rFonts w:ascii="Times New Roman" w:eastAsia="Times New Roman" w:hAnsi="Times New Roman" w:cs="Times New Roman"/>
              </w:rPr>
              <w:t>- Удельный вес малых предприятий в объеме отгруженных товаров собственного производства, выполненных работ и услуг собственными силами (% к итогу по области)</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E09F8"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17,9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171B1"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17,9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38438"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17,1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427FE"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18,1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F1856"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21,1</w:t>
            </w:r>
          </w:p>
        </w:tc>
        <w:tc>
          <w:tcPr>
            <w:tcW w:w="401" w:type="pct"/>
            <w:tcBorders>
              <w:top w:val="single" w:sz="4" w:space="0" w:color="auto"/>
              <w:left w:val="single" w:sz="4" w:space="0" w:color="auto"/>
              <w:bottom w:val="single" w:sz="4" w:space="0" w:color="auto"/>
              <w:right w:val="nil"/>
            </w:tcBorders>
            <w:shd w:val="clear" w:color="auto" w:fill="auto"/>
            <w:vAlign w:val="center"/>
            <w:hideMark/>
          </w:tcPr>
          <w:p w14:paraId="1EA565A6"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19,9</w:t>
            </w:r>
          </w:p>
        </w:tc>
      </w:tr>
      <w:tr w:rsidR="003F4CFF" w:rsidRPr="00385C29" w14:paraId="0C356E13" w14:textId="77777777" w:rsidTr="003F4CFF">
        <w:tc>
          <w:tcPr>
            <w:tcW w:w="2615" w:type="pct"/>
            <w:tcBorders>
              <w:top w:val="single" w:sz="4" w:space="0" w:color="auto"/>
              <w:left w:val="nil"/>
              <w:bottom w:val="single" w:sz="4" w:space="0" w:color="auto"/>
              <w:right w:val="single" w:sz="4" w:space="0" w:color="auto"/>
            </w:tcBorders>
            <w:shd w:val="clear" w:color="auto" w:fill="auto"/>
            <w:noWrap/>
            <w:vAlign w:val="center"/>
            <w:hideMark/>
          </w:tcPr>
          <w:p w14:paraId="142FC5E3" w14:textId="77777777" w:rsidR="003F4CFF" w:rsidRPr="00A53D83" w:rsidRDefault="003F4CFF" w:rsidP="00BD1EFA">
            <w:pPr>
              <w:jc w:val="left"/>
              <w:rPr>
                <w:rFonts w:ascii="Times New Roman" w:eastAsia="Times New Roman" w:hAnsi="Times New Roman" w:cs="Times New Roman"/>
              </w:rPr>
            </w:pPr>
            <w:r w:rsidRPr="00A53D83">
              <w:rPr>
                <w:rFonts w:ascii="Times New Roman" w:eastAsia="Times New Roman" w:hAnsi="Times New Roman" w:cs="Times New Roman"/>
              </w:rPr>
              <w:t>Динамика инвестиций в основной капитал, % к предыдущему периоду</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7633F"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709D5"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104,3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0EEB8"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103,6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2E77B"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113,9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71CF7"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100,6</w:t>
            </w:r>
          </w:p>
        </w:tc>
        <w:tc>
          <w:tcPr>
            <w:tcW w:w="401" w:type="pct"/>
            <w:tcBorders>
              <w:top w:val="single" w:sz="4" w:space="0" w:color="auto"/>
              <w:left w:val="single" w:sz="4" w:space="0" w:color="auto"/>
              <w:bottom w:val="single" w:sz="4" w:space="0" w:color="auto"/>
              <w:right w:val="nil"/>
            </w:tcBorders>
            <w:shd w:val="clear" w:color="auto" w:fill="auto"/>
            <w:noWrap/>
            <w:vAlign w:val="center"/>
            <w:hideMark/>
          </w:tcPr>
          <w:p w14:paraId="736F3447" w14:textId="77777777" w:rsidR="003F4CFF" w:rsidRPr="00A53D83" w:rsidRDefault="003F4CFF" w:rsidP="003F4CFF">
            <w:pPr>
              <w:rPr>
                <w:rFonts w:ascii="Times New Roman" w:eastAsia="Times New Roman" w:hAnsi="Times New Roman" w:cs="Times New Roman"/>
              </w:rPr>
            </w:pPr>
            <w:r w:rsidRPr="00A53D83">
              <w:rPr>
                <w:rFonts w:ascii="Times New Roman" w:eastAsia="Times New Roman" w:hAnsi="Times New Roman" w:cs="Times New Roman"/>
              </w:rPr>
              <w:t>106,5</w:t>
            </w:r>
          </w:p>
        </w:tc>
      </w:tr>
    </w:tbl>
    <w:p w14:paraId="78CC8021" w14:textId="77777777" w:rsidR="003F4CFF" w:rsidRPr="006A2D08" w:rsidRDefault="003F4CFF" w:rsidP="003F4CFF">
      <w:pPr>
        <w:tabs>
          <w:tab w:val="left" w:pos="5"/>
        </w:tabs>
        <w:ind w:firstLine="567"/>
        <w:jc w:val="both"/>
        <w:rPr>
          <w:rFonts w:ascii="Times New Roman" w:hAnsi="Times New Roman" w:cs="Times New Roman"/>
          <w:sz w:val="28"/>
          <w:szCs w:val="28"/>
        </w:rPr>
      </w:pPr>
    </w:p>
    <w:p w14:paraId="585C58CA" w14:textId="77777777" w:rsidR="003F4CFF" w:rsidRDefault="003F4CFF" w:rsidP="003F4CFF">
      <w:pPr>
        <w:pStyle w:val="ac"/>
        <w:ind w:firstLine="567"/>
        <w:jc w:val="both"/>
        <w:outlineLvl w:val="3"/>
        <w:rPr>
          <w:rFonts w:ascii="Times New Roman" w:hAnsi="Times New Roman"/>
          <w:b/>
        </w:rPr>
      </w:pPr>
      <w:r>
        <w:rPr>
          <w:rFonts w:ascii="Times New Roman" w:hAnsi="Times New Roman"/>
          <w:b/>
        </w:rPr>
        <w:t>2.3.1.3. Состояние</w:t>
      </w:r>
      <w:r w:rsidRPr="002E3DD6">
        <w:rPr>
          <w:rFonts w:ascii="Times New Roman" w:hAnsi="Times New Roman"/>
          <w:b/>
        </w:rPr>
        <w:t xml:space="preserve"> конкуренции </w:t>
      </w:r>
      <w:r>
        <w:rPr>
          <w:rFonts w:ascii="Times New Roman" w:hAnsi="Times New Roman"/>
          <w:b/>
        </w:rPr>
        <w:t xml:space="preserve">на товарных рынках </w:t>
      </w:r>
      <w:r w:rsidRPr="002E3DD6">
        <w:rPr>
          <w:rFonts w:ascii="Times New Roman" w:hAnsi="Times New Roman"/>
          <w:b/>
        </w:rPr>
        <w:t>Новосибирской области</w:t>
      </w:r>
      <w:r>
        <w:rPr>
          <w:rFonts w:ascii="Times New Roman" w:hAnsi="Times New Roman"/>
          <w:b/>
        </w:rPr>
        <w:t xml:space="preserve"> (по информации органов власти и результатам мониторинга)</w:t>
      </w:r>
    </w:p>
    <w:p w14:paraId="69C71F50" w14:textId="77777777" w:rsidR="003F4CFF" w:rsidRPr="009326E5" w:rsidRDefault="003F4CFF" w:rsidP="003F4CFF">
      <w:pPr>
        <w:rPr>
          <w:rFonts w:ascii="Times New Roman" w:hAnsi="Times New Roman" w:cs="Times New Roman"/>
          <w:sz w:val="28"/>
          <w:szCs w:val="28"/>
        </w:rPr>
      </w:pPr>
    </w:p>
    <w:p w14:paraId="1709296A" w14:textId="77777777" w:rsidR="003F4CFF" w:rsidRPr="00AA43AA" w:rsidRDefault="003F4CFF" w:rsidP="003F4CFF">
      <w:pPr>
        <w:pStyle w:val="ac"/>
        <w:ind w:firstLine="567"/>
        <w:jc w:val="both"/>
        <w:rPr>
          <w:rFonts w:ascii="Times New Roman" w:hAnsi="Times New Roman"/>
          <w:b/>
        </w:rPr>
      </w:pPr>
      <w:r w:rsidRPr="00AA43AA">
        <w:rPr>
          <w:rFonts w:ascii="Times New Roman" w:hAnsi="Times New Roman"/>
          <w:b/>
        </w:rPr>
        <w:t>Рынок услуг дошкольного образования</w:t>
      </w:r>
    </w:p>
    <w:p w14:paraId="558689D2"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В Новосибирской области образовательные программы дошкольного образования, присмотр и уход за детьми реализуют 1049 образовательных организаций (детские сады, школы, организации дополнительного образования детей), из них число самостоятельных дошкольных образовательных организаций составляет 635 единиц. Число воспитанников составляет 146</w:t>
      </w:r>
      <w:r w:rsidRPr="00901F6F">
        <w:rPr>
          <w:rFonts w:ascii="Times New Roman" w:hAnsi="Times New Roman" w:cs="Times New Roman"/>
          <w:sz w:val="28"/>
          <w:szCs w:val="28"/>
          <w:lang w:val="en-US"/>
        </w:rPr>
        <w:t> </w:t>
      </w:r>
      <w:r w:rsidRPr="00901F6F">
        <w:rPr>
          <w:rFonts w:ascii="Times New Roman" w:hAnsi="Times New Roman" w:cs="Times New Roman"/>
          <w:sz w:val="28"/>
          <w:szCs w:val="28"/>
        </w:rPr>
        <w:t>084 человека.</w:t>
      </w:r>
    </w:p>
    <w:p w14:paraId="25620D9D" w14:textId="10B8F90A"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Численность воспитанников в дошкольных образовательных организациях ежегодно растет. За последние 3 года численность воспитанников выросла на 9,3 тыс. детей (на 6,8%). Рост численности детей дошкольного возраста и иммиграционная привлекательность г</w:t>
      </w:r>
      <w:r w:rsidR="00755DD4">
        <w:rPr>
          <w:rFonts w:ascii="Times New Roman" w:hAnsi="Times New Roman" w:cs="Times New Roman"/>
          <w:sz w:val="28"/>
          <w:szCs w:val="28"/>
        </w:rPr>
        <w:t>.</w:t>
      </w:r>
      <w:r w:rsidRPr="00901F6F">
        <w:rPr>
          <w:rFonts w:ascii="Times New Roman" w:hAnsi="Times New Roman" w:cs="Times New Roman"/>
          <w:sz w:val="28"/>
          <w:szCs w:val="28"/>
        </w:rPr>
        <w:t xml:space="preserve"> Новосибирска привел</w:t>
      </w:r>
      <w:r w:rsidR="00755DD4">
        <w:rPr>
          <w:rFonts w:ascii="Times New Roman" w:hAnsi="Times New Roman" w:cs="Times New Roman"/>
          <w:sz w:val="28"/>
          <w:szCs w:val="28"/>
        </w:rPr>
        <w:t>и</w:t>
      </w:r>
      <w:r w:rsidRPr="00901F6F">
        <w:rPr>
          <w:rFonts w:ascii="Times New Roman" w:hAnsi="Times New Roman" w:cs="Times New Roman"/>
          <w:sz w:val="28"/>
          <w:szCs w:val="28"/>
        </w:rPr>
        <w:t xml:space="preserve"> к дефициту мест в детских садах. Вопрос нехватки мест дошкольного образования остро стоит в г. Новосибирске и г. Бердске, Новосибирском и Коченевском районах.</w:t>
      </w:r>
    </w:p>
    <w:p w14:paraId="3DB10F16"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Доступность дошкольного образования для детей в возрасте</w:t>
      </w:r>
      <w:r>
        <w:rPr>
          <w:rFonts w:ascii="Times New Roman" w:hAnsi="Times New Roman" w:cs="Times New Roman"/>
          <w:sz w:val="28"/>
          <w:szCs w:val="28"/>
        </w:rPr>
        <w:t xml:space="preserve"> от 3 до 7 лет составляет 97,7%,</w:t>
      </w:r>
      <w:r w:rsidRPr="00901F6F">
        <w:rPr>
          <w:rFonts w:ascii="Times New Roman" w:hAnsi="Times New Roman" w:cs="Times New Roman"/>
          <w:sz w:val="28"/>
          <w:szCs w:val="28"/>
        </w:rPr>
        <w:t xml:space="preserve"> доступность дошкольного образования для детей от 2 месяцев до 3 лет – 83,3% (в 2018 году – 48%).</w:t>
      </w:r>
    </w:p>
    <w:p w14:paraId="4C9C8AAB"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В 2019 году количество негосударственных образовательных организаций, реализующих программы дошк</w:t>
      </w:r>
      <w:r>
        <w:rPr>
          <w:rFonts w:ascii="Times New Roman" w:hAnsi="Times New Roman" w:cs="Times New Roman"/>
          <w:sz w:val="28"/>
          <w:szCs w:val="28"/>
        </w:rPr>
        <w:t>ольного образования, составляет </w:t>
      </w:r>
      <w:r w:rsidRPr="00901F6F">
        <w:rPr>
          <w:rFonts w:ascii="Times New Roman" w:hAnsi="Times New Roman" w:cs="Times New Roman"/>
          <w:sz w:val="28"/>
          <w:szCs w:val="28"/>
        </w:rPr>
        <w:t>23, из них 17 – дошкольные образовательные организации и 6 –</w:t>
      </w:r>
      <w:r w:rsidRPr="00901F6F">
        <w:rPr>
          <w:rFonts w:ascii="Times New Roman" w:hAnsi="Times New Roman" w:cs="Times New Roman"/>
          <w:sz w:val="28"/>
          <w:szCs w:val="28"/>
          <w:lang w:val="en-US"/>
        </w:rPr>
        <w:t> </w:t>
      </w:r>
      <w:r w:rsidRPr="00901F6F">
        <w:rPr>
          <w:rFonts w:ascii="Times New Roman" w:hAnsi="Times New Roman" w:cs="Times New Roman"/>
          <w:sz w:val="28"/>
          <w:szCs w:val="28"/>
        </w:rPr>
        <w:t>общеобразовательные организации, в которых открыты дошкольные группы.</w:t>
      </w:r>
    </w:p>
    <w:p w14:paraId="2C80AD7F"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 xml:space="preserve">Число воспитанников, посещающих негосударственные образовательные организации, составляет </w:t>
      </w:r>
      <w:r w:rsidRPr="00901F6F">
        <w:rPr>
          <w:rFonts w:ascii="Times New Roman" w:eastAsia="Times New Roman" w:hAnsi="Times New Roman" w:cs="Times New Roman"/>
          <w:sz w:val="28"/>
          <w:szCs w:val="28"/>
        </w:rPr>
        <w:t xml:space="preserve">2632 </w:t>
      </w:r>
      <w:r w:rsidRPr="00901F6F">
        <w:rPr>
          <w:rFonts w:ascii="Times New Roman" w:hAnsi="Times New Roman" w:cs="Times New Roman"/>
          <w:sz w:val="28"/>
          <w:szCs w:val="28"/>
        </w:rPr>
        <w:t>человека.</w:t>
      </w:r>
    </w:p>
    <w:p w14:paraId="5F8C9FC6"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В последние годы сеть негосударственных организаций, реализующих программы дошкольного образования, остается без изменений.</w:t>
      </w:r>
    </w:p>
    <w:p w14:paraId="30DA6970"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Одним из путей повышения уровня доступности дошкольного образования является поддержка и развитие негосударственного сектора дошкольного образования.</w:t>
      </w:r>
    </w:p>
    <w:p w14:paraId="460BC6DA" w14:textId="77777777" w:rsidR="003F4CFF" w:rsidRPr="00901F6F" w:rsidRDefault="003F4CFF" w:rsidP="003F4CFF">
      <w:pPr>
        <w:shd w:val="clear" w:color="auto" w:fill="FFFFFF" w:themeFill="background1"/>
        <w:autoSpaceDE w:val="0"/>
        <w:autoSpaceDN w:val="0"/>
        <w:adjustRightInd w:val="0"/>
        <w:ind w:firstLine="567"/>
        <w:jc w:val="both"/>
        <w:rPr>
          <w:rFonts w:ascii="Times New Roman" w:hAnsi="Times New Roman" w:cs="Times New Roman"/>
          <w:sz w:val="28"/>
          <w:szCs w:val="28"/>
        </w:rPr>
      </w:pPr>
      <w:r w:rsidRPr="00901F6F">
        <w:rPr>
          <w:rFonts w:ascii="Times New Roman" w:hAnsi="Times New Roman" w:cs="Times New Roman"/>
          <w:sz w:val="28"/>
          <w:szCs w:val="28"/>
        </w:rPr>
        <w:t>Возможные формы поддержки некоммерческих организаций органами государственной власти и органами местного самоуправления предусмотрены Федеральным законом от 12.01.1996 № 7-ФЗ «О некоммерческих организациях».</w:t>
      </w:r>
    </w:p>
    <w:p w14:paraId="4CD878E1"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 xml:space="preserve">Финансирование частных образовательных организаций осуществляется посредством предоставления субсидий из областного бюджета Новосибирской области на возмещение затрат, включающих расходы на оплату труда, </w:t>
      </w:r>
      <w:r w:rsidRPr="00901F6F">
        <w:rPr>
          <w:rFonts w:ascii="Times New Roman" w:hAnsi="Times New Roman" w:cs="Times New Roman"/>
          <w:sz w:val="28"/>
          <w:szCs w:val="28"/>
        </w:rPr>
        <w:lastRenderedPageBreak/>
        <w:t xml:space="preserve">приобретение учебников и учебных пособий, средств обучения, игр, игрушек (за исключением расходов на содержание зданий и оплату коммунальных услуг). </w:t>
      </w:r>
    </w:p>
    <w:p w14:paraId="27A227DB" w14:textId="77777777" w:rsidR="003F4CFF" w:rsidRPr="00901F6F" w:rsidRDefault="003F4CFF" w:rsidP="003F4CFF">
      <w:pPr>
        <w:shd w:val="clear" w:color="auto" w:fill="FFFFFF" w:themeFill="background1"/>
        <w:autoSpaceDE w:val="0"/>
        <w:autoSpaceDN w:val="0"/>
        <w:ind w:firstLine="567"/>
        <w:jc w:val="both"/>
        <w:rPr>
          <w:rFonts w:ascii="Times New Roman" w:hAnsi="Times New Roman"/>
          <w:sz w:val="28"/>
          <w:szCs w:val="28"/>
        </w:rPr>
      </w:pPr>
      <w:r w:rsidRPr="00901F6F">
        <w:rPr>
          <w:rFonts w:ascii="Times New Roman" w:hAnsi="Times New Roman"/>
          <w:sz w:val="28"/>
          <w:szCs w:val="28"/>
        </w:rPr>
        <w:t>На эти цели из бюджета Новосибирской области в 2019 году было направлено 102 100,2 тыс. рублей, на 2020 год запланировано 124 448,2 тыс. рублей.</w:t>
      </w:r>
    </w:p>
    <w:p w14:paraId="12DFC76A" w14:textId="77777777"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sidRPr="00F90B6B">
        <w:rPr>
          <w:rFonts w:ascii="Times New Roman" w:hAnsi="Times New Roman" w:cs="Times New Roman"/>
          <w:sz w:val="28"/>
          <w:szCs w:val="28"/>
        </w:rPr>
        <w:t xml:space="preserve">В Стратегии социально-экономического развития Новосибирской </w:t>
      </w:r>
      <w:r>
        <w:rPr>
          <w:rFonts w:ascii="Times New Roman" w:hAnsi="Times New Roman" w:cs="Times New Roman"/>
          <w:sz w:val="28"/>
          <w:szCs w:val="28"/>
        </w:rPr>
        <w:t>области на период до 2030 года,</w:t>
      </w:r>
      <w:r w:rsidRPr="00622CDC">
        <w:rPr>
          <w:rFonts w:ascii="Times New Roman" w:hAnsi="Times New Roman" w:cs="Times New Roman"/>
          <w:sz w:val="28"/>
          <w:szCs w:val="28"/>
        </w:rPr>
        <w:t xml:space="preserve"> </w:t>
      </w:r>
      <w:r w:rsidRPr="00F90B6B">
        <w:rPr>
          <w:rFonts w:ascii="Times New Roman" w:hAnsi="Times New Roman" w:cs="Times New Roman"/>
          <w:sz w:val="28"/>
          <w:szCs w:val="28"/>
        </w:rPr>
        <w:t>утвержденной постановлением Правительства Новосибирской области от 19.03.2019 №</w:t>
      </w:r>
      <w:r>
        <w:rPr>
          <w:rFonts w:ascii="Times New Roman" w:hAnsi="Times New Roman" w:cs="Times New Roman"/>
          <w:sz w:val="28"/>
          <w:szCs w:val="28"/>
        </w:rPr>
        <w:t> </w:t>
      </w:r>
      <w:r w:rsidRPr="00F90B6B">
        <w:rPr>
          <w:rFonts w:ascii="Times New Roman" w:hAnsi="Times New Roman" w:cs="Times New Roman"/>
          <w:sz w:val="28"/>
          <w:szCs w:val="28"/>
        </w:rPr>
        <w:t>105-п</w:t>
      </w:r>
      <w:r>
        <w:rPr>
          <w:rFonts w:ascii="Times New Roman" w:hAnsi="Times New Roman" w:cs="Times New Roman"/>
          <w:sz w:val="28"/>
          <w:szCs w:val="28"/>
        </w:rPr>
        <w:t xml:space="preserve"> «О Стратегии социально-экономического развития Новосибирской области на период до 2030 года» (далее – Стратегия</w:t>
      </w:r>
      <w:r w:rsidRPr="00F90B6B">
        <w:rPr>
          <w:rFonts w:ascii="Times New Roman" w:hAnsi="Times New Roman" w:cs="Times New Roman"/>
          <w:sz w:val="28"/>
          <w:szCs w:val="28"/>
        </w:rPr>
        <w:t xml:space="preserve"> социально-экономического развития Новосибирской области на период до 2030 года</w:t>
      </w:r>
      <w:r>
        <w:rPr>
          <w:rFonts w:ascii="Times New Roman" w:hAnsi="Times New Roman" w:cs="Times New Roman"/>
          <w:sz w:val="28"/>
          <w:szCs w:val="28"/>
        </w:rPr>
        <w:t xml:space="preserve">), </w:t>
      </w:r>
      <w:r w:rsidRPr="00F90B6B">
        <w:rPr>
          <w:rFonts w:ascii="Times New Roman" w:hAnsi="Times New Roman" w:cs="Times New Roman"/>
          <w:sz w:val="28"/>
          <w:szCs w:val="28"/>
        </w:rPr>
        <w:t>в рамках задачи по обеспечению доступности дошкольного образования на основе комплексного развития сети дошкольных образовательных организаций, в том числе за счет развития негосударственного сектора, предусмотрено:</w:t>
      </w:r>
    </w:p>
    <w:p w14:paraId="2DF1F298" w14:textId="77777777" w:rsidR="003F4CFF" w:rsidRPr="009B1F0D" w:rsidRDefault="003F4CFF" w:rsidP="003F4CFF">
      <w:pPr>
        <w:autoSpaceDE w:val="0"/>
        <w:autoSpaceDN w:val="0"/>
        <w:adjustRightInd w:val="0"/>
        <w:ind w:firstLine="567"/>
        <w:jc w:val="both"/>
        <w:rPr>
          <w:rFonts w:ascii="Times New Roman" w:hAnsi="Times New Roman" w:cs="Times New Roman"/>
          <w:sz w:val="28"/>
          <w:szCs w:val="28"/>
        </w:rPr>
      </w:pPr>
      <w:r w:rsidRPr="009B1F0D">
        <w:rPr>
          <w:rFonts w:ascii="Times New Roman" w:hAnsi="Times New Roman" w:cs="Times New Roman"/>
          <w:sz w:val="28"/>
          <w:szCs w:val="28"/>
        </w:rPr>
        <w:t>повышение уровня доступности дошкольного образования, в том числе за счет создания дополнительных мест;</w:t>
      </w:r>
    </w:p>
    <w:p w14:paraId="35F476D4" w14:textId="77777777" w:rsidR="003F4CFF" w:rsidRPr="009B1F0D" w:rsidRDefault="003F4CFF" w:rsidP="003F4CFF">
      <w:pPr>
        <w:autoSpaceDE w:val="0"/>
        <w:autoSpaceDN w:val="0"/>
        <w:adjustRightInd w:val="0"/>
        <w:ind w:firstLine="567"/>
        <w:jc w:val="both"/>
        <w:rPr>
          <w:rFonts w:ascii="Times New Roman" w:hAnsi="Times New Roman" w:cs="Times New Roman"/>
          <w:sz w:val="28"/>
          <w:szCs w:val="28"/>
        </w:rPr>
      </w:pPr>
      <w:r w:rsidRPr="009B1F0D">
        <w:rPr>
          <w:rFonts w:ascii="Times New Roman" w:hAnsi="Times New Roman" w:cs="Times New Roman"/>
          <w:sz w:val="28"/>
          <w:szCs w:val="28"/>
        </w:rPr>
        <w:t>развитие вариативных, альтернативных форм дошкольного образования, поддержка негосударственного сектора дошкольного образования;</w:t>
      </w:r>
    </w:p>
    <w:p w14:paraId="7E7F7309" w14:textId="77777777" w:rsidR="003F4CFF" w:rsidRPr="009B1F0D" w:rsidRDefault="003F4CFF" w:rsidP="003F4CFF">
      <w:pPr>
        <w:autoSpaceDE w:val="0"/>
        <w:autoSpaceDN w:val="0"/>
        <w:adjustRightInd w:val="0"/>
        <w:ind w:firstLine="567"/>
        <w:jc w:val="both"/>
        <w:rPr>
          <w:rFonts w:ascii="Times New Roman" w:hAnsi="Times New Roman" w:cs="Times New Roman"/>
          <w:sz w:val="28"/>
          <w:szCs w:val="28"/>
        </w:rPr>
      </w:pPr>
      <w:r w:rsidRPr="009B1F0D">
        <w:rPr>
          <w:rFonts w:ascii="Times New Roman" w:hAnsi="Times New Roman" w:cs="Times New Roman"/>
          <w:sz w:val="28"/>
          <w:szCs w:val="28"/>
        </w:rPr>
        <w:t>реализация федерального государственного образовательного стандарта дошкольного образования как средства повышения качества дошкольного образования;</w:t>
      </w:r>
    </w:p>
    <w:p w14:paraId="7A6D202B" w14:textId="77777777" w:rsidR="003F4CFF" w:rsidRPr="009B1F0D" w:rsidRDefault="003F4CFF" w:rsidP="003F4CFF">
      <w:pPr>
        <w:autoSpaceDE w:val="0"/>
        <w:autoSpaceDN w:val="0"/>
        <w:adjustRightInd w:val="0"/>
        <w:ind w:firstLine="567"/>
        <w:jc w:val="both"/>
        <w:rPr>
          <w:rFonts w:ascii="Times New Roman" w:hAnsi="Times New Roman" w:cs="Times New Roman"/>
          <w:sz w:val="28"/>
          <w:szCs w:val="28"/>
        </w:rPr>
      </w:pPr>
      <w:r w:rsidRPr="009B1F0D">
        <w:rPr>
          <w:rFonts w:ascii="Times New Roman" w:hAnsi="Times New Roman" w:cs="Times New Roman"/>
          <w:sz w:val="28"/>
          <w:szCs w:val="28"/>
        </w:rPr>
        <w:t>создание равных возможностей в системе дошкольного образования для разностороннего развития личности ребенка;</w:t>
      </w:r>
    </w:p>
    <w:p w14:paraId="47781439" w14:textId="77777777" w:rsidR="003F4CFF" w:rsidRDefault="003F4CFF" w:rsidP="003F4CFF">
      <w:pPr>
        <w:autoSpaceDE w:val="0"/>
        <w:autoSpaceDN w:val="0"/>
        <w:adjustRightInd w:val="0"/>
        <w:ind w:firstLine="567"/>
        <w:jc w:val="both"/>
        <w:rPr>
          <w:rFonts w:ascii="Times New Roman" w:hAnsi="Times New Roman" w:cs="Times New Roman"/>
          <w:sz w:val="28"/>
          <w:szCs w:val="28"/>
        </w:rPr>
      </w:pPr>
      <w:r w:rsidRPr="009B1F0D">
        <w:rPr>
          <w:rFonts w:ascii="Times New Roman" w:hAnsi="Times New Roman" w:cs="Times New Roman"/>
          <w:sz w:val="28"/>
          <w:szCs w:val="28"/>
        </w:rPr>
        <w:t>создание условий для раннего</w:t>
      </w:r>
      <w:r w:rsidRPr="00F90B6B">
        <w:rPr>
          <w:rFonts w:ascii="Times New Roman" w:hAnsi="Times New Roman" w:cs="Times New Roman"/>
          <w:sz w:val="28"/>
          <w:szCs w:val="28"/>
        </w:rPr>
        <w:t xml:space="preserve"> развития детей в возрасте до трех лет, реализация программы психолого-педагогической, методической и консультативной помощи родителям детей, полу</w:t>
      </w:r>
      <w:r>
        <w:rPr>
          <w:rFonts w:ascii="Times New Roman" w:hAnsi="Times New Roman" w:cs="Times New Roman"/>
          <w:sz w:val="28"/>
          <w:szCs w:val="28"/>
        </w:rPr>
        <w:t>чающих дошкольное образование в </w:t>
      </w:r>
      <w:r w:rsidRPr="00F90B6B">
        <w:rPr>
          <w:rFonts w:ascii="Times New Roman" w:hAnsi="Times New Roman" w:cs="Times New Roman"/>
          <w:sz w:val="28"/>
          <w:szCs w:val="28"/>
        </w:rPr>
        <w:t>семье.</w:t>
      </w:r>
    </w:p>
    <w:p w14:paraId="64AC9942" w14:textId="77777777" w:rsidR="003F4CFF" w:rsidRPr="00EC5135"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Pr>
          <w:rFonts w:ascii="Times New Roman" w:eastAsia="Times New Roman" w:hAnsi="Times New Roman" w:cs="Times New Roman"/>
          <w:sz w:val="28"/>
          <w:szCs w:val="28"/>
        </w:rPr>
        <w:t xml:space="preserve"> за 2019 год</w:t>
      </w:r>
      <w:r>
        <w:rPr>
          <w:rFonts w:ascii="Times New Roman" w:hAnsi="Times New Roman" w:cs="Times New Roman"/>
          <w:sz w:val="28"/>
          <w:szCs w:val="28"/>
        </w:rPr>
        <w:t xml:space="preserve"> о</w:t>
      </w:r>
      <w:r w:rsidRPr="00EC5135">
        <w:rPr>
          <w:rFonts w:ascii="Times New Roman" w:hAnsi="Times New Roman" w:cs="Times New Roman"/>
          <w:sz w:val="28"/>
          <w:szCs w:val="28"/>
        </w:rPr>
        <w:t>коло половины опрошенных субъектов предпринимательства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умеренную конкуренцию (55%), доля низких оценок уровня конкуренции на данном рынке (слабая конкуренц</w:t>
      </w:r>
      <w:r>
        <w:rPr>
          <w:rFonts w:ascii="Times New Roman" w:hAnsi="Times New Roman" w:cs="Times New Roman"/>
          <w:sz w:val="28"/>
          <w:szCs w:val="28"/>
        </w:rPr>
        <w:t>ия либо нет конкуренции) – 22%.</w:t>
      </w:r>
    </w:p>
    <w:p w14:paraId="4C806EEA"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Показатели существенных барьеров для ведения текущей деятельности и открытия нового бизнеса не превышают средних значений по всем рынкам. Основным барьером является сложность процедуры получения лицензий, средств государственной подде</w:t>
      </w:r>
      <w:r>
        <w:rPr>
          <w:rFonts w:ascii="Times New Roman" w:hAnsi="Times New Roman" w:cs="Times New Roman"/>
          <w:sz w:val="28"/>
          <w:szCs w:val="28"/>
        </w:rPr>
        <w:t xml:space="preserve">ржки, разрешений, согласований </w:t>
      </w:r>
      <w:r w:rsidRPr="00EC5135">
        <w:rPr>
          <w:rFonts w:ascii="Times New Roman" w:hAnsi="Times New Roman" w:cs="Times New Roman"/>
          <w:sz w:val="28"/>
          <w:szCs w:val="28"/>
        </w:rPr>
        <w:t>(отме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18%). </w:t>
      </w:r>
    </w:p>
    <w:p w14:paraId="762BDD19"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В оценке деятельности органов власти преобладает мнение, что органы власти помогают бизнесу своими действиями (47%). Негативные оценки деятельности органов власти ниже, чем по большинству других рынков. </w:t>
      </w:r>
    </w:p>
    <w:p w14:paraId="0BCDFCF9" w14:textId="77777777" w:rsidR="003F4CFF" w:rsidRPr="00254131" w:rsidRDefault="003F4CFF" w:rsidP="003F4CFF">
      <w:pPr>
        <w:ind w:firstLine="567"/>
        <w:jc w:val="both"/>
        <w:rPr>
          <w:rFonts w:ascii="Times New Roman" w:hAnsi="Times New Roman" w:cs="Times New Roman"/>
          <w:sz w:val="28"/>
          <w:szCs w:val="28"/>
        </w:rPr>
      </w:pPr>
      <w:r w:rsidRPr="00254131">
        <w:rPr>
          <w:rFonts w:ascii="Times New Roman" w:eastAsia="Times New Roman" w:hAnsi="Times New Roman" w:cs="Times New Roman"/>
          <w:sz w:val="28"/>
          <w:szCs w:val="28"/>
        </w:rPr>
        <w:t xml:space="preserve">Наблюдается тенденция к увеличению количества организаций в течение последних трех лет (отмечают 40% потребителей), хотя по-прежнему отмечают их нехватку в настоящее время 38% потребителей. Удовлетворенность потребителей выбором услуг, их качеством и стоимостью находится на среднем уровне (60%, 63% и 53% соответственно). Рост уровня цен за последние 3 года (отмечают 74% </w:t>
      </w:r>
      <w:r w:rsidRPr="00254131">
        <w:rPr>
          <w:rFonts w:ascii="Times New Roman" w:eastAsia="Times New Roman" w:hAnsi="Times New Roman" w:cs="Times New Roman"/>
          <w:sz w:val="28"/>
          <w:szCs w:val="28"/>
        </w:rPr>
        <w:lastRenderedPageBreak/>
        <w:t xml:space="preserve">потребителей) не сопровождается повышением качества услуг (повышение качества отмечают 18% потребителей, снижение – 21%). </w:t>
      </w:r>
    </w:p>
    <w:p w14:paraId="786E9DB7"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услуг общего образования</w:t>
      </w:r>
    </w:p>
    <w:p w14:paraId="46A57DB3" w14:textId="77777777" w:rsidR="003F4CFF" w:rsidRPr="00901F6F" w:rsidRDefault="003F4CFF" w:rsidP="003F4CFF">
      <w:pPr>
        <w:shd w:val="clear" w:color="auto" w:fill="FFFFFF" w:themeFill="background1"/>
        <w:ind w:firstLine="567"/>
        <w:jc w:val="both"/>
        <w:rPr>
          <w:rFonts w:ascii="Times New Roman" w:hAnsi="Times New Roman" w:cs="Times New Roman"/>
          <w:bCs/>
          <w:sz w:val="28"/>
          <w:szCs w:val="28"/>
          <w:lang w:eastAsia="en-US"/>
        </w:rPr>
      </w:pPr>
      <w:r w:rsidRPr="00901F6F">
        <w:rPr>
          <w:rFonts w:ascii="Times New Roman" w:hAnsi="Times New Roman" w:cs="Times New Roman"/>
          <w:bCs/>
          <w:sz w:val="28"/>
          <w:szCs w:val="28"/>
          <w:lang w:eastAsia="en-US"/>
        </w:rPr>
        <w:t xml:space="preserve">В системе образования особая роль принадлежит общему образованию. Это фундамент дальнейшего профессионального образования. </w:t>
      </w:r>
    </w:p>
    <w:p w14:paraId="55D41E8F" w14:textId="77777777" w:rsidR="003F4CFF" w:rsidRPr="00901F6F" w:rsidRDefault="003F4CFF" w:rsidP="003F4CFF">
      <w:pPr>
        <w:shd w:val="clear" w:color="auto" w:fill="FFFFFF" w:themeFill="background1"/>
        <w:ind w:firstLine="567"/>
        <w:jc w:val="both"/>
        <w:rPr>
          <w:rFonts w:ascii="Times New Roman" w:hAnsi="Times New Roman" w:cs="Times New Roman"/>
          <w:bCs/>
          <w:sz w:val="28"/>
          <w:szCs w:val="28"/>
          <w:lang w:eastAsia="en-US"/>
        </w:rPr>
      </w:pPr>
      <w:r w:rsidRPr="00901F6F">
        <w:rPr>
          <w:rFonts w:ascii="Times New Roman" w:hAnsi="Times New Roman" w:cs="Times New Roman"/>
          <w:bCs/>
          <w:sz w:val="28"/>
          <w:szCs w:val="28"/>
          <w:lang w:eastAsia="en-US"/>
        </w:rPr>
        <w:t>Из общего объема средств, запланированных на образование в консолидированном бюджете Новосибирской области на 2019 год (67 318 526,0 тыс. рублей), на долю общего образования приходится 50,0%.</w:t>
      </w:r>
    </w:p>
    <w:p w14:paraId="45A52852" w14:textId="77777777" w:rsidR="003F4CFF" w:rsidRPr="00901F6F" w:rsidRDefault="003F4CFF" w:rsidP="003F4CFF">
      <w:pPr>
        <w:shd w:val="clear" w:color="auto" w:fill="FFFFFF" w:themeFill="background1"/>
        <w:ind w:firstLine="567"/>
        <w:jc w:val="both"/>
        <w:rPr>
          <w:rFonts w:ascii="Times New Roman" w:hAnsi="Times New Roman" w:cs="Times New Roman"/>
          <w:bCs/>
          <w:sz w:val="28"/>
          <w:szCs w:val="28"/>
          <w:lang w:eastAsia="en-US"/>
        </w:rPr>
      </w:pPr>
      <w:r w:rsidRPr="00901F6F">
        <w:rPr>
          <w:rFonts w:ascii="Times New Roman" w:eastAsiaTheme="minorHAnsi" w:hAnsi="Times New Roman" w:cs="Times New Roman"/>
          <w:sz w:val="28"/>
          <w:szCs w:val="28"/>
          <w:lang w:eastAsia="en-US"/>
        </w:rPr>
        <w:t xml:space="preserve">В Новосибирской области образовательные программы начального общего, основного общего, среднего общего образования реализуют </w:t>
      </w:r>
      <w:r w:rsidRPr="00901F6F">
        <w:rPr>
          <w:rFonts w:ascii="Times New Roman" w:hAnsi="Times New Roman" w:cs="Times New Roman"/>
          <w:bCs/>
          <w:sz w:val="28"/>
          <w:szCs w:val="28"/>
          <w:lang w:eastAsia="en-US"/>
        </w:rPr>
        <w:t>978 общеобразовательных организаций для 336,4 тыс. детей, в том числе:</w:t>
      </w:r>
    </w:p>
    <w:p w14:paraId="6C08997E" w14:textId="77777777" w:rsidR="003F4CFF" w:rsidRPr="00901F6F" w:rsidRDefault="003F4CFF" w:rsidP="003F4CFF">
      <w:pPr>
        <w:shd w:val="clear" w:color="auto" w:fill="FFFFFF" w:themeFill="background1"/>
        <w:ind w:firstLine="567"/>
        <w:jc w:val="both"/>
        <w:rPr>
          <w:rFonts w:ascii="Times New Roman" w:hAnsi="Times New Roman" w:cs="Times New Roman"/>
          <w:bCs/>
          <w:sz w:val="28"/>
          <w:szCs w:val="28"/>
          <w:lang w:eastAsia="en-US"/>
        </w:rPr>
      </w:pPr>
      <w:r w:rsidRPr="00901F6F">
        <w:rPr>
          <w:rFonts w:ascii="Times New Roman" w:hAnsi="Times New Roman" w:cs="Times New Roman"/>
          <w:bCs/>
          <w:sz w:val="28"/>
          <w:szCs w:val="28"/>
          <w:lang w:eastAsia="en-US"/>
        </w:rPr>
        <w:t xml:space="preserve">в 29 организациях, осуществляющих образовательную деятельность по адаптированным основным общеобразовательным программам, обучается 4014 учащихся. </w:t>
      </w:r>
    </w:p>
    <w:p w14:paraId="20F57076" w14:textId="2336A543" w:rsidR="003F4CFF" w:rsidRPr="00901F6F" w:rsidRDefault="003F4CFF" w:rsidP="003F4CFF">
      <w:pPr>
        <w:shd w:val="clear" w:color="auto" w:fill="FFFFFF" w:themeFill="background1"/>
        <w:ind w:firstLine="567"/>
        <w:jc w:val="both"/>
        <w:rPr>
          <w:rFonts w:ascii="Times New Roman" w:hAnsi="Times New Roman" w:cs="Times New Roman"/>
          <w:bCs/>
          <w:sz w:val="28"/>
          <w:szCs w:val="28"/>
          <w:lang w:eastAsia="en-US"/>
        </w:rPr>
      </w:pPr>
      <w:r w:rsidRPr="00901F6F">
        <w:rPr>
          <w:rFonts w:ascii="Times New Roman" w:hAnsi="Times New Roman" w:cs="Times New Roman"/>
          <w:bCs/>
          <w:sz w:val="28"/>
          <w:szCs w:val="28"/>
          <w:lang w:eastAsia="en-US"/>
        </w:rPr>
        <w:t>в 74 организациях с углубленным изучением отдельных предметов, лицеях, гимназиях обучается 76 517 детей</w:t>
      </w:r>
      <w:r w:rsidR="00BF0E14">
        <w:rPr>
          <w:rFonts w:ascii="Times New Roman" w:hAnsi="Times New Roman" w:cs="Times New Roman"/>
          <w:bCs/>
          <w:sz w:val="28"/>
          <w:szCs w:val="28"/>
          <w:lang w:eastAsia="en-US"/>
        </w:rPr>
        <w:t>.</w:t>
      </w:r>
      <w:r w:rsidRPr="00901F6F">
        <w:rPr>
          <w:rFonts w:ascii="Times New Roman" w:hAnsi="Times New Roman" w:cs="Times New Roman"/>
          <w:bCs/>
          <w:sz w:val="28"/>
          <w:szCs w:val="28"/>
          <w:lang w:eastAsia="en-US"/>
        </w:rPr>
        <w:t xml:space="preserve"> </w:t>
      </w:r>
    </w:p>
    <w:p w14:paraId="02E811BF" w14:textId="77777777" w:rsidR="003F4CFF" w:rsidRPr="00901F6F" w:rsidRDefault="003F4CFF" w:rsidP="003F4CFF">
      <w:pPr>
        <w:shd w:val="clear" w:color="auto" w:fill="FFFFFF" w:themeFill="background1"/>
        <w:ind w:firstLine="567"/>
        <w:jc w:val="both"/>
        <w:rPr>
          <w:rFonts w:ascii="Times New Roman" w:hAnsi="Times New Roman" w:cs="Times New Roman"/>
          <w:bCs/>
          <w:sz w:val="28"/>
          <w:szCs w:val="28"/>
          <w:lang w:eastAsia="en-US"/>
        </w:rPr>
      </w:pPr>
      <w:r w:rsidRPr="00901F6F">
        <w:rPr>
          <w:rFonts w:ascii="Times New Roman" w:eastAsiaTheme="minorHAnsi" w:hAnsi="Times New Roman" w:cs="Times New Roman"/>
          <w:sz w:val="28"/>
          <w:szCs w:val="28"/>
          <w:lang w:eastAsia="en-US"/>
        </w:rPr>
        <w:t>Новосибирская область входит в число регионов, лидирующих по приросту численности учеников за последние годы (8-е место среди субъектов Российской Федерации). За последние 3 года численность обучающихся выросла на 38 тыс. детей (на 12,6%).</w:t>
      </w:r>
    </w:p>
    <w:p w14:paraId="1BFD8CAD" w14:textId="77777777" w:rsidR="003F4CFF" w:rsidRPr="00901F6F" w:rsidRDefault="003F4CFF" w:rsidP="003F4CFF">
      <w:pPr>
        <w:shd w:val="clear" w:color="auto" w:fill="FFFFFF" w:themeFill="background1"/>
        <w:ind w:firstLine="567"/>
        <w:jc w:val="both"/>
        <w:rPr>
          <w:rFonts w:ascii="Times New Roman" w:hAnsi="Times New Roman" w:cs="Times New Roman"/>
          <w:bCs/>
          <w:sz w:val="28"/>
          <w:szCs w:val="28"/>
          <w:lang w:eastAsia="en-US"/>
        </w:rPr>
      </w:pPr>
      <w:r w:rsidRPr="00901F6F">
        <w:rPr>
          <w:rFonts w:ascii="Times New Roman" w:eastAsiaTheme="minorHAnsi" w:hAnsi="Times New Roman" w:cs="Times New Roman"/>
          <w:sz w:val="28"/>
          <w:szCs w:val="28"/>
          <w:lang w:eastAsia="en-US"/>
        </w:rPr>
        <w:t xml:space="preserve">Количество негосударственных общеобразовательных организаций составляет 17 единиц. Число обучающихся в негосударственных образовательных организациях – </w:t>
      </w:r>
      <w:r w:rsidRPr="00901F6F">
        <w:rPr>
          <w:rFonts w:ascii="Times New Roman" w:eastAsia="Times New Roman" w:hAnsi="Times New Roman" w:cs="Times New Roman"/>
          <w:sz w:val="28"/>
          <w:szCs w:val="28"/>
        </w:rPr>
        <w:t>1902</w:t>
      </w:r>
      <w:r w:rsidRPr="00901F6F">
        <w:rPr>
          <w:rFonts w:ascii="Times New Roman" w:eastAsiaTheme="minorHAnsi" w:hAnsi="Times New Roman" w:cs="Times New Roman"/>
          <w:sz w:val="28"/>
          <w:szCs w:val="28"/>
          <w:lang w:eastAsia="en-US"/>
        </w:rPr>
        <w:t xml:space="preserve"> человека</w:t>
      </w:r>
      <w:r w:rsidRPr="00901F6F">
        <w:rPr>
          <w:rFonts w:ascii="Times New Roman" w:hAnsi="Times New Roman" w:cs="Times New Roman"/>
          <w:bCs/>
          <w:sz w:val="28"/>
          <w:szCs w:val="28"/>
          <w:lang w:eastAsia="en-US"/>
        </w:rPr>
        <w:t xml:space="preserve"> (в 2018 году –1870).</w:t>
      </w:r>
    </w:p>
    <w:p w14:paraId="690A9CD8"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В последние годы сеть негосударственных организаций, реализующих программы начального общего, основного общего, среднего общего образования, остается без изменений.</w:t>
      </w:r>
    </w:p>
    <w:p w14:paraId="572FECB3"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Спрос на услуги в частных организациях в сфере общего образования ориентирован на получение услуг, обеспечивающих индивидуальный подход в обучении и учитывающих индивидуальные потребности ребенка.</w:t>
      </w:r>
    </w:p>
    <w:p w14:paraId="64986DE2"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 xml:space="preserve">Финансирование частных образовательных организаций осуществляется посредством предоставления субсидий из областного бюджета Новосибирской области на возмещение затрат, включающих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w:t>
      </w:r>
    </w:p>
    <w:p w14:paraId="46BC75A8" w14:textId="77777777" w:rsidR="003F4CFF" w:rsidRPr="00901F6F" w:rsidRDefault="003F4CFF" w:rsidP="003F4CFF">
      <w:pPr>
        <w:shd w:val="clear" w:color="auto" w:fill="FFFFFF" w:themeFill="background1"/>
        <w:autoSpaceDE w:val="0"/>
        <w:autoSpaceDN w:val="0"/>
        <w:ind w:firstLine="567"/>
        <w:jc w:val="both"/>
        <w:rPr>
          <w:rFonts w:ascii="Times New Roman" w:eastAsiaTheme="minorHAnsi" w:hAnsi="Times New Roman" w:cs="Times New Roman"/>
          <w:sz w:val="28"/>
          <w:szCs w:val="28"/>
        </w:rPr>
      </w:pPr>
      <w:r w:rsidRPr="00901F6F">
        <w:rPr>
          <w:rFonts w:ascii="Times New Roman" w:hAnsi="Times New Roman"/>
          <w:sz w:val="28"/>
          <w:szCs w:val="28"/>
        </w:rPr>
        <w:t>На эти цели из бюджета Новосибирской области в 2019 году направлено 97 434,5 тыс. рублей, в 2020 году запланировано 120 935,4 тыс. рублей.</w:t>
      </w:r>
    </w:p>
    <w:p w14:paraId="46FA7FDA" w14:textId="77777777" w:rsidR="003F4CFF" w:rsidRPr="00EC5135"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Pr>
          <w:rFonts w:ascii="Times New Roman" w:eastAsia="Times New Roman" w:hAnsi="Times New Roman" w:cs="Times New Roman"/>
          <w:sz w:val="28"/>
          <w:szCs w:val="28"/>
        </w:rPr>
        <w:t xml:space="preserve"> за 2019 год</w:t>
      </w:r>
      <w:r w:rsidRPr="00EC5135">
        <w:rPr>
          <w:rFonts w:ascii="Times New Roman" w:hAnsi="Times New Roman" w:cs="Times New Roman"/>
          <w:sz w:val="28"/>
          <w:szCs w:val="28"/>
        </w:rPr>
        <w:t xml:space="preserve"> </w:t>
      </w:r>
      <w:r>
        <w:rPr>
          <w:rFonts w:ascii="Times New Roman" w:hAnsi="Times New Roman" w:cs="Times New Roman"/>
          <w:sz w:val="28"/>
          <w:szCs w:val="28"/>
        </w:rPr>
        <w:t>о</w:t>
      </w:r>
      <w:r w:rsidRPr="00EC5135">
        <w:rPr>
          <w:rFonts w:ascii="Times New Roman" w:hAnsi="Times New Roman" w:cs="Times New Roman"/>
          <w:sz w:val="28"/>
          <w:szCs w:val="28"/>
        </w:rPr>
        <w:t>коло половины опрошенных субъектов предпринимательства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умеренную конкуренцию (46%), доля низких оценок уровня конкуренции на данном рынке (слабая конкуренция либо нет конкуренции) – 38%. </w:t>
      </w:r>
    </w:p>
    <w:p w14:paraId="1307B586"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Наличие непреодолимых административных барьеров отмечают 10% субъектов предпринимательства. Основным барьером для ведения текущей деятельности и открытия нового бизнеса является нестабильность </w:t>
      </w:r>
      <w:r w:rsidRPr="00EC5135">
        <w:rPr>
          <w:rFonts w:ascii="Times New Roman" w:hAnsi="Times New Roman" w:cs="Times New Roman"/>
          <w:sz w:val="28"/>
          <w:szCs w:val="28"/>
        </w:rPr>
        <w:lastRenderedPageBreak/>
        <w:t xml:space="preserve">законодательства, регулирующего предпринимательскую деятельность (отмечают 34%). </w:t>
      </w:r>
    </w:p>
    <w:p w14:paraId="29CB9BAA"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В оценке деятельности органов власти преобладает мнение, что органы власти помогают б</w:t>
      </w:r>
      <w:r>
        <w:rPr>
          <w:rFonts w:ascii="Times New Roman" w:hAnsi="Times New Roman" w:cs="Times New Roman"/>
          <w:sz w:val="28"/>
          <w:szCs w:val="28"/>
        </w:rPr>
        <w:t>изнесу своими действиями (50%).</w:t>
      </w:r>
    </w:p>
    <w:p w14:paraId="031F9543" w14:textId="77777777" w:rsidR="003F4CFF" w:rsidRPr="00127681" w:rsidRDefault="003F4CFF" w:rsidP="003F4CFF">
      <w:pPr>
        <w:ind w:firstLine="567"/>
        <w:jc w:val="both"/>
        <w:rPr>
          <w:rFonts w:ascii="Times New Roman" w:hAnsi="Times New Roman" w:cs="Times New Roman"/>
          <w:sz w:val="28"/>
          <w:szCs w:val="28"/>
        </w:rPr>
      </w:pPr>
      <w:r w:rsidRPr="00127681">
        <w:rPr>
          <w:rFonts w:ascii="Times New Roman" w:hAnsi="Times New Roman" w:cs="Times New Roman"/>
          <w:sz w:val="28"/>
          <w:szCs w:val="28"/>
        </w:rPr>
        <w:t xml:space="preserve">Количество организаций на рынке оценивается как достаточное (так считают 66% потребителей). </w:t>
      </w:r>
      <w:r w:rsidRPr="00127681">
        <w:rPr>
          <w:rFonts w:ascii="Times New Roman" w:eastAsia="Times New Roman" w:hAnsi="Times New Roman" w:cs="Times New Roman"/>
          <w:sz w:val="28"/>
          <w:szCs w:val="28"/>
        </w:rPr>
        <w:t>Удовлетворенность потребителей выбором услуг, их качеством и стоимостью находится на среднем уровне (57%, 54% и 55% соответственно).</w:t>
      </w:r>
      <w:r w:rsidRPr="00127681">
        <w:rPr>
          <w:rFonts w:ascii="Times New Roman" w:hAnsi="Times New Roman" w:cs="Times New Roman"/>
          <w:sz w:val="28"/>
          <w:szCs w:val="28"/>
        </w:rPr>
        <w:t xml:space="preserve"> Рынок является стабильным, без выраженной положительной динамики. Рост цен за последние 3 года отмечают 63% потребителей (меньше, чем на большинстве исследуемых рынков), при этом более распространено мнение об ухудшении, чем об улучшении качества услуг (25% и 16% соответственно). </w:t>
      </w:r>
    </w:p>
    <w:p w14:paraId="6DADF045"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w:t>
      </w:r>
      <w:r w:rsidRPr="00AA43AA">
        <w:rPr>
          <w:rFonts w:ascii="Times New Roman" w:hAnsi="Times New Roman"/>
          <w:b/>
        </w:rPr>
        <w:t>ынок услуг среднего профессионального образования</w:t>
      </w:r>
    </w:p>
    <w:p w14:paraId="44E78B78"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Система среднего профессионального образования Новосибирской области нацелена на обеспечение экономики Новосибирской области квалифицированными рабочими кадрами и специалистами среднего звена в соответствии с текущими и перспективными потребностями работодателей.</w:t>
      </w:r>
    </w:p>
    <w:p w14:paraId="01DE4381" w14:textId="77777777" w:rsidR="003F4CFF" w:rsidRPr="00901F6F" w:rsidRDefault="003F4CFF" w:rsidP="003F4CFF">
      <w:pPr>
        <w:shd w:val="clear" w:color="auto" w:fill="FFFFFF" w:themeFill="background1"/>
        <w:autoSpaceDE w:val="0"/>
        <w:autoSpaceDN w:val="0"/>
        <w:adjustRightInd w:val="0"/>
        <w:ind w:firstLine="567"/>
        <w:contextualSpacing/>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В 2019 году в Новосибирской области осуществляли образовательную деятельность по программам среднего профессионального образован</w:t>
      </w:r>
      <w:r>
        <w:rPr>
          <w:rFonts w:ascii="Times New Roman" w:eastAsia="Times New Roman" w:hAnsi="Times New Roman" w:cs="Times New Roman"/>
          <w:sz w:val="28"/>
          <w:szCs w:val="28"/>
          <w:lang w:eastAsia="en-US"/>
        </w:rPr>
        <w:t>ия 82 </w:t>
      </w:r>
      <w:r w:rsidRPr="00901F6F">
        <w:rPr>
          <w:rFonts w:ascii="Times New Roman" w:eastAsia="Times New Roman" w:hAnsi="Times New Roman" w:cs="Times New Roman"/>
          <w:sz w:val="28"/>
          <w:szCs w:val="28"/>
          <w:lang w:eastAsia="en-US"/>
        </w:rPr>
        <w:t>образовательные организации (далее – образовательные организации), из них:</w:t>
      </w:r>
    </w:p>
    <w:p w14:paraId="46D05539" w14:textId="77777777" w:rsidR="003F4CFF" w:rsidRPr="00901F6F" w:rsidRDefault="003F4CFF" w:rsidP="003F4CFF">
      <w:pPr>
        <w:shd w:val="clear" w:color="auto" w:fill="FFFFFF" w:themeFill="background1"/>
        <w:autoSpaceDE w:val="0"/>
        <w:autoSpaceDN w:val="0"/>
        <w:adjustRightInd w:val="0"/>
        <w:ind w:firstLine="567"/>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65 </w:t>
      </w:r>
      <w:r w:rsidRPr="00901F6F">
        <w:rPr>
          <w:rFonts w:ascii="Times New Roman" w:eastAsia="Times New Roman" w:hAnsi="Times New Roman" w:cs="Times New Roman"/>
          <w:sz w:val="28"/>
          <w:szCs w:val="28"/>
          <w:lang w:eastAsia="en-US"/>
        </w:rPr>
        <w:t>образовательных организаций, подведомственных исполнительным органам государственной власти Новосибирской области (министерство образования Новосибирской области, министерство здравоохранения Новосибирской области, министерство культуры Новосибирской области, министерство физической культуры и спорта Новосибирской области);</w:t>
      </w:r>
    </w:p>
    <w:p w14:paraId="41624FBD" w14:textId="77777777" w:rsidR="003F4CFF" w:rsidRPr="00901F6F" w:rsidRDefault="003F4CFF" w:rsidP="003F4CFF">
      <w:pPr>
        <w:shd w:val="clear" w:color="auto" w:fill="FFFFFF" w:themeFill="background1"/>
        <w:autoSpaceDE w:val="0"/>
        <w:autoSpaceDN w:val="0"/>
        <w:adjustRightInd w:val="0"/>
        <w:ind w:firstLine="567"/>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13 </w:t>
      </w:r>
      <w:r w:rsidRPr="00901F6F">
        <w:rPr>
          <w:rFonts w:ascii="Times New Roman" w:eastAsia="Times New Roman" w:hAnsi="Times New Roman" w:cs="Times New Roman"/>
          <w:sz w:val="28"/>
          <w:szCs w:val="28"/>
          <w:lang w:eastAsia="en-US"/>
        </w:rPr>
        <w:t>федеральных образовательных организаций, включая образовательные организации высшего образования, реализующие программы подготовки специалистов среднего звена;</w:t>
      </w:r>
    </w:p>
    <w:p w14:paraId="7399E2F1" w14:textId="77777777" w:rsidR="003F4CFF" w:rsidRPr="00901F6F" w:rsidRDefault="003F4CFF" w:rsidP="003F4CFF">
      <w:pPr>
        <w:shd w:val="clear" w:color="auto" w:fill="FFFFFF" w:themeFill="background1"/>
        <w:autoSpaceDE w:val="0"/>
        <w:autoSpaceDN w:val="0"/>
        <w:adjustRightInd w:val="0"/>
        <w:ind w:firstLine="567"/>
        <w:contextualSpacing/>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4 негосударственные (частные) образовательные организации.</w:t>
      </w:r>
    </w:p>
    <w:p w14:paraId="71A43D38" w14:textId="77777777" w:rsidR="003F4CFF" w:rsidRPr="00901F6F" w:rsidRDefault="003F4CFF" w:rsidP="003F4CFF">
      <w:pPr>
        <w:shd w:val="clear" w:color="auto" w:fill="FFFFFF" w:themeFill="background1"/>
        <w:autoSpaceDE w:val="0"/>
        <w:autoSpaceDN w:val="0"/>
        <w:adjustRightInd w:val="0"/>
        <w:ind w:firstLine="567"/>
        <w:contextualSpacing/>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Численность обучающихся по программам среднего профессионального образования в образовательных организациях, находящихся в Новосибирской области, включая образовательные организации высшего образования, реализующие программы подготовки специалистов среднего звена, по состоянию на 01.01.2019 составляет 54,6 тыс. человек</w:t>
      </w:r>
      <w:r w:rsidR="003821FA">
        <w:rPr>
          <w:rFonts w:ascii="Times New Roman" w:eastAsia="Times New Roman" w:hAnsi="Times New Roman" w:cs="Times New Roman"/>
          <w:sz w:val="28"/>
          <w:szCs w:val="28"/>
          <w:lang w:eastAsia="en-US"/>
        </w:rPr>
        <w:t>.</w:t>
      </w:r>
      <w:r w:rsidRPr="00901F6F">
        <w:rPr>
          <w:rFonts w:ascii="Times New Roman" w:eastAsia="Times New Roman" w:hAnsi="Times New Roman" w:cs="Times New Roman"/>
          <w:sz w:val="28"/>
          <w:szCs w:val="28"/>
          <w:lang w:eastAsia="en-US"/>
        </w:rPr>
        <w:t xml:space="preserve"> </w:t>
      </w:r>
    </w:p>
    <w:p w14:paraId="44CD8F58" w14:textId="026ED0C3" w:rsidR="003F4CFF" w:rsidRPr="00901F6F" w:rsidRDefault="003F4CFF" w:rsidP="003F4CFF">
      <w:pPr>
        <w:shd w:val="clear" w:color="auto" w:fill="FFFFFF" w:themeFill="background1"/>
        <w:autoSpaceDE w:val="0"/>
        <w:autoSpaceDN w:val="0"/>
        <w:adjustRightInd w:val="0"/>
        <w:ind w:firstLine="567"/>
        <w:contextualSpacing/>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По данным Федеральной службы государственной статистики по Новосибирской области доля обучающихся в</w:t>
      </w:r>
      <w:r w:rsidR="00671F4E">
        <w:rPr>
          <w:rFonts w:ascii="Times New Roman" w:eastAsia="Times New Roman" w:hAnsi="Times New Roman" w:cs="Times New Roman"/>
          <w:sz w:val="28"/>
          <w:szCs w:val="28"/>
          <w:lang w:eastAsia="en-US"/>
        </w:rPr>
        <w:t xml:space="preserve"> </w:t>
      </w:r>
      <w:r w:rsidRPr="00901F6F">
        <w:rPr>
          <w:rFonts w:ascii="Times New Roman" w:eastAsia="Times New Roman" w:hAnsi="Times New Roman" w:cs="Times New Roman"/>
          <w:sz w:val="28"/>
          <w:szCs w:val="28"/>
          <w:lang w:eastAsia="en-US"/>
        </w:rPr>
        <w:t>частных образовательных организациях в общей численности обучающихся в образовательных организациях составила:</w:t>
      </w:r>
    </w:p>
    <w:p w14:paraId="1D010281" w14:textId="77777777" w:rsidR="003F4CFF" w:rsidRPr="00901F6F" w:rsidRDefault="003F4CFF" w:rsidP="003F4CFF">
      <w:pPr>
        <w:shd w:val="clear" w:color="auto" w:fill="FFFFFF" w:themeFill="background1"/>
        <w:autoSpaceDE w:val="0"/>
        <w:autoSpaceDN w:val="0"/>
        <w:adjustRightInd w:val="0"/>
        <w:ind w:firstLine="567"/>
        <w:contextualSpacing/>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в 2015/2016 учебном году – 9,5%;</w:t>
      </w:r>
    </w:p>
    <w:p w14:paraId="4AC9D90B" w14:textId="77777777" w:rsidR="003F4CFF" w:rsidRPr="00901F6F" w:rsidRDefault="003F4CFF" w:rsidP="003F4CFF">
      <w:pPr>
        <w:shd w:val="clear" w:color="auto" w:fill="FFFFFF" w:themeFill="background1"/>
        <w:autoSpaceDE w:val="0"/>
        <w:autoSpaceDN w:val="0"/>
        <w:adjustRightInd w:val="0"/>
        <w:ind w:firstLine="567"/>
        <w:contextualSpacing/>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в 2016/2017 учебном году – 9,7%;</w:t>
      </w:r>
    </w:p>
    <w:p w14:paraId="3C984E18" w14:textId="77777777" w:rsidR="003F4CFF" w:rsidRPr="00901F6F" w:rsidRDefault="003F4CFF" w:rsidP="003F4CFF">
      <w:pPr>
        <w:shd w:val="clear" w:color="auto" w:fill="FFFFFF" w:themeFill="background1"/>
        <w:autoSpaceDE w:val="0"/>
        <w:autoSpaceDN w:val="0"/>
        <w:adjustRightInd w:val="0"/>
        <w:ind w:firstLine="567"/>
        <w:contextualSpacing/>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в 2017/2018 учебном году – 10,7%;</w:t>
      </w:r>
    </w:p>
    <w:p w14:paraId="39F8B30E" w14:textId="77777777" w:rsidR="003F4CFF" w:rsidRPr="00901F6F" w:rsidRDefault="003F4CFF" w:rsidP="003F4CFF">
      <w:pPr>
        <w:shd w:val="clear" w:color="auto" w:fill="FFFFFF" w:themeFill="background1"/>
        <w:autoSpaceDE w:val="0"/>
        <w:autoSpaceDN w:val="0"/>
        <w:adjustRightInd w:val="0"/>
        <w:ind w:firstLine="567"/>
        <w:contextualSpacing/>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в 2018/2019 учебном году – 12%.</w:t>
      </w:r>
    </w:p>
    <w:p w14:paraId="14F9ECBE"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 xml:space="preserve">Наиболее значимым результатом развития системы среднего профессионального образования в 2019 году стало включение в реализацию национального проекта «Образование». </w:t>
      </w:r>
    </w:p>
    <w:p w14:paraId="52FBE188"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lastRenderedPageBreak/>
        <w:t>В рамках регионального проекта «Молодые профессионалы (Повышение конкурентоспособности профессионального образования)» в 2019 году реализованы следующие мероприятия:</w:t>
      </w:r>
    </w:p>
    <w:p w14:paraId="2407F434" w14:textId="704B7F03"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создан</w:t>
      </w:r>
      <w:r w:rsidR="00671F4E">
        <w:rPr>
          <w:rFonts w:ascii="Times New Roman" w:eastAsia="Times New Roman" w:hAnsi="Times New Roman" w:cs="Times New Roman"/>
          <w:sz w:val="28"/>
          <w:szCs w:val="28"/>
          <w:lang w:eastAsia="en-US"/>
        </w:rPr>
        <w:t>о</w:t>
      </w:r>
      <w:r>
        <w:rPr>
          <w:rFonts w:ascii="Times New Roman" w:eastAsia="Times New Roman" w:hAnsi="Times New Roman" w:cs="Times New Roman"/>
          <w:sz w:val="28"/>
          <w:szCs w:val="28"/>
          <w:lang w:eastAsia="en-US"/>
        </w:rPr>
        <w:t xml:space="preserve"> 10 </w:t>
      </w:r>
      <w:r w:rsidRPr="00901F6F">
        <w:rPr>
          <w:rFonts w:ascii="Times New Roman" w:eastAsia="Times New Roman" w:hAnsi="Times New Roman" w:cs="Times New Roman"/>
          <w:sz w:val="28"/>
          <w:szCs w:val="28"/>
          <w:lang w:eastAsia="en-US"/>
        </w:rPr>
        <w:t>мастерских, оснащенных современной материально-технической базой по одной из компетенций;</w:t>
      </w:r>
    </w:p>
    <w:p w14:paraId="6030218A"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организован и проведен демонстрационный экзамен по стандартам «Ворлдскиллс»;</w:t>
      </w:r>
    </w:p>
    <w:p w14:paraId="3183A33E"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принято участие в конкурсе Минпросвещения России на предоставление субсидий из федерального бюджета на создание центров опережающей профессиональной подготовки;</w:t>
      </w:r>
    </w:p>
    <w:p w14:paraId="221A61E2"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организовано повышение квалификации преподавателей и мастеров производственного обучения по программам, основанным на опыте Союза «Молодые профессионалы (Ворлдскиллс Россия)».</w:t>
      </w:r>
    </w:p>
    <w:p w14:paraId="6929E534"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 xml:space="preserve">В 2019 году профессиональные образовательные организации, подведомственные министерству образования Новосибирской области, активно включились в работу по созданию мастерских, оснащенных современной материально-технической базой. Для участия в конкурсном отборе на предоставление в 2019 году грантов из федерального бюджета в форме субсидий юридическим лицам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(Повышение конкурентоспособности профессионального образования)» национального проекта «Образование» в Министерство просвещения Российской Федерации были направлены заявки от 11 профессиональных образовательных организаций Новосибирской области, подведомственных министерству образования Новосибирской области. Новосибирский архитектурно-строительный колледж и Новосибирский колледж электроники и вычислительной техники прошли конкурсный отбор на получение грантов из федерального бюджета на общую сумму 48,65 млн. рублей. Совокупные затраты бюджета региона и внебюджетных источников на создание 10 мастерских в данных колледжах составили дополнительно 43,5 млн. рублей. </w:t>
      </w:r>
    </w:p>
    <w:p w14:paraId="074AEE63"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В 2019 году Минпросвещения России проведен конкурсный отбор профессиональных образовательных организаций на получение грантов из федерального бюджета в 2020 году на создание современной материально-технической базы. В Новосибирской области 3 колледжа стали победителями конкурсного отбора: Новосибирский строительно-монтажный колледж (грант на 28,9 млн. рублей), Новосибирский промышленно-энергетический колледж (грант на 47,6 млн. рублей) и Новосибирский медицинский колледж (грант на 12,105 млн. рублей).</w:t>
      </w:r>
    </w:p>
    <w:p w14:paraId="60A7EE0E"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Продолжается совершенствование материально-технической базы профессиональных образовательных организаций. Из областного бюджета</w:t>
      </w:r>
      <w:r w:rsidR="003821FA">
        <w:rPr>
          <w:rFonts w:ascii="Times New Roman" w:eastAsia="Times New Roman" w:hAnsi="Times New Roman" w:cs="Times New Roman"/>
          <w:sz w:val="28"/>
          <w:szCs w:val="28"/>
          <w:lang w:eastAsia="en-US"/>
        </w:rPr>
        <w:t xml:space="preserve"> Новосибирской области</w:t>
      </w:r>
      <w:r w:rsidRPr="00901F6F">
        <w:rPr>
          <w:rFonts w:ascii="Times New Roman" w:eastAsia="Times New Roman" w:hAnsi="Times New Roman" w:cs="Times New Roman"/>
          <w:sz w:val="28"/>
          <w:szCs w:val="28"/>
          <w:lang w:eastAsia="en-US"/>
        </w:rPr>
        <w:t xml:space="preserve"> в 2019 году было направлено около 350 млн. рублей на </w:t>
      </w:r>
      <w:r w:rsidRPr="00901F6F">
        <w:rPr>
          <w:rFonts w:ascii="Times New Roman" w:eastAsia="Times New Roman" w:hAnsi="Times New Roman" w:cs="Times New Roman"/>
          <w:sz w:val="28"/>
          <w:szCs w:val="28"/>
          <w:lang w:eastAsia="en-US"/>
        </w:rPr>
        <w:lastRenderedPageBreak/>
        <w:t>приобретение современного оборудования, на проведение работ по капитальному и текущему ремонту.</w:t>
      </w:r>
    </w:p>
    <w:p w14:paraId="256481BA"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На базе профессиональных образовательных учреждений аккредитовано 15 специализированных центров компетенций, функционируют 9 многофункциональных центров прикладных квалификаций, 20 ресурсных центров.</w:t>
      </w:r>
    </w:p>
    <w:p w14:paraId="1BD192F7"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В 2019 году продолжена работа по проведению промежуточной и итоговой аттестации обучающихся по программам среднего профессионального образования в форме демонстрационного экзамена. В мае-июне 2019 года 8% студентов (923 человека), завершающих обучение по образовательным программам среднего профессионального образования на территории Новосибирской области, приняли участие в демонстрационном экзамене. Еще 115 студентов прошли данную процедуру в рамках промежуточной аттестации. На базе образовательных учреждений региона были аккредитованы 42 центра проведения демонстрационного экзамена, проведено обучение и сертифицировано более 200 экспертов.</w:t>
      </w:r>
    </w:p>
    <w:p w14:paraId="51FFD1C4" w14:textId="1B547C72" w:rsidR="003F4CFF" w:rsidRPr="00901F6F" w:rsidRDefault="003F4CFF" w:rsidP="003F4CFF">
      <w:pPr>
        <w:shd w:val="clear" w:color="auto" w:fill="FFFFFF" w:themeFill="background1"/>
        <w:autoSpaceDE w:val="0"/>
        <w:autoSpaceDN w:val="0"/>
        <w:ind w:firstLine="567"/>
        <w:contextualSpacing/>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 xml:space="preserve">Большое внимание уделялось вопросу обеспечения «равных возможностей» получения среднего профессионального образования в профессиональных образовательных учреждениях Новосибирской области через развитие инфраструктуры инклюзивного образования, организацию и проведение конкурсов профессионального мастерства для людей с инвалидностью «Абилимпикс», содействие трудоустройству инвалидов и людей с </w:t>
      </w:r>
      <w:r w:rsidR="005077A3">
        <w:rPr>
          <w:rFonts w:ascii="Times New Roman" w:eastAsia="Times New Roman" w:hAnsi="Times New Roman" w:cs="Times New Roman"/>
          <w:sz w:val="28"/>
          <w:szCs w:val="28"/>
          <w:lang w:eastAsia="en-US"/>
        </w:rPr>
        <w:t xml:space="preserve">ограниченными возможностями здоровья </w:t>
      </w:r>
      <w:r w:rsidRPr="00901F6F">
        <w:rPr>
          <w:rFonts w:ascii="Times New Roman" w:eastAsia="Times New Roman" w:hAnsi="Times New Roman" w:cs="Times New Roman"/>
          <w:sz w:val="28"/>
          <w:szCs w:val="28"/>
          <w:lang w:eastAsia="en-US"/>
        </w:rPr>
        <w:t xml:space="preserve"> из числа выпускников профессиональных образовательных организаций. </w:t>
      </w:r>
    </w:p>
    <w:p w14:paraId="5E1F2358" w14:textId="77777777" w:rsidR="003F4CFF" w:rsidRPr="00901F6F" w:rsidRDefault="003F4CFF" w:rsidP="003F4CFF">
      <w:pPr>
        <w:shd w:val="clear" w:color="auto" w:fill="FFFFFF" w:themeFill="background1"/>
        <w:autoSpaceDE w:val="0"/>
        <w:autoSpaceDN w:val="0"/>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 xml:space="preserve">С 2016 года в регионе функционирует базовая профессиональная образовательная организация, осуществляющая поддержку региональной системы инклюзивного профессионального образования. </w:t>
      </w:r>
    </w:p>
    <w:p w14:paraId="6B9BCA52"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 xml:space="preserve">Подготовка рабочих кадров и специалистов в среднем профессиональном образовании на высоком уровне осуществляется благодаря созданию новой инновационной инфраструктуры подготовки кадров, включающей в себя 20 высокотехнологичных отраслевых ресурсных центров, 9 многофункциональных центров прикладных квалификаций, 16 специализированных центров компетенций, 11 из которых аккредитованы по стандартам Ворлдскиллс, а также 42 центра проведения демонстрационного экзамена. </w:t>
      </w:r>
    </w:p>
    <w:p w14:paraId="52ADA672"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Современная инфраструктура подготовки кадров позволила осуществить переход на подготовку по мировым стандартам и показывать высокий уровень подготовки выпускников, что подтверждается результатами участия в Национальных и международных чемпионатах Ворлдскиллс.</w:t>
      </w:r>
    </w:p>
    <w:p w14:paraId="6AD74A97"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В августе 2019 года 3 представителя Новосибирской области успешно выступили на мировом чемпионате по профессиональному мастерству WorldSkills Kazan 2019, завоевав золотую медаль в компетенции «Электромонтаж» (юниоры) и серебряную медаль в компетенции «Парикмахерское искусство».</w:t>
      </w:r>
    </w:p>
    <w:p w14:paraId="60556143"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 xml:space="preserve">Другим значимым результатом работы системы среднего профессионального образования Новосибирской области является переход на обучение по новым </w:t>
      </w:r>
      <w:r w:rsidR="00A221E9" w:rsidRPr="00B66EE5">
        <w:rPr>
          <w:rFonts w:ascii="Times New Roman" w:eastAsia="Times New Roman" w:hAnsi="Times New Roman" w:cs="Times New Roman"/>
          <w:sz w:val="28"/>
          <w:szCs w:val="28"/>
          <w:lang w:eastAsia="en-US"/>
        </w:rPr>
        <w:lastRenderedPageBreak/>
        <w:t>Федеральным государственн</w:t>
      </w:r>
      <w:r w:rsidR="00A221E9" w:rsidRPr="001E0024">
        <w:rPr>
          <w:rFonts w:ascii="Times New Roman" w:eastAsia="Times New Roman" w:hAnsi="Times New Roman" w:cs="Times New Roman"/>
          <w:sz w:val="28"/>
          <w:szCs w:val="28"/>
          <w:lang w:eastAsia="en-US"/>
        </w:rPr>
        <w:t>ым образовательным</w:t>
      </w:r>
      <w:r w:rsidR="00A221E9" w:rsidRPr="00E77388">
        <w:rPr>
          <w:rFonts w:ascii="Times New Roman" w:eastAsia="Times New Roman" w:hAnsi="Times New Roman" w:cs="Times New Roman"/>
          <w:sz w:val="28"/>
          <w:szCs w:val="28"/>
          <w:lang w:eastAsia="en-US"/>
        </w:rPr>
        <w:t xml:space="preserve"> стандарт</w:t>
      </w:r>
      <w:r w:rsidR="00A221E9" w:rsidRPr="00B66EE5">
        <w:rPr>
          <w:rFonts w:ascii="Times New Roman" w:eastAsia="Times New Roman" w:hAnsi="Times New Roman" w:cs="Times New Roman"/>
          <w:sz w:val="28"/>
          <w:szCs w:val="28"/>
          <w:lang w:eastAsia="en-US"/>
        </w:rPr>
        <w:t>а</w:t>
      </w:r>
      <w:r w:rsidR="00A221E9">
        <w:rPr>
          <w:rFonts w:ascii="Times New Roman" w:eastAsia="Times New Roman" w:hAnsi="Times New Roman" w:cs="Times New Roman"/>
          <w:sz w:val="28"/>
          <w:szCs w:val="28"/>
          <w:lang w:eastAsia="en-US"/>
        </w:rPr>
        <w:t>м</w:t>
      </w:r>
      <w:r w:rsidR="00A221E9" w:rsidRPr="00901F6F">
        <w:rPr>
          <w:rFonts w:ascii="Times New Roman" w:eastAsia="Times New Roman" w:hAnsi="Times New Roman" w:cs="Times New Roman"/>
          <w:sz w:val="28"/>
          <w:szCs w:val="28"/>
          <w:lang w:eastAsia="en-US"/>
        </w:rPr>
        <w:t xml:space="preserve"> </w:t>
      </w:r>
      <w:r w:rsidR="00A221E9">
        <w:rPr>
          <w:rFonts w:ascii="Times New Roman" w:eastAsia="Times New Roman" w:hAnsi="Times New Roman" w:cs="Times New Roman"/>
          <w:sz w:val="28"/>
          <w:szCs w:val="28"/>
          <w:lang w:eastAsia="en-US"/>
        </w:rPr>
        <w:t>(</w:t>
      </w:r>
      <w:r w:rsidRPr="00901F6F">
        <w:rPr>
          <w:rFonts w:ascii="Times New Roman" w:eastAsia="Times New Roman" w:hAnsi="Times New Roman" w:cs="Times New Roman"/>
          <w:sz w:val="28"/>
          <w:szCs w:val="28"/>
          <w:lang w:eastAsia="en-US"/>
        </w:rPr>
        <w:t>ФГОС</w:t>
      </w:r>
      <w:r w:rsidR="00A221E9">
        <w:rPr>
          <w:rFonts w:ascii="Times New Roman" w:eastAsia="Times New Roman" w:hAnsi="Times New Roman" w:cs="Times New Roman"/>
          <w:sz w:val="28"/>
          <w:szCs w:val="28"/>
          <w:lang w:eastAsia="en-US"/>
        </w:rPr>
        <w:t>)</w:t>
      </w:r>
      <w:r w:rsidRPr="00901F6F">
        <w:rPr>
          <w:rFonts w:ascii="Times New Roman" w:eastAsia="Times New Roman" w:hAnsi="Times New Roman" w:cs="Times New Roman"/>
          <w:sz w:val="28"/>
          <w:szCs w:val="28"/>
          <w:lang w:eastAsia="en-US"/>
        </w:rPr>
        <w:t xml:space="preserve"> среднего профессионального образования из списка ТОП-50.</w:t>
      </w:r>
    </w:p>
    <w:p w14:paraId="46814272"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В 2018-2019 учебном году 28 профессиональных образовательных учреждений перешли на обучение по 28-ми наиболее востребованным, новым и перспективным профессиям и специальностям среднего профессионального образования из списка ТОП-50, в 2019-2020 учебном году таких учреждений уже 33.</w:t>
      </w:r>
    </w:p>
    <w:p w14:paraId="67DEF9F6" w14:textId="77777777" w:rsidR="003F4CFF" w:rsidRPr="00EC5135"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Pr>
          <w:rFonts w:ascii="Times New Roman" w:eastAsia="Times New Roman" w:hAnsi="Times New Roman" w:cs="Times New Roman"/>
          <w:sz w:val="28"/>
          <w:szCs w:val="28"/>
        </w:rPr>
        <w:t xml:space="preserve"> за 2019 год</w:t>
      </w:r>
      <w:r w:rsidRPr="00EC5135">
        <w:rPr>
          <w:rFonts w:ascii="Times New Roman" w:hAnsi="Times New Roman" w:cs="Times New Roman"/>
          <w:sz w:val="28"/>
          <w:szCs w:val="28"/>
        </w:rPr>
        <w:t xml:space="preserve"> </w:t>
      </w:r>
      <w:r>
        <w:rPr>
          <w:rFonts w:ascii="Times New Roman" w:hAnsi="Times New Roman" w:cs="Times New Roman"/>
          <w:sz w:val="28"/>
          <w:szCs w:val="28"/>
        </w:rPr>
        <w:t>о</w:t>
      </w:r>
      <w:r w:rsidRPr="00EC5135">
        <w:rPr>
          <w:rFonts w:ascii="Times New Roman" w:hAnsi="Times New Roman" w:cs="Times New Roman"/>
          <w:sz w:val="28"/>
          <w:szCs w:val="28"/>
        </w:rPr>
        <w:t xml:space="preserve">коло половины опрошенных субъектов предпринимательства </w:t>
      </w:r>
      <w:r>
        <w:rPr>
          <w:rFonts w:ascii="Times New Roman" w:hAnsi="Times New Roman" w:cs="Times New Roman"/>
          <w:sz w:val="28"/>
          <w:szCs w:val="28"/>
        </w:rPr>
        <w:t>отметили</w:t>
      </w:r>
      <w:r w:rsidRPr="00EC5135">
        <w:rPr>
          <w:rFonts w:ascii="Times New Roman" w:hAnsi="Times New Roman" w:cs="Times New Roman"/>
          <w:sz w:val="28"/>
          <w:szCs w:val="28"/>
        </w:rPr>
        <w:t xml:space="preserve"> умеренную конкуренцию (52%), доля низких оценок уровня конкуренции на данном рынке (слабая конкуренция либо нет конкуренции) – 14%. Около трети субъектов предпринимательства отме</w:t>
      </w:r>
      <w:r>
        <w:rPr>
          <w:rFonts w:ascii="Times New Roman" w:hAnsi="Times New Roman" w:cs="Times New Roman"/>
          <w:sz w:val="28"/>
          <w:szCs w:val="28"/>
        </w:rPr>
        <w:t xml:space="preserve">тили </w:t>
      </w:r>
      <w:r w:rsidRPr="00EC5135">
        <w:rPr>
          <w:rFonts w:ascii="Times New Roman" w:hAnsi="Times New Roman" w:cs="Times New Roman"/>
          <w:sz w:val="28"/>
          <w:szCs w:val="28"/>
        </w:rPr>
        <w:t xml:space="preserve">высокую конкуренцию (34%). </w:t>
      </w:r>
    </w:p>
    <w:p w14:paraId="70283771"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При этом никто из опрошенных субъектов предпринимательства не говорит о наличии непреодолимы</w:t>
      </w:r>
      <w:r>
        <w:rPr>
          <w:rFonts w:ascii="Times New Roman" w:hAnsi="Times New Roman" w:cs="Times New Roman"/>
          <w:sz w:val="28"/>
          <w:szCs w:val="28"/>
        </w:rPr>
        <w:t>х административных барьеров</w:t>
      </w:r>
      <w:r w:rsidRPr="00EC5135">
        <w:rPr>
          <w:rFonts w:ascii="Times New Roman" w:hAnsi="Times New Roman" w:cs="Times New Roman"/>
          <w:sz w:val="28"/>
          <w:szCs w:val="28"/>
        </w:rPr>
        <w:t>. Показатели существенных барьеров для ведения текущей деятельности и открытия нового бизнеса не превышают средних значений по всем рынкам. Основным барьером является сложность процедуры получения лицензий, средств государственной поддержки, разрешений, согласований и т.д.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24%). </w:t>
      </w:r>
    </w:p>
    <w:p w14:paraId="51E3EB87"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В оценке деятельности органов власти преобладает мнение, что органы власти помогают бизнесу своими действиями (60%). Негативные оценки деятельности органов власти ниже, чем по большинству других рынков. </w:t>
      </w:r>
    </w:p>
    <w:p w14:paraId="2FCF6F17" w14:textId="77777777" w:rsidR="003F4CFF" w:rsidRPr="00127681" w:rsidRDefault="003F4CFF" w:rsidP="003F4CFF">
      <w:pPr>
        <w:ind w:firstLine="567"/>
        <w:jc w:val="both"/>
        <w:rPr>
          <w:rFonts w:ascii="Times New Roman" w:eastAsia="Times New Roman" w:hAnsi="Times New Roman" w:cs="Times New Roman"/>
          <w:sz w:val="28"/>
          <w:szCs w:val="28"/>
        </w:rPr>
      </w:pPr>
      <w:r w:rsidRPr="00127681">
        <w:rPr>
          <w:rFonts w:ascii="Times New Roman" w:eastAsia="Times New Roman" w:hAnsi="Times New Roman" w:cs="Times New Roman"/>
          <w:sz w:val="28"/>
          <w:szCs w:val="28"/>
          <w:shd w:val="clear" w:color="auto" w:fill="FFFFFF"/>
        </w:rPr>
        <w:t>Отмечается недостаточное количество организаций на данном рынке (</w:t>
      </w:r>
      <w:r w:rsidRPr="00127681">
        <w:rPr>
          <w:rFonts w:ascii="Times New Roman" w:hAnsi="Times New Roman" w:cs="Times New Roman"/>
          <w:sz w:val="28"/>
          <w:szCs w:val="28"/>
        </w:rPr>
        <w:t>так считают 54% потребителей</w:t>
      </w:r>
      <w:r w:rsidRPr="00127681">
        <w:rPr>
          <w:rFonts w:ascii="Times New Roman" w:eastAsia="Times New Roman" w:hAnsi="Times New Roman" w:cs="Times New Roman"/>
          <w:sz w:val="28"/>
          <w:szCs w:val="28"/>
          <w:shd w:val="clear" w:color="auto" w:fill="FFFFFF"/>
        </w:rPr>
        <w:t>) и отсутствие увеличения числа организаций за последние 3 года (отмечают рост числа органи</w:t>
      </w:r>
      <w:r>
        <w:rPr>
          <w:rFonts w:ascii="Times New Roman" w:eastAsia="Times New Roman" w:hAnsi="Times New Roman" w:cs="Times New Roman"/>
          <w:sz w:val="28"/>
          <w:szCs w:val="28"/>
          <w:shd w:val="clear" w:color="auto" w:fill="FFFFFF"/>
        </w:rPr>
        <w:t>заций только 10% потребителей).</w:t>
      </w:r>
    </w:p>
    <w:p w14:paraId="43E57F0D"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услуг дополнительного образования детей</w:t>
      </w:r>
    </w:p>
    <w:p w14:paraId="5647EA51" w14:textId="77777777" w:rsidR="003F4CFF" w:rsidRPr="00901F6F" w:rsidRDefault="003F4CFF" w:rsidP="003F4CFF">
      <w:pPr>
        <w:shd w:val="clear" w:color="auto" w:fill="FFFFFF" w:themeFill="background1"/>
        <w:ind w:firstLine="567"/>
        <w:jc w:val="both"/>
        <w:rPr>
          <w:rFonts w:ascii="Times New Roman" w:hAnsi="Times New Roman"/>
          <w:sz w:val="28"/>
          <w:szCs w:val="28"/>
        </w:rPr>
      </w:pPr>
      <w:r w:rsidRPr="00901F6F">
        <w:rPr>
          <w:rFonts w:ascii="Times New Roman" w:eastAsia="Times New Roman" w:hAnsi="Times New Roman"/>
          <w:sz w:val="28"/>
          <w:szCs w:val="28"/>
        </w:rPr>
        <w:t xml:space="preserve">Возможность получения дополнительного образования детьми обеспечивается организациями дополнительного образования детей, подведомственными органам управления в сфере образования, культуры, спорта, общеобразовательными и дошкольными организациями, загородными оздоровительными лагерями и центрами, </w:t>
      </w:r>
      <w:r w:rsidRPr="00901F6F">
        <w:rPr>
          <w:rFonts w:ascii="Times New Roman" w:hAnsi="Times New Roman"/>
          <w:sz w:val="28"/>
          <w:szCs w:val="28"/>
        </w:rPr>
        <w:t>негосударственными образовательными организациями, реализующими дополнительные общеобразовательные программы</w:t>
      </w:r>
      <w:r w:rsidRPr="00901F6F">
        <w:rPr>
          <w:rFonts w:ascii="Times New Roman" w:eastAsia="Times New Roman" w:hAnsi="Times New Roman"/>
          <w:sz w:val="28"/>
          <w:szCs w:val="28"/>
        </w:rPr>
        <w:t>. Вовлеченность детей в реализацию программ дополнительного образования детей по сравнению с 2017 годом увеличивается. По данным ФСН №1-доп охват детей в возрасте от 5 до 18 лет дополнительным образованием в 2019 году составил 77,6%, 2017 год – 62,5%, дополнительными общеразвивающими программами технической и естественнонаучной направленности,</w:t>
      </w:r>
      <w:r w:rsidRPr="00901F6F">
        <w:rPr>
          <w:rFonts w:ascii="Times New Roman" w:eastAsia="Times New Roman" w:hAnsi="Times New Roman"/>
          <w:b/>
          <w:sz w:val="28"/>
          <w:szCs w:val="28"/>
        </w:rPr>
        <w:t xml:space="preserve"> </w:t>
      </w:r>
      <w:r w:rsidRPr="00901F6F">
        <w:rPr>
          <w:rFonts w:ascii="Times New Roman" w:eastAsia="Times New Roman" w:hAnsi="Times New Roman"/>
          <w:sz w:val="28"/>
          <w:szCs w:val="28"/>
        </w:rPr>
        <w:t>способствующих формированию у детей проектно-исследовательских компетенций - 8% детей данного возраста, проживающих на территории Новосибирской области, 2017 год – 6,5%.</w:t>
      </w:r>
    </w:p>
    <w:p w14:paraId="1FF5020A" w14:textId="77777777" w:rsidR="003F4CFF" w:rsidRPr="00901F6F" w:rsidRDefault="003F4CFF" w:rsidP="003F4CFF">
      <w:pPr>
        <w:shd w:val="clear" w:color="auto" w:fill="FFFFFF" w:themeFill="background1"/>
        <w:ind w:firstLine="567"/>
        <w:jc w:val="both"/>
        <w:rPr>
          <w:rFonts w:ascii="Times New Roman" w:hAnsi="Times New Roman"/>
          <w:sz w:val="28"/>
          <w:szCs w:val="28"/>
        </w:rPr>
      </w:pPr>
      <w:r w:rsidRPr="00901F6F">
        <w:rPr>
          <w:rFonts w:ascii="Times New Roman" w:hAnsi="Times New Roman"/>
          <w:sz w:val="28"/>
          <w:szCs w:val="28"/>
        </w:rPr>
        <w:t xml:space="preserve">В 2019 году в системе дополнительного образования детей в сфере образования функционирует 118 учреждений дополнительного образования детей, в которых работает 6052 человека, из них педагогических </w:t>
      </w:r>
      <w:r w:rsidR="00FF657E">
        <w:rPr>
          <w:rFonts w:ascii="Times New Roman" w:hAnsi="Times New Roman"/>
          <w:sz w:val="28"/>
          <w:szCs w:val="28"/>
        </w:rPr>
        <w:t>–</w:t>
      </w:r>
      <w:r w:rsidR="00FF657E" w:rsidRPr="00901F6F">
        <w:rPr>
          <w:rFonts w:ascii="Times New Roman" w:hAnsi="Times New Roman"/>
          <w:sz w:val="28"/>
          <w:szCs w:val="28"/>
        </w:rPr>
        <w:t xml:space="preserve"> </w:t>
      </w:r>
      <w:r w:rsidRPr="00901F6F">
        <w:rPr>
          <w:rFonts w:ascii="Times New Roman" w:hAnsi="Times New Roman"/>
          <w:sz w:val="28"/>
          <w:szCs w:val="28"/>
        </w:rPr>
        <w:t xml:space="preserve">3508. Доля педагогов со стажем работы 20 лет и более составляет 44,8%, с высшим образованием – 74%. </w:t>
      </w:r>
      <w:r w:rsidRPr="00901F6F">
        <w:rPr>
          <w:rFonts w:ascii="Times New Roman" w:hAnsi="Times New Roman"/>
          <w:sz w:val="28"/>
          <w:szCs w:val="28"/>
        </w:rPr>
        <w:lastRenderedPageBreak/>
        <w:t xml:space="preserve">Численность </w:t>
      </w:r>
      <w:r w:rsidR="00FF657E" w:rsidRPr="00901F6F">
        <w:rPr>
          <w:rFonts w:ascii="Times New Roman" w:hAnsi="Times New Roman"/>
          <w:sz w:val="28"/>
          <w:szCs w:val="28"/>
        </w:rPr>
        <w:t>детей</w:t>
      </w:r>
      <w:r w:rsidR="00FF657E">
        <w:rPr>
          <w:rFonts w:ascii="Times New Roman" w:hAnsi="Times New Roman"/>
          <w:sz w:val="28"/>
          <w:szCs w:val="28"/>
        </w:rPr>
        <w:t>,</w:t>
      </w:r>
      <w:r w:rsidR="00FF657E" w:rsidRPr="00901F6F">
        <w:rPr>
          <w:rFonts w:ascii="Times New Roman" w:hAnsi="Times New Roman"/>
          <w:sz w:val="28"/>
          <w:szCs w:val="28"/>
        </w:rPr>
        <w:t xml:space="preserve"> </w:t>
      </w:r>
      <w:r w:rsidRPr="00901F6F">
        <w:rPr>
          <w:rFonts w:ascii="Times New Roman" w:hAnsi="Times New Roman"/>
          <w:sz w:val="28"/>
          <w:szCs w:val="28"/>
        </w:rPr>
        <w:t>занимающихся в учреждениях дополнительного образования</w:t>
      </w:r>
      <w:r w:rsidR="00FF657E">
        <w:rPr>
          <w:rFonts w:ascii="Times New Roman" w:hAnsi="Times New Roman"/>
          <w:sz w:val="28"/>
          <w:szCs w:val="28"/>
        </w:rPr>
        <w:t>,</w:t>
      </w:r>
      <w:r w:rsidRPr="00901F6F">
        <w:rPr>
          <w:rFonts w:ascii="Times New Roman" w:hAnsi="Times New Roman"/>
          <w:sz w:val="28"/>
          <w:szCs w:val="28"/>
        </w:rPr>
        <w:t xml:space="preserve"> увеличилась по сравнению с 2018 годом на 6 596 человек и составила 180 773 ребенка (55,7% от общего числа обучающихся Новосибирской области). </w:t>
      </w:r>
    </w:p>
    <w:p w14:paraId="155C0098" w14:textId="77777777" w:rsidR="003F4CFF" w:rsidRPr="00901F6F" w:rsidRDefault="003F4CFF" w:rsidP="003F4CFF">
      <w:pPr>
        <w:shd w:val="clear" w:color="auto" w:fill="FFFFFF" w:themeFill="background1"/>
        <w:ind w:firstLine="567"/>
        <w:jc w:val="both"/>
        <w:rPr>
          <w:rFonts w:ascii="Times New Roman" w:eastAsia="Times New Roman" w:hAnsi="Times New Roman"/>
          <w:sz w:val="24"/>
          <w:szCs w:val="24"/>
        </w:rPr>
      </w:pPr>
      <w:r w:rsidRPr="00901F6F">
        <w:rPr>
          <w:rFonts w:ascii="Times New Roman" w:hAnsi="Times New Roman"/>
          <w:sz w:val="28"/>
          <w:szCs w:val="28"/>
        </w:rPr>
        <w:t>Постепенно увеличивается количество детей с ограниченными возможностями здоровья</w:t>
      </w:r>
      <w:r w:rsidR="00FF657E">
        <w:rPr>
          <w:rFonts w:ascii="Times New Roman" w:hAnsi="Times New Roman"/>
          <w:sz w:val="28"/>
          <w:szCs w:val="28"/>
        </w:rPr>
        <w:t>,</w:t>
      </w:r>
      <w:r w:rsidRPr="00901F6F">
        <w:rPr>
          <w:rFonts w:ascii="Times New Roman" w:hAnsi="Times New Roman"/>
          <w:sz w:val="28"/>
          <w:szCs w:val="28"/>
        </w:rPr>
        <w:t xml:space="preserve"> </w:t>
      </w:r>
      <w:r w:rsidRPr="00901F6F">
        <w:rPr>
          <w:rFonts w:ascii="Times New Roman" w:eastAsia="Times New Roman" w:hAnsi="Times New Roman"/>
          <w:bCs/>
          <w:sz w:val="28"/>
          <w:szCs w:val="28"/>
        </w:rPr>
        <w:t>осваивающих дополнительные общеобразовательные программы, в том числе с использованием дистанционных технологий</w:t>
      </w:r>
      <w:r w:rsidRPr="00901F6F">
        <w:rPr>
          <w:rFonts w:ascii="Times New Roman" w:hAnsi="Times New Roman"/>
          <w:sz w:val="28"/>
          <w:szCs w:val="28"/>
        </w:rPr>
        <w:t xml:space="preserve">. Учреждения дополнительного образования детей посещали 1133 (28%) ребенка с ограниченными возможностями здоровья, что на 208 человек больше, чем в </w:t>
      </w:r>
      <w:r w:rsidR="00FF657E">
        <w:rPr>
          <w:rFonts w:ascii="Times New Roman" w:hAnsi="Times New Roman"/>
          <w:sz w:val="28"/>
          <w:szCs w:val="28"/>
        </w:rPr>
        <w:t>2018</w:t>
      </w:r>
      <w:r w:rsidR="00FF657E" w:rsidRPr="00901F6F">
        <w:rPr>
          <w:rFonts w:ascii="Times New Roman" w:hAnsi="Times New Roman"/>
          <w:sz w:val="28"/>
          <w:szCs w:val="28"/>
        </w:rPr>
        <w:t xml:space="preserve"> </w:t>
      </w:r>
      <w:r w:rsidRPr="00901F6F">
        <w:rPr>
          <w:rFonts w:ascii="Times New Roman" w:hAnsi="Times New Roman"/>
          <w:sz w:val="28"/>
          <w:szCs w:val="28"/>
        </w:rPr>
        <w:t xml:space="preserve">году. В дистанционной школе на добровольной основе ежегодно принимают участие около 500 детей - инвалидов, а также детей с тяжелыми формами хронических соматических заболеваний, которым рекомендовано обучение на дому. Всего в 2019 году </w:t>
      </w:r>
      <w:r w:rsidRPr="00901F6F">
        <w:rPr>
          <w:rFonts w:ascii="Times New Roman" w:eastAsia="Times New Roman" w:hAnsi="Times New Roman"/>
          <w:bCs/>
          <w:sz w:val="28"/>
          <w:szCs w:val="28"/>
        </w:rPr>
        <w:t>34% детей данной категории охвачены дополнительным образованием</w:t>
      </w:r>
      <w:r w:rsidRPr="00901F6F">
        <w:rPr>
          <w:rFonts w:ascii="Times New Roman" w:eastAsia="Times New Roman" w:hAnsi="Times New Roman"/>
          <w:bCs/>
          <w:i/>
          <w:sz w:val="28"/>
          <w:szCs w:val="28"/>
        </w:rPr>
        <w:t>.</w:t>
      </w:r>
      <w:r w:rsidRPr="00901F6F">
        <w:rPr>
          <w:rFonts w:ascii="Times New Roman" w:eastAsia="Times New Roman" w:hAnsi="Times New Roman"/>
          <w:sz w:val="24"/>
          <w:szCs w:val="24"/>
        </w:rPr>
        <w:t xml:space="preserve"> </w:t>
      </w:r>
    </w:p>
    <w:p w14:paraId="058F7B39" w14:textId="77777777" w:rsidR="003F4CFF" w:rsidRPr="00901F6F" w:rsidRDefault="003F4CFF" w:rsidP="003F4CFF">
      <w:pPr>
        <w:shd w:val="clear" w:color="auto" w:fill="FFFFFF" w:themeFill="background1"/>
        <w:ind w:firstLine="567"/>
        <w:jc w:val="both"/>
        <w:rPr>
          <w:rFonts w:ascii="Times New Roman" w:hAnsi="Times New Roman"/>
          <w:sz w:val="28"/>
          <w:szCs w:val="28"/>
        </w:rPr>
      </w:pPr>
      <w:r w:rsidRPr="00901F6F">
        <w:rPr>
          <w:rFonts w:ascii="Times New Roman" w:hAnsi="Times New Roman"/>
          <w:sz w:val="28"/>
          <w:szCs w:val="28"/>
        </w:rPr>
        <w:t>25 негосударственных образовательных организаций, реализующих дополнительные общеобразовательные программы, посещают 3149 детей.</w:t>
      </w:r>
    </w:p>
    <w:p w14:paraId="6C76EF6E" w14:textId="77777777" w:rsidR="003F4CFF" w:rsidRPr="00336CDA" w:rsidRDefault="003F4CFF" w:rsidP="003F4CFF">
      <w:pPr>
        <w:shd w:val="clear" w:color="auto" w:fill="FFFFFF" w:themeFill="background1"/>
        <w:overflowPunct w:val="0"/>
        <w:autoSpaceDE w:val="0"/>
        <w:autoSpaceDN w:val="0"/>
        <w:adjustRightInd w:val="0"/>
        <w:ind w:firstLine="567"/>
        <w:jc w:val="both"/>
        <w:textAlignment w:val="baseline"/>
        <w:rPr>
          <w:rFonts w:ascii="Times New Roman" w:hAnsi="Times New Roman"/>
          <w:sz w:val="28"/>
          <w:szCs w:val="28"/>
        </w:rPr>
      </w:pPr>
      <w:r w:rsidRPr="00336CDA">
        <w:rPr>
          <w:rFonts w:ascii="Times New Roman" w:hAnsi="Times New Roman"/>
          <w:sz w:val="28"/>
          <w:szCs w:val="28"/>
        </w:rPr>
        <w:t xml:space="preserve">15.03.2019 утвержден паспорт регионального проекта «Успех каждого ребенка», который включает мероприятия приоритетного проекта «Доступного дополнительное образование для детей на территории Новосибирской области». </w:t>
      </w:r>
    </w:p>
    <w:p w14:paraId="29CC31DE" w14:textId="77777777" w:rsidR="003F4CFF" w:rsidRPr="00336CDA" w:rsidRDefault="003F4CFF" w:rsidP="003F4CFF">
      <w:pPr>
        <w:shd w:val="clear" w:color="auto" w:fill="FFFFFF" w:themeFill="background1"/>
        <w:overflowPunct w:val="0"/>
        <w:autoSpaceDE w:val="0"/>
        <w:autoSpaceDN w:val="0"/>
        <w:adjustRightInd w:val="0"/>
        <w:ind w:firstLine="567"/>
        <w:jc w:val="both"/>
        <w:textAlignment w:val="baseline"/>
        <w:rPr>
          <w:rFonts w:ascii="Times New Roman" w:hAnsi="Times New Roman"/>
          <w:sz w:val="28"/>
          <w:szCs w:val="28"/>
        </w:rPr>
      </w:pPr>
      <w:r w:rsidRPr="00336CDA">
        <w:rPr>
          <w:rFonts w:ascii="Times New Roman" w:hAnsi="Times New Roman"/>
          <w:sz w:val="28"/>
          <w:szCs w:val="28"/>
        </w:rPr>
        <w:t>В условиях реализации проекта «Успех каждого ребенка» система дополнительного образования Новосибирской области становится инновационной площадкой для формирования целевой модели дополнительного образования детей на основе лучших педагогических практик, обеспечивающих реализацию современных, вариативных и востребованных программ, соответствующих интересам детей в возрасте от 5 до 18 лет.</w:t>
      </w:r>
    </w:p>
    <w:p w14:paraId="19A1E280" w14:textId="77777777" w:rsidR="003F4CFF" w:rsidRPr="00901F6F" w:rsidRDefault="003F4CFF" w:rsidP="003F4CFF">
      <w:pPr>
        <w:shd w:val="clear" w:color="auto" w:fill="FFFFFF" w:themeFill="background1"/>
        <w:ind w:firstLine="567"/>
        <w:jc w:val="both"/>
        <w:rPr>
          <w:rFonts w:ascii="Times New Roman" w:hAnsi="Times New Roman"/>
          <w:sz w:val="28"/>
          <w:szCs w:val="28"/>
        </w:rPr>
      </w:pPr>
      <w:r w:rsidRPr="00901F6F">
        <w:rPr>
          <w:rFonts w:ascii="Times New Roman" w:hAnsi="Times New Roman"/>
          <w:sz w:val="28"/>
          <w:szCs w:val="28"/>
        </w:rPr>
        <w:t xml:space="preserve">На базе ведущих учреждений дополнительного образования во всех муниципальных районах и городских округах региона созданы муниципальные опорные центры, которые совместно с региональным модельным центром дополнительного образования детей Новосибирской области, созданным </w:t>
      </w:r>
      <w:r w:rsidRPr="00901F6F">
        <w:rPr>
          <w:rFonts w:ascii="Times New Roman" w:eastAsia="Times New Roman" w:hAnsi="Times New Roman"/>
          <w:sz w:val="28"/>
          <w:szCs w:val="28"/>
        </w:rPr>
        <w:t>на базе Областного центра развития творчества детей и юношества,</w:t>
      </w:r>
      <w:r w:rsidRPr="00901F6F">
        <w:rPr>
          <w:rFonts w:ascii="Times New Roman" w:hAnsi="Times New Roman"/>
          <w:sz w:val="28"/>
          <w:szCs w:val="28"/>
        </w:rPr>
        <w:t xml:space="preserve"> обеспечивают координацию всех категорий учреждений дополнительного образования детей на муниципальном уровне.</w:t>
      </w:r>
    </w:p>
    <w:p w14:paraId="727AFB99" w14:textId="77777777" w:rsidR="003F4CFF" w:rsidRPr="00901F6F" w:rsidRDefault="003F4CFF" w:rsidP="003F4CFF">
      <w:pPr>
        <w:shd w:val="clear" w:color="auto" w:fill="FFFFFF" w:themeFill="background1"/>
        <w:ind w:firstLine="567"/>
        <w:jc w:val="both"/>
        <w:rPr>
          <w:rFonts w:ascii="Times New Roman" w:hAnsi="Times New Roman"/>
          <w:sz w:val="28"/>
          <w:szCs w:val="28"/>
        </w:rPr>
      </w:pPr>
      <w:r w:rsidRPr="00901F6F">
        <w:rPr>
          <w:rFonts w:ascii="Times New Roman" w:hAnsi="Times New Roman"/>
          <w:sz w:val="28"/>
          <w:szCs w:val="28"/>
        </w:rPr>
        <w:t>Продолжается внедрение регионального информационного ресурса «Навигатор дополнительного образования дете</w:t>
      </w:r>
      <w:r>
        <w:rPr>
          <w:rFonts w:ascii="Times New Roman" w:hAnsi="Times New Roman"/>
          <w:sz w:val="28"/>
          <w:szCs w:val="28"/>
        </w:rPr>
        <w:t>й Новосибирской области» (далее – </w:t>
      </w:r>
      <w:r w:rsidRPr="00901F6F">
        <w:rPr>
          <w:rFonts w:ascii="Times New Roman" w:hAnsi="Times New Roman"/>
          <w:sz w:val="28"/>
          <w:szCs w:val="28"/>
        </w:rPr>
        <w:t xml:space="preserve">Навигатор), </w:t>
      </w:r>
      <w:r w:rsidRPr="00901F6F">
        <w:rPr>
          <w:rFonts w:ascii="Times New Roman" w:eastAsia="Times New Roman" w:hAnsi="Times New Roman"/>
          <w:sz w:val="28"/>
          <w:szCs w:val="28"/>
        </w:rPr>
        <w:t xml:space="preserve">позволяющий семьям выбирать дополнительные общеобразовательные программы, соответствующие запросам, уровню подготовки и способностям детей, </w:t>
      </w:r>
      <w:r w:rsidRPr="00901F6F">
        <w:rPr>
          <w:rFonts w:ascii="Times New Roman" w:hAnsi="Times New Roman"/>
          <w:sz w:val="28"/>
          <w:szCs w:val="28"/>
        </w:rPr>
        <w:t xml:space="preserve">который вошел в число лучших региональных практик РФ и в апреле 2019 года получил высокую оценку участников круглого стола на Московском международном салоне образования-2019. </w:t>
      </w:r>
    </w:p>
    <w:p w14:paraId="73131823" w14:textId="77777777" w:rsidR="003F4CFF" w:rsidRPr="00336CDA" w:rsidRDefault="003F4CFF" w:rsidP="003F4CFF">
      <w:pPr>
        <w:shd w:val="clear" w:color="auto" w:fill="FFFFFF" w:themeFill="background1"/>
        <w:overflowPunct w:val="0"/>
        <w:autoSpaceDE w:val="0"/>
        <w:autoSpaceDN w:val="0"/>
        <w:adjustRightInd w:val="0"/>
        <w:ind w:firstLine="567"/>
        <w:jc w:val="both"/>
        <w:textAlignment w:val="baseline"/>
        <w:rPr>
          <w:rFonts w:ascii="Times New Roman" w:hAnsi="Times New Roman" w:cs="Times New Roman"/>
          <w:sz w:val="28"/>
          <w:szCs w:val="28"/>
        </w:rPr>
      </w:pPr>
      <w:r w:rsidRPr="00336CDA">
        <w:rPr>
          <w:rFonts w:ascii="Times New Roman" w:hAnsi="Times New Roman"/>
          <w:sz w:val="28"/>
          <w:szCs w:val="28"/>
        </w:rPr>
        <w:t xml:space="preserve">Функционирует информационный портал Региональный модельный центр дополнительного образования детей Новосибирской области как средство формирования эффективной межведомственной системы развития дополнительного образования детей </w:t>
      </w:r>
      <w:r w:rsidRPr="00336CDA">
        <w:rPr>
          <w:rFonts w:ascii="Times New Roman" w:hAnsi="Times New Roman" w:cs="Times New Roman"/>
          <w:sz w:val="28"/>
          <w:szCs w:val="28"/>
        </w:rPr>
        <w:t>(</w:t>
      </w:r>
      <w:hyperlink r:id="rId63" w:history="1">
        <w:r w:rsidRPr="00556272">
          <w:rPr>
            <w:rFonts w:ascii="Times New Roman" w:hAnsi="Times New Roman" w:cs="Times New Roman"/>
            <w:color w:val="2F74FF" w:themeColor="text2" w:themeTint="80"/>
            <w:sz w:val="28"/>
            <w:szCs w:val="28"/>
            <w:u w:val="single"/>
          </w:rPr>
          <w:t>https://modnso.ru/</w:t>
        </w:r>
      </w:hyperlink>
      <w:r w:rsidRPr="00336CDA">
        <w:rPr>
          <w:rFonts w:ascii="Times New Roman" w:hAnsi="Times New Roman" w:cs="Times New Roman"/>
          <w:sz w:val="28"/>
          <w:szCs w:val="28"/>
        </w:rPr>
        <w:t xml:space="preserve">). </w:t>
      </w:r>
    </w:p>
    <w:p w14:paraId="3E91E4C9" w14:textId="77777777" w:rsidR="003F4CFF" w:rsidRPr="00336CDA" w:rsidRDefault="003F4CFF" w:rsidP="003F4CFF">
      <w:pPr>
        <w:shd w:val="clear" w:color="auto" w:fill="FFFFFF" w:themeFill="background1"/>
        <w:overflowPunct w:val="0"/>
        <w:autoSpaceDE w:val="0"/>
        <w:autoSpaceDN w:val="0"/>
        <w:adjustRightInd w:val="0"/>
        <w:ind w:firstLine="567"/>
        <w:jc w:val="both"/>
        <w:textAlignment w:val="baseline"/>
        <w:rPr>
          <w:rFonts w:ascii="Times New Roman" w:hAnsi="Times New Roman"/>
          <w:sz w:val="28"/>
          <w:szCs w:val="28"/>
        </w:rPr>
      </w:pPr>
      <w:r w:rsidRPr="00336CDA">
        <w:rPr>
          <w:rFonts w:ascii="Times New Roman" w:hAnsi="Times New Roman"/>
          <w:sz w:val="28"/>
          <w:szCs w:val="28"/>
        </w:rPr>
        <w:t xml:space="preserve">В условиях повышения доступности качественного дополнительного образования, независимого от места жительства, социального статуса и доходов </w:t>
      </w:r>
      <w:r w:rsidRPr="00336CDA">
        <w:rPr>
          <w:rFonts w:ascii="Times New Roman" w:hAnsi="Times New Roman"/>
          <w:sz w:val="28"/>
          <w:szCs w:val="28"/>
        </w:rPr>
        <w:lastRenderedPageBreak/>
        <w:t>семьи, в 2019 году разрабатывается нормативно-правовая база по внедрению модели персонифицированного финансирования дополнительного образования детей в Новосибирской области с 01.09.2020.</w:t>
      </w:r>
    </w:p>
    <w:p w14:paraId="7E02C669" w14:textId="77777777" w:rsidR="003F4CFF" w:rsidRPr="00901F6F" w:rsidRDefault="003F4CFF" w:rsidP="003F4CFF">
      <w:pPr>
        <w:shd w:val="clear" w:color="auto" w:fill="FFFFFF" w:themeFill="background1"/>
        <w:ind w:firstLine="567"/>
        <w:jc w:val="both"/>
        <w:rPr>
          <w:rFonts w:ascii="Times New Roman" w:hAnsi="Times New Roman"/>
          <w:sz w:val="28"/>
          <w:szCs w:val="28"/>
        </w:rPr>
      </w:pPr>
      <w:r w:rsidRPr="00901F6F">
        <w:rPr>
          <w:rFonts w:ascii="Times New Roman" w:hAnsi="Times New Roman"/>
          <w:sz w:val="28"/>
          <w:szCs w:val="28"/>
        </w:rPr>
        <w:t>Разработаны и обобщены материалы по проведению родительских собраний для организаторов, которые были апробированы на международной выставке «Учебная Сибирь – 2019. Регион НТИ. Новые возможности для каждого». В 2019 году дан старт двум новым региональным проектам: региональный конкурс профессионального мастерства «Педагог-наставник» и открытый конкурс эффективных практик дополнительного образования детей.</w:t>
      </w:r>
    </w:p>
    <w:p w14:paraId="4B82B0B7" w14:textId="77777777" w:rsidR="003F4CFF" w:rsidRPr="00901F6F" w:rsidRDefault="003F4CFF" w:rsidP="003F4CFF">
      <w:pPr>
        <w:shd w:val="clear" w:color="auto" w:fill="FFFFFF" w:themeFill="background1"/>
        <w:ind w:firstLine="567"/>
        <w:jc w:val="both"/>
        <w:rPr>
          <w:rFonts w:ascii="Times New Roman" w:eastAsia="Times New Roman" w:hAnsi="Times New Roman"/>
          <w:sz w:val="28"/>
          <w:szCs w:val="28"/>
        </w:rPr>
      </w:pPr>
      <w:r w:rsidRPr="00901F6F">
        <w:rPr>
          <w:rFonts w:ascii="Times New Roman" w:eastAsia="Times New Roman" w:hAnsi="Times New Roman"/>
          <w:sz w:val="28"/>
          <w:szCs w:val="28"/>
        </w:rPr>
        <w:t xml:space="preserve">Для решения задачи повышения качества и доступности дополнительного образования в области реализуется проект «Интенсивная школа проектирования вариативных дополнительных общеобразовательных программ «СПЕКТР». </w:t>
      </w:r>
    </w:p>
    <w:p w14:paraId="6FC23F02" w14:textId="77777777" w:rsidR="003F4CFF" w:rsidRPr="00901F6F" w:rsidRDefault="003F4CFF" w:rsidP="003F4CFF">
      <w:pPr>
        <w:shd w:val="clear" w:color="auto" w:fill="FFFFFF" w:themeFill="background1"/>
        <w:ind w:firstLine="567"/>
        <w:jc w:val="both"/>
        <w:rPr>
          <w:rFonts w:ascii="Times New Roman" w:eastAsia="Times New Roman" w:hAnsi="Times New Roman"/>
          <w:iCs/>
          <w:sz w:val="28"/>
          <w:szCs w:val="28"/>
        </w:rPr>
      </w:pPr>
      <w:r w:rsidRPr="00901F6F">
        <w:rPr>
          <w:rFonts w:ascii="Times New Roman" w:eastAsia="Times New Roman" w:hAnsi="Times New Roman"/>
          <w:sz w:val="28"/>
          <w:szCs w:val="28"/>
        </w:rPr>
        <w:t xml:space="preserve">С целью реализации дистанционного образования взрослых и детей </w:t>
      </w:r>
      <w:r w:rsidRPr="00901F6F">
        <w:rPr>
          <w:rFonts w:ascii="Times New Roman" w:eastAsia="Times New Roman" w:hAnsi="Times New Roman"/>
          <w:iCs/>
          <w:sz w:val="28"/>
          <w:szCs w:val="28"/>
        </w:rPr>
        <w:t>организовано дистанционное обучение педагогических работников Новосибирской области по дополнительным общеразвивающим общеобразовательным программам. 176 педагогических и административных работников проходят дистанционное обучение по программе «Инструментарий проектной деятельности педагога».</w:t>
      </w:r>
    </w:p>
    <w:p w14:paraId="09F82A76" w14:textId="77777777" w:rsidR="003F4CFF" w:rsidRPr="005D2717" w:rsidRDefault="003F4CFF" w:rsidP="003F4CFF">
      <w:pPr>
        <w:ind w:firstLine="567"/>
        <w:jc w:val="both"/>
        <w:rPr>
          <w:rFonts w:ascii="Times New Roman" w:eastAsia="Times New Roman" w:hAnsi="Times New Roman"/>
          <w:iCs/>
          <w:sz w:val="28"/>
          <w:szCs w:val="28"/>
        </w:rPr>
      </w:pPr>
      <w:r>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Pr>
          <w:rFonts w:ascii="Times New Roman" w:eastAsia="Times New Roman" w:hAnsi="Times New Roman" w:cs="Times New Roman"/>
          <w:sz w:val="28"/>
          <w:szCs w:val="28"/>
        </w:rPr>
        <w:t xml:space="preserve"> отметили</w:t>
      </w:r>
      <w:r w:rsidRPr="005D2717">
        <w:rPr>
          <w:rFonts w:ascii="Times New Roman" w:eastAsia="Times New Roman" w:hAnsi="Times New Roman"/>
          <w:iCs/>
          <w:sz w:val="28"/>
          <w:szCs w:val="28"/>
        </w:rPr>
        <w:t xml:space="preserve"> высокую конкуренцию (60%)</w:t>
      </w:r>
      <w:r>
        <w:rPr>
          <w:rFonts w:ascii="Times New Roman" w:eastAsia="Times New Roman" w:hAnsi="Times New Roman"/>
          <w:iCs/>
          <w:sz w:val="28"/>
          <w:szCs w:val="28"/>
        </w:rPr>
        <w:t>.</w:t>
      </w:r>
    </w:p>
    <w:p w14:paraId="1081B8BA" w14:textId="77777777" w:rsidR="003F4CFF" w:rsidRPr="009E4185" w:rsidRDefault="003F4CFF" w:rsidP="003F4CFF">
      <w:pPr>
        <w:ind w:firstLine="567"/>
        <w:jc w:val="both"/>
        <w:rPr>
          <w:rFonts w:ascii="Times New Roman" w:eastAsia="Times New Roman" w:hAnsi="Times New Roman"/>
          <w:iCs/>
          <w:sz w:val="28"/>
          <w:szCs w:val="28"/>
        </w:rPr>
      </w:pPr>
      <w:r w:rsidRPr="009E4185">
        <w:rPr>
          <w:rFonts w:ascii="Times New Roman" w:eastAsia="Times New Roman" w:hAnsi="Times New Roman"/>
          <w:iCs/>
          <w:sz w:val="28"/>
          <w:szCs w:val="28"/>
        </w:rPr>
        <w:t xml:space="preserve">На наличие непреодолимых административных барьеров указали 10% субъектов предпринимательства. Основными барьерами являются сложность процедуры получения лицензий, средств государственной поддержки, разрешений, согласований и нестабильность законодательства, регулирующего предпринимательскую деятельность (отмечают по 17%). </w:t>
      </w:r>
    </w:p>
    <w:p w14:paraId="5B987276" w14:textId="77777777" w:rsidR="003F4CFF" w:rsidRPr="009E4185" w:rsidRDefault="003F4CFF" w:rsidP="003F4CFF">
      <w:pPr>
        <w:ind w:firstLine="567"/>
        <w:jc w:val="both"/>
        <w:rPr>
          <w:rFonts w:ascii="Times New Roman" w:eastAsia="Times New Roman" w:hAnsi="Times New Roman" w:cs="Times New Roman"/>
          <w:sz w:val="28"/>
          <w:szCs w:val="28"/>
        </w:rPr>
      </w:pPr>
      <w:r w:rsidRPr="009E4185">
        <w:rPr>
          <w:rFonts w:ascii="Times New Roman" w:eastAsia="Times New Roman" w:hAnsi="Times New Roman" w:cs="Times New Roman"/>
          <w:sz w:val="28"/>
          <w:szCs w:val="28"/>
        </w:rPr>
        <w:t xml:space="preserve">Наблюдается тенденция к увеличению количества организаций в течение последних трех лет (отмечают 37% потребителей), хотя по-прежнему отмечают их нехватку в настоящее время 44% потребителей. Удовлетворенность потребителей выбором услуг и их качеством находится на среднем уровне (57% и 60% соответственно), а удовлетворенность уровнем цен – на низком уровне (44%). Рост уровня цен за последние 3 года (отмечают 71% потребителей) сопровождается некоторым ростом возможности выбора услуг (отмечают 39% потребителей) и в меньшей степени повышением их качества (отмечают 24% потребителей). </w:t>
      </w:r>
    </w:p>
    <w:p w14:paraId="026C103B"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услуг детского отдыха и оздоровления</w:t>
      </w:r>
    </w:p>
    <w:p w14:paraId="06B7687A"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sz w:val="28"/>
          <w:szCs w:val="28"/>
        </w:rPr>
        <w:t>В реестр организаций отдыха детей и их оздоровления Новосибирской области с 01.09.2019 включены 76 организаций (74 – на территории области, 2 – в Республике Алтай). Из общего количества организаций отдыха детей и их оздоровления 18 – имеют частную форму собственности (23%).</w:t>
      </w:r>
    </w:p>
    <w:p w14:paraId="452FB6E9"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 xml:space="preserve">В 2019 году организованными видами отдыха и оздоровления в целом охвачено 153 528 детей (в 2017 году – </w:t>
      </w:r>
      <w:r w:rsidRPr="00901F6F">
        <w:rPr>
          <w:rFonts w:ascii="Times New Roman" w:eastAsia="Times New Roman" w:hAnsi="Times New Roman" w:cs="Times New Roman"/>
          <w:sz w:val="28"/>
          <w:szCs w:val="28"/>
        </w:rPr>
        <w:t>137 000</w:t>
      </w:r>
      <w:r w:rsidRPr="00901F6F">
        <w:rPr>
          <w:rFonts w:ascii="Times New Roman" w:eastAsia="Times New Roman" w:hAnsi="Times New Roman" w:cs="Times New Roman"/>
          <w:sz w:val="28"/>
          <w:szCs w:val="28"/>
          <w:lang w:eastAsia="en-US"/>
        </w:rPr>
        <w:t xml:space="preserve"> детей, в 2018 году – 147 025 детей). </w:t>
      </w:r>
    </w:p>
    <w:p w14:paraId="5288E805"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 xml:space="preserve">В 2019 году стоимость путевок в организации отдыха детей и их оздоровления была сохранена на уровне 2018 года. Учитывая низкую стоимость путевок и тип организаций, имеющих частную форму собственности (в основном, это </w:t>
      </w:r>
      <w:r w:rsidRPr="00901F6F">
        <w:rPr>
          <w:rFonts w:ascii="Times New Roman" w:eastAsia="Times New Roman" w:hAnsi="Times New Roman" w:cs="Times New Roman"/>
          <w:sz w:val="28"/>
          <w:szCs w:val="28"/>
          <w:lang w:eastAsia="en-US"/>
        </w:rPr>
        <w:lastRenderedPageBreak/>
        <w:t xml:space="preserve">организации сезонного действия и палаточного типа), уровень участия в электронных аукционах на электронной площадке </w:t>
      </w:r>
      <w:r w:rsidRPr="00901F6F">
        <w:rPr>
          <w:rFonts w:ascii="Times New Roman" w:eastAsia="Times New Roman" w:hAnsi="Times New Roman" w:cs="Times New Roman"/>
          <w:sz w:val="28"/>
          <w:szCs w:val="28"/>
          <w:lang w:val="en-US" w:eastAsia="en-US"/>
        </w:rPr>
        <w:t>RTS</w:t>
      </w:r>
      <w:r w:rsidRPr="00901F6F">
        <w:rPr>
          <w:rFonts w:ascii="Times New Roman" w:eastAsia="Times New Roman" w:hAnsi="Times New Roman" w:cs="Times New Roman"/>
          <w:sz w:val="28"/>
          <w:szCs w:val="28"/>
          <w:lang w:eastAsia="en-US"/>
        </w:rPr>
        <w:t>-</w:t>
      </w:r>
      <w:r w:rsidRPr="00901F6F">
        <w:rPr>
          <w:rFonts w:ascii="Times New Roman" w:eastAsia="Times New Roman" w:hAnsi="Times New Roman" w:cs="Times New Roman"/>
          <w:sz w:val="28"/>
          <w:szCs w:val="28"/>
          <w:lang w:val="en-US" w:eastAsia="en-US"/>
        </w:rPr>
        <w:t>tender</w:t>
      </w:r>
      <w:r w:rsidRPr="00901F6F">
        <w:rPr>
          <w:rFonts w:ascii="Times New Roman" w:eastAsia="Times New Roman" w:hAnsi="Times New Roman" w:cs="Times New Roman"/>
          <w:sz w:val="28"/>
          <w:szCs w:val="28"/>
          <w:lang w:eastAsia="en-US"/>
        </w:rPr>
        <w:t xml:space="preserve"> определен как невысокий. При размещении конкурсной документации на электронной площадке </w:t>
      </w:r>
      <w:r w:rsidRPr="00901F6F">
        <w:rPr>
          <w:rFonts w:ascii="Times New Roman" w:eastAsia="Times New Roman" w:hAnsi="Times New Roman" w:cs="Times New Roman"/>
          <w:sz w:val="28"/>
          <w:szCs w:val="28"/>
          <w:lang w:val="en-US" w:eastAsia="en-US"/>
        </w:rPr>
        <w:t>RTS</w:t>
      </w:r>
      <w:r w:rsidRPr="00901F6F">
        <w:rPr>
          <w:rFonts w:ascii="Times New Roman" w:eastAsia="Times New Roman" w:hAnsi="Times New Roman" w:cs="Times New Roman"/>
          <w:sz w:val="28"/>
          <w:szCs w:val="28"/>
          <w:lang w:eastAsia="en-US"/>
        </w:rPr>
        <w:t>-</w:t>
      </w:r>
      <w:r w:rsidRPr="00901F6F">
        <w:rPr>
          <w:rFonts w:ascii="Times New Roman" w:eastAsia="Times New Roman" w:hAnsi="Times New Roman" w:cs="Times New Roman"/>
          <w:sz w:val="28"/>
          <w:szCs w:val="28"/>
          <w:lang w:val="en-US" w:eastAsia="en-US"/>
        </w:rPr>
        <w:t>tender</w:t>
      </w:r>
      <w:r w:rsidRPr="00901F6F">
        <w:rPr>
          <w:rFonts w:ascii="Times New Roman" w:eastAsia="Times New Roman" w:hAnsi="Times New Roman" w:cs="Times New Roman"/>
          <w:sz w:val="28"/>
          <w:szCs w:val="28"/>
          <w:lang w:eastAsia="en-US"/>
        </w:rPr>
        <w:t>.</w:t>
      </w:r>
      <w:r w:rsidRPr="00901F6F">
        <w:rPr>
          <w:rFonts w:ascii="Times New Roman" w:eastAsia="Times New Roman" w:hAnsi="Times New Roman" w:cs="Times New Roman"/>
          <w:sz w:val="28"/>
          <w:szCs w:val="28"/>
          <w:lang w:val="en-US" w:eastAsia="en-US"/>
        </w:rPr>
        <w:t>ru</w:t>
      </w:r>
      <w:r w:rsidRPr="00901F6F">
        <w:rPr>
          <w:rFonts w:ascii="Times New Roman" w:eastAsia="Times New Roman" w:hAnsi="Times New Roman" w:cs="Times New Roman"/>
          <w:sz w:val="28"/>
          <w:szCs w:val="28"/>
          <w:lang w:eastAsia="en-US"/>
        </w:rPr>
        <w:t xml:space="preserve"> не установлено ограничений по участию организаций, имеющих частную форму собственности. </w:t>
      </w:r>
    </w:p>
    <w:p w14:paraId="6939DB22"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 xml:space="preserve">За счет средств областного бюджета Новосибирской области министерством труда и социального развития Новосибирской области приобретено 19 268 путевок в организации отдыха детей и их оздоровления Новосибирской области (2018 год – 18 965 путевок), в том числе 11 598 путевок для детей, находящихся в трудной жизненной ситуации (2018 год - 11 374 путевки). </w:t>
      </w:r>
    </w:p>
    <w:p w14:paraId="6B98A6F4"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В организации, находящиеся в частной форме собственности, приобретена 5 321 путевка (2018 год – 5297 путевок). Заключено 17 контрактов на оказание услуг по организации отдыха и оздоровления детей с 7 организациями отдыха детей и их оздоровления частной формы собственности, в которых отдохнули 2 279 детей (2018 год – 1 911 детей), в том числе предметом 11 заключенных контрактов (2018 – 10 контрактов) с 7 оздоровительными негосударственными организациями стало проведение профильных смен с участием 813 детей (2018 год – 602 ребенка).</w:t>
      </w:r>
    </w:p>
    <w:p w14:paraId="5A49C54B"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Организован отдых и оздоровление 3 042 детей (2018 год – 3 386 детей) категории «дети, находящиеся в трудной жизненной ситуации, дети-сироты и дети, оставшиеся без попечения родителей, в том числе дошкольного возраста, и лица, достигшие 18 лет, находящиеся в учреждениях для детей-сирот и детей, оставшихся без попечения родителей» в 8 оздоровительных учреждениях частной формы собственности (заключено 22 контракта (2018 год – 30 контрактов).</w:t>
      </w:r>
    </w:p>
    <w:p w14:paraId="5B22A264" w14:textId="77777777" w:rsidR="003F4CFF" w:rsidRPr="00EC5135"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Pr>
          <w:rFonts w:ascii="Times New Roman" w:eastAsia="Times New Roman" w:hAnsi="Times New Roman" w:cs="Times New Roman"/>
          <w:sz w:val="28"/>
          <w:szCs w:val="28"/>
        </w:rPr>
        <w:t xml:space="preserve"> за 2019 год</w:t>
      </w:r>
      <w:r w:rsidRPr="00EC5135">
        <w:rPr>
          <w:rFonts w:ascii="Times New Roman" w:hAnsi="Times New Roman" w:cs="Times New Roman"/>
          <w:sz w:val="28"/>
          <w:szCs w:val="28"/>
        </w:rPr>
        <w:t xml:space="preserve"> </w:t>
      </w:r>
      <w:r>
        <w:rPr>
          <w:rFonts w:ascii="Times New Roman" w:hAnsi="Times New Roman" w:cs="Times New Roman"/>
          <w:sz w:val="28"/>
          <w:szCs w:val="28"/>
        </w:rPr>
        <w:t>п</w:t>
      </w:r>
      <w:r w:rsidRPr="00EC5135">
        <w:rPr>
          <w:rFonts w:ascii="Times New Roman" w:hAnsi="Times New Roman" w:cs="Times New Roman"/>
          <w:sz w:val="28"/>
          <w:szCs w:val="28"/>
        </w:rPr>
        <w:t xml:space="preserve">оловина опрошенных субъектов предпринимательства </w:t>
      </w:r>
      <w:r>
        <w:rPr>
          <w:rFonts w:ascii="Times New Roman" w:hAnsi="Times New Roman" w:cs="Times New Roman"/>
          <w:sz w:val="28"/>
          <w:szCs w:val="28"/>
        </w:rPr>
        <w:t>отметили</w:t>
      </w:r>
      <w:r w:rsidRPr="00EC5135">
        <w:rPr>
          <w:rFonts w:ascii="Times New Roman" w:hAnsi="Times New Roman" w:cs="Times New Roman"/>
          <w:sz w:val="28"/>
          <w:szCs w:val="28"/>
        </w:rPr>
        <w:t xml:space="preserve"> высокую конкуренцию (50%)</w:t>
      </w:r>
      <w:r>
        <w:rPr>
          <w:rFonts w:ascii="Times New Roman" w:hAnsi="Times New Roman" w:cs="Times New Roman"/>
          <w:sz w:val="28"/>
          <w:szCs w:val="28"/>
        </w:rPr>
        <w:t>.</w:t>
      </w:r>
    </w:p>
    <w:p w14:paraId="5ABCAF7E"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непреодолимых</w:t>
      </w:r>
      <w:r>
        <w:rPr>
          <w:rFonts w:ascii="Times New Roman" w:hAnsi="Times New Roman" w:cs="Times New Roman"/>
          <w:sz w:val="28"/>
          <w:szCs w:val="28"/>
        </w:rPr>
        <w:t xml:space="preserve"> административных барьеров отметили</w:t>
      </w:r>
      <w:r w:rsidRPr="00EC5135">
        <w:rPr>
          <w:rFonts w:ascii="Times New Roman" w:hAnsi="Times New Roman" w:cs="Times New Roman"/>
          <w:sz w:val="28"/>
          <w:szCs w:val="28"/>
        </w:rPr>
        <w:t xml:space="preserve"> 18% субъектов предпринимательства</w:t>
      </w:r>
      <w:r>
        <w:rPr>
          <w:rFonts w:ascii="Times New Roman" w:hAnsi="Times New Roman" w:cs="Times New Roman"/>
          <w:sz w:val="28"/>
          <w:szCs w:val="28"/>
        </w:rPr>
        <w:t>.</w:t>
      </w:r>
    </w:p>
    <w:p w14:paraId="13A55476"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В оценке деятельности органов власти преобладает мнение, что органы власти помогают бизнесу своими действиями (50%). </w:t>
      </w:r>
    </w:p>
    <w:p w14:paraId="48A5E49F" w14:textId="77777777" w:rsidR="003F4CFF" w:rsidRPr="009E4185" w:rsidRDefault="003F4CFF" w:rsidP="003F4CFF">
      <w:pPr>
        <w:ind w:firstLine="567"/>
        <w:jc w:val="both"/>
        <w:rPr>
          <w:rFonts w:ascii="Times New Roman" w:eastAsia="Times New Roman" w:hAnsi="Times New Roman" w:cs="Times New Roman"/>
          <w:sz w:val="28"/>
          <w:szCs w:val="28"/>
        </w:rPr>
      </w:pPr>
      <w:r w:rsidRPr="009E4185">
        <w:rPr>
          <w:rFonts w:ascii="Times New Roman" w:eastAsia="Times New Roman" w:hAnsi="Times New Roman" w:cs="Times New Roman"/>
          <w:sz w:val="28"/>
          <w:szCs w:val="28"/>
          <w:shd w:val="clear" w:color="auto" w:fill="FFFFFF"/>
        </w:rPr>
        <w:t>Отмечается недостаточное количество организаций на данном рынке (</w:t>
      </w:r>
      <w:r w:rsidRPr="009E4185">
        <w:rPr>
          <w:rFonts w:ascii="Times New Roman" w:hAnsi="Times New Roman" w:cs="Times New Roman"/>
          <w:sz w:val="28"/>
          <w:szCs w:val="28"/>
        </w:rPr>
        <w:t>так считают 65% потребителей</w:t>
      </w:r>
      <w:r w:rsidRPr="009E4185">
        <w:rPr>
          <w:rFonts w:ascii="Times New Roman" w:eastAsia="Times New Roman" w:hAnsi="Times New Roman" w:cs="Times New Roman"/>
          <w:sz w:val="28"/>
          <w:szCs w:val="28"/>
          <w:shd w:val="clear" w:color="auto" w:fill="FFFFFF"/>
        </w:rPr>
        <w:t xml:space="preserve">) и относительно небольшое увеличение числа организаций за последние 3 года (отмечают рост числа организаций 22% потребителей). </w:t>
      </w:r>
      <w:r w:rsidRPr="009E4185">
        <w:rPr>
          <w:rFonts w:ascii="Times New Roman" w:eastAsia="Times New Roman" w:hAnsi="Times New Roman" w:cs="Times New Roman"/>
          <w:sz w:val="28"/>
          <w:szCs w:val="28"/>
        </w:rPr>
        <w:t>Удовлетворенность потребителей выбором услуг, их качеством и стоимостью находится на низком уровне (44%, 46% и 35% соответственно), что свидетельствует о негативной ситуации на рынке. Рост уровня цен за последние 3 года отмечают 70% потребителей, при этом мнения о динамике качества услуг разделились: повышение качества отмечают 22% потребителей, снижение – 23%.</w:t>
      </w:r>
    </w:p>
    <w:p w14:paraId="1F40729E"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услуг розничной торговли лекарственными препаратами, медицинскими изделиями и сопутствующими товарами</w:t>
      </w:r>
    </w:p>
    <w:p w14:paraId="0679DC7C" w14:textId="77777777" w:rsidR="003F4CFF" w:rsidRPr="00901F6F" w:rsidRDefault="003F4CFF" w:rsidP="003F4CFF">
      <w:pPr>
        <w:shd w:val="clear" w:color="auto" w:fill="FFFFFF" w:themeFill="background1"/>
        <w:tabs>
          <w:tab w:val="left" w:pos="5"/>
          <w:tab w:val="left" w:pos="7809"/>
        </w:tabs>
        <w:ind w:firstLine="567"/>
        <w:jc w:val="both"/>
        <w:rPr>
          <w:rFonts w:ascii="Times New Roman" w:hAnsi="Times New Roman" w:cs="Times New Roman"/>
          <w:sz w:val="28"/>
          <w:szCs w:val="28"/>
        </w:rPr>
      </w:pPr>
      <w:r w:rsidRPr="00901F6F">
        <w:rPr>
          <w:rFonts w:ascii="Times New Roman" w:hAnsi="Times New Roman" w:cs="Times New Roman"/>
          <w:sz w:val="28"/>
          <w:szCs w:val="28"/>
        </w:rPr>
        <w:t xml:space="preserve">На территории Новосибирской области розничная торговля лекарственными препаратами осуществляется 1543 аптеками, аптечными пунктами (505 юридических лиц, индивидуальных предпринимателей), из них 1386 аптек, аптечных пунктов частной формы собственности (457 юридических лиц, </w:t>
      </w:r>
      <w:r w:rsidRPr="00901F6F">
        <w:rPr>
          <w:rFonts w:ascii="Times New Roman" w:hAnsi="Times New Roman" w:cs="Times New Roman"/>
          <w:sz w:val="28"/>
          <w:szCs w:val="28"/>
        </w:rPr>
        <w:lastRenderedPageBreak/>
        <w:t xml:space="preserve">индивидуальных предпринимателей) и 157 аптек, аптечных пунктов государственной и муниципальной форм собственности (в число аптечных организаций государственной формы собственности не включены 79 объектов ГБУЗ НСО «Новосибоблфарм», осуществляющих только отпуск лекарственных препаратов по бесплатным и льготным рецептам). </w:t>
      </w:r>
    </w:p>
    <w:p w14:paraId="0C0C46A9" w14:textId="77777777" w:rsidR="003F4CFF" w:rsidRPr="00901F6F" w:rsidRDefault="003F4CFF" w:rsidP="003F4CFF">
      <w:pPr>
        <w:shd w:val="clear" w:color="auto" w:fill="FFFFFF" w:themeFill="background1"/>
        <w:tabs>
          <w:tab w:val="left" w:pos="5"/>
          <w:tab w:val="left" w:pos="7809"/>
        </w:tabs>
        <w:ind w:firstLine="567"/>
        <w:jc w:val="both"/>
        <w:rPr>
          <w:rFonts w:ascii="Times New Roman" w:hAnsi="Times New Roman" w:cs="Times New Roman"/>
          <w:sz w:val="28"/>
          <w:szCs w:val="28"/>
        </w:rPr>
      </w:pPr>
      <w:r w:rsidRPr="00901F6F">
        <w:rPr>
          <w:rFonts w:ascii="Times New Roman" w:hAnsi="Times New Roman" w:cs="Times New Roman"/>
          <w:sz w:val="28"/>
          <w:szCs w:val="28"/>
        </w:rPr>
        <w:t>За период 2014-2019 годов в Новосибирской области произошло увеличение количества участников на фармацевтическом рынке (юридических лиц, индивидуальных предпринимателей) на 5,2% и на 13,1% аптек, аптечных пунктов розничной торговли лекарственными препаратами, медицинскими изделиями и сопутствующими товарами.</w:t>
      </w:r>
    </w:p>
    <w:p w14:paraId="4DFF6B0E" w14:textId="77777777" w:rsidR="003F4CFF" w:rsidRPr="00901F6F" w:rsidRDefault="003F4CFF" w:rsidP="003F4CFF">
      <w:pPr>
        <w:shd w:val="clear" w:color="auto" w:fill="FFFFFF" w:themeFill="background1"/>
        <w:tabs>
          <w:tab w:val="left" w:pos="5"/>
          <w:tab w:val="left" w:pos="7809"/>
        </w:tabs>
        <w:ind w:firstLine="567"/>
        <w:jc w:val="both"/>
        <w:rPr>
          <w:rFonts w:ascii="Times New Roman" w:hAnsi="Times New Roman" w:cs="Times New Roman"/>
          <w:sz w:val="28"/>
          <w:szCs w:val="28"/>
        </w:rPr>
      </w:pPr>
      <w:r w:rsidRPr="00901F6F">
        <w:rPr>
          <w:rFonts w:ascii="Times New Roman" w:hAnsi="Times New Roman" w:cs="Times New Roman"/>
          <w:sz w:val="28"/>
          <w:szCs w:val="28"/>
        </w:rPr>
        <w:t xml:space="preserve">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составляет 90%, что значительно превышает ключевой показатель, установленный </w:t>
      </w:r>
      <w:r w:rsidR="00FF657E">
        <w:rPr>
          <w:rFonts w:ascii="Times New Roman" w:hAnsi="Times New Roman" w:cs="Times New Roman"/>
          <w:sz w:val="28"/>
          <w:szCs w:val="28"/>
        </w:rPr>
        <w:t>Стандартом</w:t>
      </w:r>
      <w:r w:rsidRPr="00901F6F">
        <w:rPr>
          <w:rFonts w:ascii="Times New Roman" w:hAnsi="Times New Roman" w:cs="Times New Roman"/>
          <w:sz w:val="28"/>
          <w:szCs w:val="28"/>
        </w:rPr>
        <w:t>.</w:t>
      </w:r>
    </w:p>
    <w:p w14:paraId="5ABAD1A0" w14:textId="77777777" w:rsidR="003F4CFF" w:rsidRPr="00901F6F" w:rsidRDefault="003F4CFF" w:rsidP="003F4CFF">
      <w:pPr>
        <w:shd w:val="clear" w:color="auto" w:fill="FFFFFF" w:themeFill="background1"/>
        <w:tabs>
          <w:tab w:val="left" w:pos="5"/>
          <w:tab w:val="left" w:pos="7809"/>
        </w:tabs>
        <w:ind w:firstLine="567"/>
        <w:jc w:val="both"/>
        <w:rPr>
          <w:rFonts w:ascii="Times New Roman" w:hAnsi="Times New Roman" w:cs="Times New Roman"/>
          <w:sz w:val="28"/>
          <w:szCs w:val="28"/>
        </w:rPr>
      </w:pPr>
      <w:r w:rsidRPr="00901F6F">
        <w:rPr>
          <w:rFonts w:ascii="Times New Roman" w:hAnsi="Times New Roman" w:cs="Times New Roman"/>
          <w:sz w:val="28"/>
          <w:szCs w:val="28"/>
        </w:rPr>
        <w:t>Основными проблемами на данном рынке являются:</w:t>
      </w:r>
    </w:p>
    <w:p w14:paraId="4C08C349" w14:textId="77777777" w:rsidR="003F4CFF" w:rsidRPr="00901F6F" w:rsidRDefault="003F4CFF" w:rsidP="003F4CFF">
      <w:pPr>
        <w:shd w:val="clear" w:color="auto" w:fill="FFFFFF" w:themeFill="background1"/>
        <w:tabs>
          <w:tab w:val="left" w:pos="5"/>
          <w:tab w:val="left" w:pos="7809"/>
        </w:tabs>
        <w:ind w:firstLine="567"/>
        <w:jc w:val="both"/>
        <w:rPr>
          <w:rFonts w:ascii="Times New Roman" w:hAnsi="Times New Roman" w:cs="Times New Roman"/>
          <w:sz w:val="28"/>
          <w:szCs w:val="28"/>
        </w:rPr>
      </w:pPr>
      <w:r w:rsidRPr="00901F6F">
        <w:rPr>
          <w:rFonts w:ascii="Times New Roman" w:hAnsi="Times New Roman" w:cs="Times New Roman"/>
          <w:sz w:val="28"/>
          <w:szCs w:val="28"/>
        </w:rPr>
        <w:t xml:space="preserve">неравномерное размещение аптек и аптечных пунктов на территории Новосибирской области. Основная часть точек розничной торговли лекарственными препаратами, медицинскими изделиями и сопутствующими товарами расположена на территории городов Новосибирска, Бердска, Искитима, Оби, где в связи с большой плотностью размещения аптечных учреждений имеет место высокий уровень конкуренции среди хозяйствующих субъектов, ниже цены на лекарственные препараты. В то же время имеется недостаточный уровень лекарственного обеспечения жителей отдаленных населенных пунктов, расположенных в районах области, где отсутствуют аптечные организации в связи с экономической непривлекательностью для участников рынка; </w:t>
      </w:r>
    </w:p>
    <w:p w14:paraId="0738B166" w14:textId="77777777" w:rsidR="003F4CFF" w:rsidRPr="00901F6F" w:rsidRDefault="003F4CFF" w:rsidP="003F4CFF">
      <w:pPr>
        <w:shd w:val="clear" w:color="auto" w:fill="FFFFFF" w:themeFill="background1"/>
        <w:tabs>
          <w:tab w:val="left" w:pos="5"/>
          <w:tab w:val="left" w:pos="7809"/>
        </w:tabs>
        <w:ind w:firstLine="567"/>
        <w:jc w:val="both"/>
        <w:rPr>
          <w:rFonts w:ascii="Times New Roman" w:hAnsi="Times New Roman" w:cs="Times New Roman"/>
          <w:sz w:val="28"/>
          <w:szCs w:val="28"/>
        </w:rPr>
      </w:pPr>
      <w:r w:rsidRPr="00901F6F">
        <w:rPr>
          <w:rFonts w:ascii="Times New Roman" w:hAnsi="Times New Roman" w:cs="Times New Roman"/>
          <w:sz w:val="28"/>
          <w:szCs w:val="28"/>
        </w:rPr>
        <w:t>недостаточное обеспечение фармацевтическими кадрами, особенно в отдаленных районах области, что влияет на развитие фармацевтического рынка районах области.</w:t>
      </w:r>
    </w:p>
    <w:p w14:paraId="24FA3C6C" w14:textId="77777777" w:rsidR="003F4CFF" w:rsidRPr="00EC5135"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Pr>
          <w:rFonts w:ascii="Times New Roman" w:eastAsia="Times New Roman" w:hAnsi="Times New Roman" w:cs="Times New Roman"/>
          <w:sz w:val="28"/>
          <w:szCs w:val="28"/>
        </w:rPr>
        <w:t xml:space="preserve"> за 2019 года з</w:t>
      </w:r>
      <w:r w:rsidRPr="00EC5135">
        <w:rPr>
          <w:rFonts w:ascii="Times New Roman" w:hAnsi="Times New Roman" w:cs="Times New Roman"/>
          <w:sz w:val="28"/>
          <w:szCs w:val="28"/>
        </w:rPr>
        <w:t>афиксированы максимально высокие оцен</w:t>
      </w:r>
      <w:r>
        <w:rPr>
          <w:rFonts w:ascii="Times New Roman" w:hAnsi="Times New Roman" w:cs="Times New Roman"/>
          <w:sz w:val="28"/>
          <w:szCs w:val="28"/>
        </w:rPr>
        <w:t xml:space="preserve">ки уровня конкуренции на рынке – </w:t>
      </w:r>
      <w:r w:rsidRPr="00EC5135">
        <w:rPr>
          <w:rFonts w:ascii="Times New Roman" w:hAnsi="Times New Roman" w:cs="Times New Roman"/>
          <w:sz w:val="28"/>
          <w:szCs w:val="28"/>
        </w:rPr>
        <w:t>82%.</w:t>
      </w:r>
    </w:p>
    <w:p w14:paraId="2EECAEB6"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непреодолимых административных барьеров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18% субъектов предпринимательства. При этом наблюдается повышенная значимость таких барьеров, как нестабильность законодательства, регулирующего предпринимательскую деятельность </w:t>
      </w:r>
      <w:r>
        <w:rPr>
          <w:rFonts w:ascii="Times New Roman" w:hAnsi="Times New Roman" w:cs="Times New Roman"/>
          <w:sz w:val="28"/>
          <w:szCs w:val="28"/>
        </w:rPr>
        <w:t>(</w:t>
      </w:r>
      <w:r w:rsidRPr="00EC5135">
        <w:rPr>
          <w:rFonts w:ascii="Times New Roman" w:hAnsi="Times New Roman" w:cs="Times New Roman"/>
          <w:sz w:val="28"/>
          <w:szCs w:val="28"/>
        </w:rPr>
        <w:t>44%) и сложность процедуры получения лицензий, средств государственной поддержки, разрешений, согласований и т.д. (</w:t>
      </w:r>
      <w:r>
        <w:rPr>
          <w:rFonts w:ascii="Times New Roman" w:hAnsi="Times New Roman" w:cs="Times New Roman"/>
          <w:sz w:val="28"/>
          <w:szCs w:val="28"/>
        </w:rPr>
        <w:t>45%</w:t>
      </w:r>
      <w:r w:rsidRPr="00EC5135">
        <w:rPr>
          <w:rFonts w:ascii="Times New Roman" w:hAnsi="Times New Roman" w:cs="Times New Roman"/>
          <w:sz w:val="28"/>
          <w:szCs w:val="28"/>
        </w:rPr>
        <w:t xml:space="preserve">). </w:t>
      </w:r>
    </w:p>
    <w:p w14:paraId="48F74DCA"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В оценке деятельности органов власти незначительно преобладает мнение среди субъектов предпринимательства, что органы власти ничего не предпринимают, </w:t>
      </w:r>
      <w:r>
        <w:rPr>
          <w:rFonts w:ascii="Times New Roman" w:hAnsi="Times New Roman" w:cs="Times New Roman"/>
          <w:sz w:val="28"/>
          <w:szCs w:val="28"/>
        </w:rPr>
        <w:t>но их участие необходимо (25%).</w:t>
      </w:r>
    </w:p>
    <w:p w14:paraId="527017C5" w14:textId="77777777" w:rsidR="003F4CFF" w:rsidRPr="009E4185" w:rsidRDefault="003F4CFF" w:rsidP="003F4CFF">
      <w:pPr>
        <w:ind w:firstLine="567"/>
        <w:jc w:val="both"/>
        <w:rPr>
          <w:rFonts w:ascii="Times New Roman" w:eastAsia="Times New Roman" w:hAnsi="Times New Roman" w:cs="Times New Roman"/>
          <w:sz w:val="28"/>
          <w:szCs w:val="28"/>
          <w:lang w:eastAsia="en-US"/>
        </w:rPr>
      </w:pPr>
      <w:r w:rsidRPr="009E4185">
        <w:rPr>
          <w:rFonts w:ascii="Times New Roman" w:eastAsia="Times New Roman" w:hAnsi="Times New Roman" w:cs="Times New Roman"/>
          <w:sz w:val="28"/>
          <w:szCs w:val="28"/>
          <w:shd w:val="clear" w:color="auto" w:fill="FFFFFF"/>
        </w:rPr>
        <w:t>По многим показателям ситуация на данном рынке значительно более благоприятная, чем на других исследуемых рынках, исключение составляют только показатели ценовой конкуренции: у</w:t>
      </w:r>
      <w:r w:rsidRPr="009E4185">
        <w:rPr>
          <w:rFonts w:ascii="Times New Roman" w:eastAsia="Times New Roman" w:hAnsi="Times New Roman" w:cs="Times New Roman"/>
          <w:sz w:val="28"/>
          <w:szCs w:val="28"/>
        </w:rPr>
        <w:t xml:space="preserve">довлетворенность потребителей ценами находится на низком уровне (47%), а рост уровня цен за последние 3 года отмечает </w:t>
      </w:r>
      <w:r w:rsidRPr="009E4185">
        <w:rPr>
          <w:rFonts w:ascii="Times New Roman" w:eastAsia="Times New Roman" w:hAnsi="Times New Roman" w:cs="Times New Roman"/>
          <w:sz w:val="28"/>
          <w:szCs w:val="28"/>
        </w:rPr>
        <w:lastRenderedPageBreak/>
        <w:t xml:space="preserve">максимальная доля потребителей (83%). Удовлетворенность потребителей выбором услуг и их качеством находится на высоком уровне (82% и 76% соответственно), недостатка организаций на данном рынке не наблюдается (отмечают только 12% потребителей). При этом отмечается значительная положительная динамика за последние 3 года по количеству организаций (отмечают его рост 68% потребителей), по возможности выбора услуг (54%), в меньшей степени – по качеству услуг (повышение качества отмечают 21% потребителей, снижение – 15%). </w:t>
      </w:r>
    </w:p>
    <w:p w14:paraId="314CD528"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психолого-педагогического сопровождения детей с ограниченными возможностями здоровья</w:t>
      </w:r>
    </w:p>
    <w:p w14:paraId="6B9A2B48"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rPr>
      </w:pPr>
      <w:r w:rsidRPr="00901F6F">
        <w:rPr>
          <w:rFonts w:ascii="Times New Roman" w:hAnsi="Times New Roman" w:cs="Times New Roman"/>
          <w:sz w:val="28"/>
          <w:szCs w:val="28"/>
          <w:lang w:eastAsia="en-US"/>
        </w:rPr>
        <w:t>На территории Новосибирской области формируется новая модель перманентного сопровождения детей на всех возрастных ступенях: от раннего детства до раннего юношества. Данная модель позволяет минимизировать риски помещения детей с особенностями здоровья в специализированные стационарные учреждения, в том числе по достижению ими возраста 18 лет. Модель ориентирована на формирование у детей необходимых навыков и умений, повышающих уровень социализации и способствующих созданию условий для самостоятельного или сопровождаемого проживания. Мо</w:t>
      </w:r>
      <w:r w:rsidRPr="00901F6F">
        <w:rPr>
          <w:rFonts w:ascii="Times New Roman" w:eastAsia="Times New Roman" w:hAnsi="Times New Roman" w:cs="Times New Roman"/>
          <w:sz w:val="28"/>
          <w:szCs w:val="28"/>
        </w:rPr>
        <w:t>дель оказания помощи и поддержки детям с ограниченными возможностями здоровья (далее – ОВЗ), ориентирована на признание родителей в качестве равноправных партнеров в реализации коррекционно-развивающих программ.</w:t>
      </w:r>
    </w:p>
    <w:p w14:paraId="147B5B80" w14:textId="1336F09E" w:rsidR="003F4CFF" w:rsidRPr="00901F6F" w:rsidRDefault="003F4CFF" w:rsidP="003F4CFF">
      <w:pPr>
        <w:shd w:val="clear" w:color="auto" w:fill="FFFFFF" w:themeFill="background1"/>
        <w:ind w:firstLine="567"/>
        <w:jc w:val="both"/>
        <w:rPr>
          <w:rFonts w:ascii="Times New Roman" w:hAnsi="Times New Roman" w:cs="Times New Roman"/>
          <w:sz w:val="28"/>
          <w:szCs w:val="28"/>
          <w:lang w:eastAsia="en-US"/>
        </w:rPr>
      </w:pPr>
      <w:r w:rsidRPr="00901F6F">
        <w:rPr>
          <w:rFonts w:ascii="Times New Roman" w:eastAsia="Times New Roman" w:hAnsi="Times New Roman" w:cs="Times New Roman"/>
          <w:sz w:val="28"/>
          <w:szCs w:val="28"/>
        </w:rPr>
        <w:t>По состоянию на 01.07.2019 численность детей-инвалидов, проживающих в Новосибирской области, составила 9 730 человек (01.01.2019 – 9,4 тыс. человек, на</w:t>
      </w:r>
      <w:r w:rsidR="00C97719">
        <w:rPr>
          <w:rFonts w:ascii="Times New Roman" w:eastAsia="Times New Roman" w:hAnsi="Times New Roman" w:cs="Times New Roman"/>
          <w:sz w:val="28"/>
          <w:szCs w:val="28"/>
        </w:rPr>
        <w:t> </w:t>
      </w:r>
      <w:r w:rsidRPr="00901F6F">
        <w:rPr>
          <w:rFonts w:ascii="Times New Roman" w:eastAsia="Times New Roman" w:hAnsi="Times New Roman" w:cs="Times New Roman"/>
          <w:sz w:val="28"/>
          <w:szCs w:val="28"/>
        </w:rPr>
        <w:t xml:space="preserve">01.01.2018 – 8,9 тыс. человек). </w:t>
      </w:r>
      <w:r w:rsidRPr="00901F6F">
        <w:rPr>
          <w:rFonts w:ascii="Times New Roman" w:hAnsi="Times New Roman" w:cs="Times New Roman"/>
          <w:sz w:val="28"/>
          <w:szCs w:val="28"/>
          <w:lang w:eastAsia="en-US"/>
        </w:rPr>
        <w:t xml:space="preserve">Реабилитационные услуги получили 8 417 детей </w:t>
      </w:r>
      <w:r w:rsidRPr="00901F6F">
        <w:rPr>
          <w:rFonts w:ascii="Times New Roman" w:eastAsia="Times New Roman" w:hAnsi="Times New Roman" w:cs="Times New Roman"/>
          <w:sz w:val="28"/>
          <w:szCs w:val="28"/>
        </w:rPr>
        <w:t>(в 2018 году – 7,6 тыс. детей, в 2017 году – 6,6 тыс. детей).</w:t>
      </w:r>
      <w:r w:rsidRPr="00901F6F">
        <w:rPr>
          <w:rFonts w:ascii="Times New Roman" w:hAnsi="Times New Roman" w:cs="Times New Roman"/>
          <w:sz w:val="28"/>
          <w:szCs w:val="28"/>
          <w:lang w:eastAsia="en-US"/>
        </w:rPr>
        <w:t xml:space="preserve"> Услуги ранней помощи были оказаны в 2019 году 1 284 детям, из них 130 детям услуги оказаны социально ориентированными некоммерческими</w:t>
      </w:r>
      <w:r>
        <w:rPr>
          <w:rFonts w:ascii="Times New Roman" w:hAnsi="Times New Roman" w:cs="Times New Roman"/>
          <w:sz w:val="28"/>
          <w:szCs w:val="28"/>
          <w:lang w:eastAsia="en-US"/>
        </w:rPr>
        <w:t xml:space="preserve"> организациями (далее – СОНКО) </w:t>
      </w:r>
      <w:r w:rsidRPr="00901F6F">
        <w:rPr>
          <w:rFonts w:ascii="Times New Roman" w:hAnsi="Times New Roman" w:cs="Times New Roman"/>
          <w:sz w:val="28"/>
          <w:szCs w:val="28"/>
          <w:lang w:eastAsia="en-US"/>
        </w:rPr>
        <w:t>или 10,1% (в 2018 году – 947 детям с ОВЗ, в том числе 50 детям – в негосударственных организациях (5,27%).</w:t>
      </w:r>
    </w:p>
    <w:p w14:paraId="5B71F82B" w14:textId="78C96F13" w:rsidR="003F4CFF" w:rsidRPr="00901F6F" w:rsidRDefault="003F4CFF" w:rsidP="003F4CFF">
      <w:pPr>
        <w:shd w:val="clear" w:color="auto" w:fill="FFFFFF" w:themeFill="background1"/>
        <w:ind w:firstLine="567"/>
        <w:jc w:val="both"/>
        <w:rPr>
          <w:rFonts w:ascii="Times New Roman" w:hAnsi="Times New Roman" w:cs="Times New Roman"/>
          <w:sz w:val="28"/>
          <w:szCs w:val="28"/>
          <w:lang w:eastAsia="en-US"/>
        </w:rPr>
      </w:pPr>
      <w:r w:rsidRPr="00901F6F">
        <w:rPr>
          <w:rFonts w:ascii="Times New Roman" w:hAnsi="Times New Roman" w:cs="Times New Roman"/>
          <w:sz w:val="28"/>
          <w:szCs w:val="28"/>
          <w:lang w:eastAsia="en-US"/>
        </w:rPr>
        <w:t xml:space="preserve">Система учреждений социального обслуживания населения области, </w:t>
      </w:r>
      <w:r w:rsidRPr="001C0A1F">
        <w:rPr>
          <w:rFonts w:ascii="Times New Roman" w:eastAsia="Times New Roman" w:hAnsi="Times New Roman" w:cs="Times New Roman"/>
          <w:sz w:val="28"/>
          <w:szCs w:val="28"/>
        </w:rPr>
        <w:t>оказывающих реабилитационные услуги детям-инвалидам, представлена 51 учреждением</w:t>
      </w:r>
      <w:r w:rsidRPr="00901F6F">
        <w:rPr>
          <w:rFonts w:ascii="Times New Roman" w:hAnsi="Times New Roman" w:cs="Times New Roman"/>
          <w:sz w:val="28"/>
          <w:szCs w:val="28"/>
          <w:lang w:eastAsia="en-US"/>
        </w:rPr>
        <w:t xml:space="preserve"> (45 муниципальных и 6 государственных</w:t>
      </w:r>
      <w:r w:rsidR="00C97719">
        <w:rPr>
          <w:rFonts w:ascii="Times New Roman" w:hAnsi="Times New Roman" w:cs="Times New Roman"/>
          <w:sz w:val="28"/>
          <w:szCs w:val="28"/>
          <w:lang w:eastAsia="en-US"/>
        </w:rPr>
        <w:t xml:space="preserve"> </w:t>
      </w:r>
      <w:r w:rsidR="00C97719" w:rsidRPr="00901F6F">
        <w:rPr>
          <w:rFonts w:ascii="Times New Roman" w:hAnsi="Times New Roman" w:cs="Times New Roman"/>
          <w:sz w:val="28"/>
          <w:szCs w:val="28"/>
          <w:lang w:eastAsia="en-US"/>
        </w:rPr>
        <w:t>учреждений</w:t>
      </w:r>
      <w:r w:rsidRPr="00901F6F">
        <w:rPr>
          <w:rFonts w:ascii="Times New Roman" w:hAnsi="Times New Roman" w:cs="Times New Roman"/>
          <w:sz w:val="28"/>
          <w:szCs w:val="28"/>
          <w:lang w:eastAsia="en-US"/>
        </w:rPr>
        <w:t>).</w:t>
      </w:r>
    </w:p>
    <w:p w14:paraId="3E4A6C14" w14:textId="77777777" w:rsidR="003F4CFF" w:rsidRPr="00901F6F" w:rsidRDefault="003F4CFF" w:rsidP="003F4CFF">
      <w:pPr>
        <w:ind w:firstLine="567"/>
        <w:jc w:val="both"/>
        <w:rPr>
          <w:rFonts w:ascii="Times New Roman" w:hAnsi="Times New Roman" w:cs="Times New Roman"/>
          <w:sz w:val="28"/>
          <w:szCs w:val="28"/>
          <w:lang w:eastAsia="en-US"/>
        </w:rPr>
      </w:pPr>
      <w:r w:rsidRPr="007F358C">
        <w:rPr>
          <w:rFonts w:ascii="Times New Roman" w:eastAsia="Times New Roman" w:hAnsi="Times New Roman" w:cs="Times New Roman"/>
          <w:sz w:val="28"/>
          <w:szCs w:val="28"/>
        </w:rPr>
        <w:t xml:space="preserve">В 2019 году в рамках реализации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утвержденной постановлением Правительства Новосибирской области от 31.07.2013 № 322-п «Об утверждении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w:t>
      </w:r>
      <w:r w:rsidRPr="007F358C">
        <w:rPr>
          <w:rFonts w:ascii="Times New Roman" w:hAnsi="Times New Roman" w:cs="Times New Roman"/>
          <w:sz w:val="28"/>
          <w:szCs w:val="28"/>
          <w:lang w:eastAsia="en-US"/>
        </w:rPr>
        <w:t xml:space="preserve">по результатам конкурсных отборов 15 некоммерческим организациям предоставлены субсидии (в 2016 году – 12 некоммерческим организациям, в 2017 году – 12, в 2018 году </w:t>
      </w:r>
      <w:r w:rsidR="0058090D">
        <w:rPr>
          <w:rFonts w:ascii="Times New Roman" w:hAnsi="Times New Roman" w:cs="Times New Roman"/>
          <w:sz w:val="28"/>
          <w:szCs w:val="28"/>
          <w:lang w:eastAsia="en-US"/>
        </w:rPr>
        <w:t>–</w:t>
      </w:r>
      <w:r w:rsidR="0058090D" w:rsidRPr="007F358C">
        <w:rPr>
          <w:rFonts w:ascii="Times New Roman" w:hAnsi="Times New Roman" w:cs="Times New Roman"/>
          <w:sz w:val="28"/>
          <w:szCs w:val="28"/>
          <w:lang w:eastAsia="en-US"/>
        </w:rPr>
        <w:t xml:space="preserve"> </w:t>
      </w:r>
      <w:r w:rsidRPr="007F358C">
        <w:rPr>
          <w:rFonts w:ascii="Times New Roman" w:hAnsi="Times New Roman" w:cs="Times New Roman"/>
          <w:sz w:val="28"/>
          <w:szCs w:val="28"/>
          <w:lang w:eastAsia="en-US"/>
        </w:rPr>
        <w:t xml:space="preserve">15). Необходимо отметить, что по результатам конкурсных отборов одна организация получила 3 субсидии на оказание услуг детям-инвалидам и детям с ОВЗ, еще 3 организации – по 2 субсидии. Доля негосударственных организаций частной формы </w:t>
      </w:r>
      <w:r w:rsidRPr="007F358C">
        <w:rPr>
          <w:rFonts w:ascii="Times New Roman" w:hAnsi="Times New Roman" w:cs="Times New Roman"/>
          <w:sz w:val="28"/>
          <w:szCs w:val="28"/>
          <w:lang w:eastAsia="en-US"/>
        </w:rPr>
        <w:lastRenderedPageBreak/>
        <w:t>собственности в сфере услуг психолого-педагогического сопровождения детей с ОВЗ составила 22,72% (в 2018 году – 22,7%).</w:t>
      </w:r>
    </w:p>
    <w:p w14:paraId="482108AB"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lang w:eastAsia="en-US"/>
        </w:rPr>
      </w:pPr>
      <w:r w:rsidRPr="00901F6F">
        <w:rPr>
          <w:rFonts w:ascii="Times New Roman" w:hAnsi="Times New Roman" w:cs="Times New Roman"/>
          <w:sz w:val="28"/>
          <w:szCs w:val="28"/>
        </w:rPr>
        <w:t>Сформирован реестр организаций, оказывающих услуги ранней помощи, в разрезе муниципальных образований Новосибирской области (с указанием наименования организации, ее контактных данных, видов оказываемых услуг ранней помощи). Рабочий вариант для широкого обсуждения размещен на сайте министерства</w:t>
      </w:r>
      <w:r w:rsidR="00547020">
        <w:rPr>
          <w:rFonts w:ascii="Times New Roman" w:hAnsi="Times New Roman" w:cs="Times New Roman"/>
          <w:sz w:val="28"/>
          <w:szCs w:val="28"/>
        </w:rPr>
        <w:t xml:space="preserve"> труда и социального развития Новосибирской области</w:t>
      </w:r>
      <w:r w:rsidRPr="00901F6F">
        <w:rPr>
          <w:rFonts w:ascii="Times New Roman" w:hAnsi="Times New Roman" w:cs="Times New Roman"/>
          <w:sz w:val="28"/>
          <w:szCs w:val="28"/>
        </w:rPr>
        <w:t xml:space="preserve"> </w:t>
      </w:r>
      <w:hyperlink r:id="rId64" w:history="1">
        <w:r w:rsidRPr="00556272">
          <w:rPr>
            <w:rFonts w:ascii="Times New Roman" w:hAnsi="Times New Roman" w:cs="Times New Roman"/>
            <w:color w:val="2F74FF" w:themeColor="text2" w:themeTint="80"/>
            <w:sz w:val="28"/>
            <w:szCs w:val="28"/>
            <w:u w:val="single"/>
          </w:rPr>
          <w:t>http://msr.nso.ru/page/6331</w:t>
        </w:r>
      </w:hyperlink>
      <w:r w:rsidRPr="00901F6F">
        <w:rPr>
          <w:rFonts w:ascii="Times New Roman" w:hAnsi="Times New Roman" w:cs="Times New Roman"/>
          <w:sz w:val="28"/>
          <w:szCs w:val="28"/>
        </w:rPr>
        <w:t>.</w:t>
      </w:r>
    </w:p>
    <w:p w14:paraId="365653F3"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rPr>
      </w:pPr>
      <w:r>
        <w:rPr>
          <w:rFonts w:ascii="Times New Roman" w:hAnsi="Times New Roman" w:cs="Times New Roman"/>
          <w:sz w:val="28"/>
          <w:szCs w:val="28"/>
          <w:lang w:eastAsia="en-US"/>
        </w:rPr>
        <w:t>Основными проблемами на данном рынке являются</w:t>
      </w:r>
      <w:r w:rsidRPr="00901F6F">
        <w:rPr>
          <w:rFonts w:ascii="Times New Roman" w:eastAsia="Times New Roman" w:hAnsi="Times New Roman" w:cs="Times New Roman"/>
          <w:sz w:val="28"/>
          <w:szCs w:val="28"/>
        </w:rPr>
        <w:t>:</w:t>
      </w:r>
    </w:p>
    <w:p w14:paraId="28DF643A"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sz w:val="28"/>
          <w:szCs w:val="28"/>
        </w:rPr>
        <w:t>отсутствие у негосударственных организаций необходимых помещений, материально-технической базы для оказания услуг (в том числе мебели, мягкого инвентаря, реабилитационного оборудования), стабильного кадрового состава;</w:t>
      </w:r>
    </w:p>
    <w:p w14:paraId="1D14BB79"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sz w:val="28"/>
          <w:szCs w:val="28"/>
        </w:rPr>
        <w:t>недостаточный уровень межведомственного взаимодействия в подходе к оказанию услуг, в том числе отсутствие условий для электронного документооборота, отсутствие возможности подключения к базам данных;</w:t>
      </w:r>
    </w:p>
    <w:p w14:paraId="3F68BF7D" w14:textId="77777777" w:rsidR="003F4CFF" w:rsidRPr="00901F6F" w:rsidRDefault="003F4CFF" w:rsidP="003F4CFF">
      <w:pPr>
        <w:shd w:val="clear" w:color="auto" w:fill="FFFFFF" w:themeFill="background1"/>
        <w:tabs>
          <w:tab w:val="left" w:pos="7809"/>
        </w:tabs>
        <w:ind w:firstLine="567"/>
        <w:jc w:val="both"/>
        <w:rPr>
          <w:rFonts w:ascii="Times New Roman" w:hAnsi="Times New Roman" w:cs="Times New Roman"/>
          <w:sz w:val="28"/>
          <w:szCs w:val="28"/>
          <w:lang w:eastAsia="en-US"/>
        </w:rPr>
      </w:pPr>
      <w:r w:rsidRPr="00901F6F">
        <w:rPr>
          <w:rFonts w:ascii="Times New Roman" w:hAnsi="Times New Roman" w:cs="Times New Roman"/>
          <w:sz w:val="28"/>
          <w:szCs w:val="28"/>
          <w:lang w:eastAsia="en-US"/>
        </w:rPr>
        <w:t>не все гарантии государства для сотрудников негосударственных организаций равноценны гарантиям, предоставляемым сотрудникам государственных (муниципальных) учреждений: повышение оплаты труда, длительность гарантированных отпусков, требование к обучению (повышению квалификации).</w:t>
      </w:r>
    </w:p>
    <w:p w14:paraId="3086F088" w14:textId="77777777" w:rsidR="003F4CFF" w:rsidRPr="00901F6F" w:rsidRDefault="003F4CFF" w:rsidP="003F4CFF">
      <w:pPr>
        <w:shd w:val="clear" w:color="auto" w:fill="FFFFFF" w:themeFill="background1"/>
        <w:autoSpaceDE w:val="0"/>
        <w:autoSpaceDN w:val="0"/>
        <w:ind w:firstLine="567"/>
        <w:contextualSpacing/>
        <w:jc w:val="both"/>
        <w:rPr>
          <w:rFonts w:ascii="Times New Roman" w:eastAsia="Times New Roman" w:hAnsi="Times New Roman" w:cs="Times New Roman"/>
          <w:sz w:val="28"/>
          <w:szCs w:val="28"/>
          <w:lang w:eastAsia="x-none"/>
        </w:rPr>
      </w:pPr>
      <w:r w:rsidRPr="00901F6F">
        <w:rPr>
          <w:rFonts w:ascii="Times New Roman" w:eastAsia="Times New Roman" w:hAnsi="Times New Roman" w:cs="Times New Roman"/>
          <w:sz w:val="28"/>
          <w:szCs w:val="28"/>
          <w:lang w:eastAsia="x-none"/>
        </w:rPr>
        <w:t xml:space="preserve">Для решения проблем предусмотрено: </w:t>
      </w:r>
    </w:p>
    <w:p w14:paraId="43C66E3E" w14:textId="77777777" w:rsidR="003F4CFF" w:rsidRPr="00901F6F" w:rsidRDefault="003F4CFF" w:rsidP="003F4CFF">
      <w:pPr>
        <w:shd w:val="clear" w:color="auto" w:fill="FFFFFF" w:themeFill="background1"/>
        <w:autoSpaceDE w:val="0"/>
        <w:autoSpaceDN w:val="0"/>
        <w:ind w:firstLine="567"/>
        <w:contextualSpacing/>
        <w:jc w:val="both"/>
        <w:rPr>
          <w:rFonts w:ascii="Times New Roman" w:eastAsia="Times New Roman" w:hAnsi="Times New Roman" w:cs="Times New Roman"/>
          <w:sz w:val="28"/>
          <w:szCs w:val="28"/>
          <w:lang w:eastAsia="x-none"/>
        </w:rPr>
      </w:pPr>
      <w:r w:rsidRPr="00901F6F">
        <w:rPr>
          <w:rFonts w:ascii="Times New Roman" w:eastAsia="Times New Roman" w:hAnsi="Times New Roman" w:cs="Times New Roman"/>
          <w:sz w:val="28"/>
          <w:szCs w:val="28"/>
          <w:lang w:eastAsia="x-none"/>
        </w:rPr>
        <w:t xml:space="preserve">охранение объема финансовой поддержки СОНКО на прежнем уровне, представление в министерство финансов и налоговой политики Новосибирской области при формировании бюджета предложений об увеличении объемов лимитов, направляемых на финансовую поддержку СОНКО; </w:t>
      </w:r>
    </w:p>
    <w:p w14:paraId="2E801C63" w14:textId="77777777" w:rsidR="003F4CFF" w:rsidRPr="00901F6F" w:rsidRDefault="003F4CFF" w:rsidP="003F4CFF">
      <w:pPr>
        <w:shd w:val="clear" w:color="auto" w:fill="FFFFFF" w:themeFill="background1"/>
        <w:autoSpaceDE w:val="0"/>
        <w:autoSpaceDN w:val="0"/>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bCs/>
          <w:sz w:val="28"/>
          <w:szCs w:val="28"/>
        </w:rPr>
        <w:t>информационная и консультационная поддержка (</w:t>
      </w:r>
      <w:r w:rsidRPr="00901F6F">
        <w:rPr>
          <w:rFonts w:ascii="Times New Roman" w:eastAsia="Times New Roman" w:hAnsi="Times New Roman" w:cs="Times New Roman"/>
          <w:sz w:val="28"/>
          <w:szCs w:val="28"/>
        </w:rPr>
        <w:t>разъяснение порядка получения выплаты компенсации поставщикам социальных услуг, предоставляющим гражданам социальные услуги, предусмотренные индивидуальной программой предоставления социальных услуг, включенным в реестр поставщиков социальных услуг; разъяснение порядка участия в конкурсных отборах на предоставление субсидий из средств областного бюджета, проводимых министерством, консультирование по вопросам реализации, целевого расходования средств субсидий и подготовки отчетной документации; информирование СОНКО и предоставление заключения о соответствии качества оказываемых СОНКО общественно-полезных услуг установленным критериям для включения в федеральный реестр некоммерческих организаций; консультирование и оказание методической помощи специалистам СОНКО по вопросам разработки и реализации социальных проектов и программ, внедрения и отработки современных социальных технологий);</w:t>
      </w:r>
    </w:p>
    <w:p w14:paraId="03CDCFF8" w14:textId="77777777" w:rsidR="003F4CFF" w:rsidRPr="00901F6F" w:rsidRDefault="003F4CFF" w:rsidP="003F4CFF">
      <w:pPr>
        <w:shd w:val="clear" w:color="auto" w:fill="FFFFFF" w:themeFill="background1"/>
        <w:autoSpaceDE w:val="0"/>
        <w:autoSpaceDN w:val="0"/>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bCs/>
          <w:sz w:val="28"/>
          <w:szCs w:val="28"/>
        </w:rPr>
        <w:t>совместная разработка социальных проектов и программ</w:t>
      </w:r>
      <w:r w:rsidRPr="00901F6F">
        <w:rPr>
          <w:rFonts w:ascii="Times New Roman" w:eastAsia="Times New Roman" w:hAnsi="Times New Roman" w:cs="Times New Roman"/>
          <w:iCs/>
          <w:sz w:val="28"/>
          <w:szCs w:val="28"/>
        </w:rPr>
        <w:t xml:space="preserve">; </w:t>
      </w:r>
      <w:r w:rsidRPr="00901F6F">
        <w:rPr>
          <w:rFonts w:ascii="Times New Roman" w:eastAsia="Times New Roman" w:hAnsi="Times New Roman" w:cs="Times New Roman"/>
          <w:sz w:val="28"/>
          <w:szCs w:val="28"/>
        </w:rPr>
        <w:t>включение мероприятий СОНКО в региональные комплексы мер, заявляемые на конкурсные отборы Фонда поддержки детей, находящихся в трудной жизненной ситуации (далее – Фонд), с целью привлечения в регион дополнительного внебюджетного финансирования;</w:t>
      </w:r>
    </w:p>
    <w:p w14:paraId="09B013F2" w14:textId="77777777" w:rsidR="003F4CFF" w:rsidRPr="00901F6F" w:rsidRDefault="003F4CFF" w:rsidP="003F4CFF">
      <w:pPr>
        <w:shd w:val="clear" w:color="auto" w:fill="FFFFFF" w:themeFill="background1"/>
        <w:autoSpaceDE w:val="0"/>
        <w:autoSpaceDN w:val="0"/>
        <w:ind w:firstLine="567"/>
        <w:contextualSpacing/>
        <w:jc w:val="both"/>
        <w:rPr>
          <w:rFonts w:ascii="Times New Roman" w:eastAsia="Times New Roman" w:hAnsi="Times New Roman" w:cs="Times New Roman"/>
          <w:sz w:val="28"/>
          <w:szCs w:val="28"/>
          <w:lang w:eastAsia="x-none"/>
        </w:rPr>
      </w:pPr>
      <w:r w:rsidRPr="00901F6F">
        <w:rPr>
          <w:rFonts w:ascii="Times New Roman" w:eastAsia="Times New Roman" w:hAnsi="Times New Roman" w:cs="Times New Roman"/>
          <w:bCs/>
          <w:sz w:val="28"/>
          <w:szCs w:val="28"/>
          <w:lang w:val="x-none" w:eastAsia="x-none"/>
        </w:rPr>
        <w:lastRenderedPageBreak/>
        <w:t>оказание содействия развитию кадрового потенциала СОНКО через повышение квалификации их специалистов и добровольцев;</w:t>
      </w:r>
      <w:r w:rsidRPr="00901F6F">
        <w:rPr>
          <w:rFonts w:ascii="Times New Roman" w:eastAsia="Times New Roman" w:hAnsi="Times New Roman" w:cs="Times New Roman"/>
          <w:bCs/>
          <w:sz w:val="28"/>
          <w:szCs w:val="28"/>
          <w:lang w:eastAsia="x-none"/>
        </w:rPr>
        <w:t xml:space="preserve"> </w:t>
      </w:r>
      <w:r w:rsidRPr="00901F6F">
        <w:rPr>
          <w:rFonts w:ascii="Times New Roman" w:eastAsia="Times New Roman" w:hAnsi="Times New Roman" w:cs="Times New Roman"/>
          <w:sz w:val="28"/>
          <w:szCs w:val="28"/>
          <w:lang w:eastAsia="x-none"/>
        </w:rPr>
        <w:t xml:space="preserve">приглашение представителей СОНКО к участию в образовательных, информационно-просветительских мероприятиях, проводимых министерством; </w:t>
      </w:r>
      <w:r w:rsidRPr="00901F6F">
        <w:rPr>
          <w:rFonts w:ascii="Times New Roman" w:eastAsia="Times New Roman" w:hAnsi="Times New Roman" w:cs="Times New Roman"/>
          <w:bCs/>
          <w:sz w:val="28"/>
          <w:szCs w:val="28"/>
          <w:lang w:val="x-none" w:eastAsia="x-none"/>
        </w:rPr>
        <w:t>проведение семинаров, круглых столов, конференций, акций и иных мероприятий по вопросам повышения качества оказываемой помощи, развития межсекторного взаимодействия;</w:t>
      </w:r>
    </w:p>
    <w:p w14:paraId="42F9DCE4" w14:textId="77777777" w:rsidR="003F4CFF" w:rsidRPr="00901F6F" w:rsidRDefault="003F4CFF" w:rsidP="003F4CFF">
      <w:pPr>
        <w:shd w:val="clear" w:color="auto" w:fill="FFFFFF" w:themeFill="background1"/>
        <w:autoSpaceDE w:val="0"/>
        <w:autoSpaceDN w:val="0"/>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bCs/>
          <w:sz w:val="28"/>
          <w:szCs w:val="28"/>
        </w:rPr>
        <w:t>проведение общественной экспертизы проектов законов Новосибирской области, а также проектов ведомственных нормативных правовых актов;</w:t>
      </w:r>
    </w:p>
    <w:p w14:paraId="069BF697" w14:textId="77777777" w:rsidR="003F4CFF" w:rsidRPr="00901F6F" w:rsidRDefault="003F4CFF" w:rsidP="003F4CFF">
      <w:pPr>
        <w:shd w:val="clear" w:color="auto" w:fill="FFFFFF" w:themeFill="background1"/>
        <w:autoSpaceDE w:val="0"/>
        <w:autoSpaceDN w:val="0"/>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bCs/>
          <w:sz w:val="28"/>
          <w:szCs w:val="28"/>
        </w:rPr>
        <w:t>включение представителей СОНКО в состав наблюдательных и попечительских советов, в деятельность по проведению независимой оценки качества.</w:t>
      </w:r>
    </w:p>
    <w:p w14:paraId="284FB794" w14:textId="77777777" w:rsidR="003F4CFF" w:rsidRPr="00EC5135"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Pr>
          <w:rFonts w:ascii="Times New Roman" w:eastAsia="Times New Roman" w:hAnsi="Times New Roman" w:cs="Times New Roman"/>
          <w:sz w:val="28"/>
          <w:szCs w:val="28"/>
        </w:rPr>
        <w:t xml:space="preserve"> за 2019 год</w:t>
      </w:r>
      <w:r w:rsidRPr="00EC5135">
        <w:rPr>
          <w:rFonts w:ascii="Times New Roman" w:hAnsi="Times New Roman" w:cs="Times New Roman"/>
          <w:sz w:val="28"/>
          <w:szCs w:val="28"/>
        </w:rPr>
        <w:t xml:space="preserve"> </w:t>
      </w:r>
      <w:r>
        <w:rPr>
          <w:rFonts w:ascii="Times New Roman" w:hAnsi="Times New Roman" w:cs="Times New Roman"/>
          <w:sz w:val="28"/>
          <w:szCs w:val="28"/>
        </w:rPr>
        <w:t xml:space="preserve">установлено, что преобладают </w:t>
      </w:r>
      <w:r w:rsidRPr="00EC5135">
        <w:rPr>
          <w:rFonts w:ascii="Times New Roman" w:hAnsi="Times New Roman" w:cs="Times New Roman"/>
          <w:sz w:val="28"/>
          <w:szCs w:val="28"/>
        </w:rPr>
        <w:t>низкие оценки уровня конкуренции (слабая конкуренция либо нет конкуренции) – 63%.</w:t>
      </w:r>
    </w:p>
    <w:p w14:paraId="15426F80"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непреодолимых административных барьеров отмечают 23% субъектов предпринимательства. Основным барьером является сложность процедуры получения лицензий, средств государственной поддержки, разрешений, согласований и т.д.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23%). </w:t>
      </w:r>
    </w:p>
    <w:p w14:paraId="30BC46F6" w14:textId="77777777" w:rsidR="003F4CFF" w:rsidRPr="00E00F38" w:rsidRDefault="003F4CFF" w:rsidP="003F4CFF">
      <w:pPr>
        <w:ind w:firstLine="567"/>
        <w:jc w:val="both"/>
        <w:rPr>
          <w:rFonts w:ascii="Times New Roman" w:hAnsi="Times New Roman" w:cs="Times New Roman"/>
          <w:b/>
          <w:sz w:val="28"/>
          <w:szCs w:val="28"/>
        </w:rPr>
      </w:pPr>
      <w:r w:rsidRPr="00EC5135">
        <w:rPr>
          <w:rFonts w:ascii="Times New Roman" w:hAnsi="Times New Roman" w:cs="Times New Roman"/>
          <w:sz w:val="28"/>
          <w:szCs w:val="28"/>
        </w:rPr>
        <w:t>В оценке деятельности органов власти преобладает мнение, что органы власти помогают б</w:t>
      </w:r>
      <w:r>
        <w:rPr>
          <w:rFonts w:ascii="Times New Roman" w:hAnsi="Times New Roman" w:cs="Times New Roman"/>
          <w:sz w:val="28"/>
          <w:szCs w:val="28"/>
        </w:rPr>
        <w:t>изнесу своими действиями (37%).</w:t>
      </w:r>
    </w:p>
    <w:p w14:paraId="41FB0D74" w14:textId="77777777" w:rsidR="003F4CFF" w:rsidRPr="007F358C" w:rsidRDefault="003F4CFF" w:rsidP="003F4CFF">
      <w:pPr>
        <w:ind w:firstLine="567"/>
        <w:jc w:val="both"/>
        <w:rPr>
          <w:rFonts w:ascii="Times New Roman" w:eastAsia="Times New Roman" w:hAnsi="Times New Roman" w:cs="Times New Roman"/>
          <w:sz w:val="28"/>
          <w:szCs w:val="28"/>
        </w:rPr>
      </w:pPr>
      <w:r w:rsidRPr="007F358C">
        <w:rPr>
          <w:rFonts w:ascii="Times New Roman" w:eastAsia="Times New Roman" w:hAnsi="Times New Roman" w:cs="Times New Roman"/>
          <w:sz w:val="28"/>
          <w:szCs w:val="28"/>
          <w:shd w:val="clear" w:color="auto" w:fill="FFFFFF"/>
        </w:rPr>
        <w:t xml:space="preserve">Большинство </w:t>
      </w:r>
      <w:r w:rsidRPr="007F358C">
        <w:rPr>
          <w:rFonts w:ascii="Times New Roman" w:eastAsia="Times New Roman" w:hAnsi="Times New Roman" w:cs="Times New Roman"/>
          <w:sz w:val="28"/>
          <w:szCs w:val="28"/>
        </w:rPr>
        <w:t>(76%) потребителей отмечают нехватку организаций на рынке и только 16% потребителей отмечают рост числа организаций за последние 3 года. Удовлетворенность потребителей выбором услуг, их качеством и стоимостью находится на низком уровне (43%, 41% и 39% соответственно). Положительная динамика по этим показателям слабо выражена: рост возможности выбора услуг отмечают 21% потребителей, повышение качества – 20%, а снижение качества услуг за последние 3 года – 24% потребителей. Хотя рост цен на данном рынке менее выражен (отмечают 60% потребителей), ситуация на рынке в целом неблагоприятная, главным образом по причине недостаточного количества организаций.</w:t>
      </w:r>
    </w:p>
    <w:p w14:paraId="573FFCEC"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социальных услуг</w:t>
      </w:r>
    </w:p>
    <w:p w14:paraId="4CD6C525" w14:textId="77777777" w:rsidR="003F4CFF" w:rsidRPr="00854831" w:rsidRDefault="003F4CFF" w:rsidP="003F4CFF">
      <w:pPr>
        <w:shd w:val="clear" w:color="auto" w:fill="FFFFFF" w:themeFill="background1"/>
        <w:ind w:firstLine="567"/>
        <w:jc w:val="both"/>
        <w:rPr>
          <w:rFonts w:ascii="Times New Roman" w:eastAsia="Times New Roman" w:hAnsi="Times New Roman" w:cs="Times New Roman"/>
          <w:sz w:val="28"/>
          <w:szCs w:val="28"/>
        </w:rPr>
      </w:pPr>
      <w:r w:rsidRPr="00854831">
        <w:rPr>
          <w:rFonts w:ascii="Times New Roman" w:eastAsia="Times New Roman" w:hAnsi="Times New Roman" w:cs="Times New Roman"/>
          <w:sz w:val="28"/>
          <w:szCs w:val="28"/>
        </w:rPr>
        <w:t>В отчетном периоде продолжалось формирование прозрачной и конкурентной системы государственной поддержки СОНКО.</w:t>
      </w:r>
    </w:p>
    <w:p w14:paraId="66560D5B" w14:textId="77777777" w:rsidR="003F4CFF" w:rsidRPr="00901F6F" w:rsidRDefault="003F4CFF" w:rsidP="003F4CFF">
      <w:pPr>
        <w:shd w:val="clear" w:color="auto" w:fill="FFFFFF" w:themeFill="background1"/>
        <w:tabs>
          <w:tab w:val="left" w:pos="544"/>
          <w:tab w:val="left" w:pos="647"/>
          <w:tab w:val="left" w:pos="851"/>
          <w:tab w:val="left" w:pos="993"/>
          <w:tab w:val="left" w:pos="1134"/>
        </w:tabs>
        <w:autoSpaceDE w:val="0"/>
        <w:autoSpaceDN w:val="0"/>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sz w:val="28"/>
          <w:szCs w:val="28"/>
        </w:rPr>
        <w:t>В Новосиб</w:t>
      </w:r>
      <w:r>
        <w:rPr>
          <w:rFonts w:ascii="Times New Roman" w:eastAsia="Times New Roman" w:hAnsi="Times New Roman" w:cs="Times New Roman"/>
          <w:sz w:val="28"/>
          <w:szCs w:val="28"/>
        </w:rPr>
        <w:t>ирской области функционируют 26 </w:t>
      </w:r>
      <w:r w:rsidRPr="00901F6F">
        <w:rPr>
          <w:rFonts w:ascii="Times New Roman" w:eastAsia="Times New Roman" w:hAnsi="Times New Roman" w:cs="Times New Roman"/>
          <w:sz w:val="28"/>
          <w:szCs w:val="28"/>
        </w:rPr>
        <w:t>государственных учреждений, подв</w:t>
      </w:r>
      <w:r>
        <w:rPr>
          <w:rFonts w:ascii="Times New Roman" w:eastAsia="Times New Roman" w:hAnsi="Times New Roman" w:cs="Times New Roman"/>
          <w:sz w:val="28"/>
          <w:szCs w:val="28"/>
        </w:rPr>
        <w:t>едомственных министерству</w:t>
      </w:r>
      <w:r w:rsidR="0023210C">
        <w:rPr>
          <w:rFonts w:ascii="Times New Roman" w:eastAsia="Times New Roman" w:hAnsi="Times New Roman" w:cs="Times New Roman"/>
          <w:sz w:val="28"/>
          <w:szCs w:val="28"/>
        </w:rPr>
        <w:t xml:space="preserve"> труда и социального развития Новосибирской области,</w:t>
      </w:r>
      <w:r>
        <w:rPr>
          <w:rFonts w:ascii="Times New Roman" w:eastAsia="Times New Roman" w:hAnsi="Times New Roman" w:cs="Times New Roman"/>
          <w:sz w:val="28"/>
          <w:szCs w:val="28"/>
        </w:rPr>
        <w:t xml:space="preserve"> и 62 </w:t>
      </w:r>
      <w:r w:rsidRPr="00901F6F">
        <w:rPr>
          <w:rFonts w:ascii="Times New Roman" w:eastAsia="Times New Roman" w:hAnsi="Times New Roman" w:cs="Times New Roman"/>
          <w:sz w:val="28"/>
          <w:szCs w:val="28"/>
        </w:rPr>
        <w:t>муниципальных учреждения социа</w:t>
      </w:r>
      <w:r>
        <w:rPr>
          <w:rFonts w:ascii="Times New Roman" w:eastAsia="Times New Roman" w:hAnsi="Times New Roman" w:cs="Times New Roman"/>
          <w:sz w:val="28"/>
          <w:szCs w:val="28"/>
        </w:rPr>
        <w:t>льного обслуживания населения.</w:t>
      </w:r>
    </w:p>
    <w:p w14:paraId="0E4B5200" w14:textId="77777777" w:rsidR="003F4CFF" w:rsidRPr="00854831" w:rsidRDefault="003F4CFF" w:rsidP="003F4CFF">
      <w:pPr>
        <w:shd w:val="clear" w:color="auto" w:fill="FFFFFF" w:themeFill="background1"/>
        <w:ind w:firstLine="567"/>
        <w:jc w:val="both"/>
        <w:rPr>
          <w:rFonts w:ascii="Times New Roman" w:eastAsia="Times New Roman" w:hAnsi="Times New Roman" w:cs="Times New Roman"/>
          <w:sz w:val="28"/>
          <w:szCs w:val="28"/>
        </w:rPr>
      </w:pPr>
      <w:r w:rsidRPr="00854831">
        <w:rPr>
          <w:rFonts w:ascii="Times New Roman" w:eastAsia="Times New Roman" w:hAnsi="Times New Roman" w:cs="Times New Roman"/>
          <w:sz w:val="28"/>
          <w:szCs w:val="28"/>
        </w:rPr>
        <w:t>Основными направлениями сотрудничества с СОНКО являются:</w:t>
      </w:r>
    </w:p>
    <w:p w14:paraId="7A9579BA" w14:textId="77777777" w:rsidR="003F4CFF" w:rsidRPr="00854831" w:rsidRDefault="003F4CFF" w:rsidP="003F4CFF">
      <w:pPr>
        <w:shd w:val="clear" w:color="auto" w:fill="FFFFFF" w:themeFill="background1"/>
        <w:ind w:firstLine="567"/>
        <w:jc w:val="both"/>
        <w:rPr>
          <w:rFonts w:ascii="Times New Roman" w:eastAsia="Times New Roman" w:hAnsi="Times New Roman" w:cs="Times New Roman"/>
          <w:sz w:val="28"/>
          <w:szCs w:val="28"/>
        </w:rPr>
      </w:pPr>
      <w:r w:rsidRPr="00854831">
        <w:rPr>
          <w:rFonts w:ascii="Times New Roman" w:eastAsia="Times New Roman" w:hAnsi="Times New Roman" w:cs="Times New Roman"/>
          <w:sz w:val="28"/>
          <w:szCs w:val="28"/>
        </w:rPr>
        <w:t>финансовая поддержка деятельности негосударственных организаций, предоставляющих услуги, создание условий для ее получения;</w:t>
      </w:r>
    </w:p>
    <w:p w14:paraId="536BC975" w14:textId="77777777" w:rsidR="003F4CFF" w:rsidRPr="00854831" w:rsidRDefault="003F4CFF" w:rsidP="003F4CFF">
      <w:pPr>
        <w:shd w:val="clear" w:color="auto" w:fill="FFFFFF" w:themeFill="background1"/>
        <w:ind w:firstLine="567"/>
        <w:jc w:val="both"/>
        <w:rPr>
          <w:rFonts w:ascii="Times New Roman" w:eastAsia="Times New Roman" w:hAnsi="Times New Roman" w:cs="Times New Roman"/>
          <w:sz w:val="28"/>
          <w:szCs w:val="28"/>
        </w:rPr>
      </w:pPr>
      <w:r w:rsidRPr="00854831">
        <w:rPr>
          <w:rFonts w:ascii="Times New Roman" w:eastAsia="Times New Roman" w:hAnsi="Times New Roman" w:cs="Times New Roman"/>
          <w:sz w:val="28"/>
          <w:szCs w:val="28"/>
        </w:rPr>
        <w:t>информационная и консультационная поддержка;</w:t>
      </w:r>
    </w:p>
    <w:p w14:paraId="691C7521" w14:textId="77777777" w:rsidR="003F4CFF" w:rsidRPr="00854831" w:rsidRDefault="003F4CFF" w:rsidP="003F4CFF">
      <w:pPr>
        <w:shd w:val="clear" w:color="auto" w:fill="FFFFFF" w:themeFill="background1"/>
        <w:ind w:firstLine="567"/>
        <w:jc w:val="both"/>
        <w:rPr>
          <w:rFonts w:ascii="Times New Roman" w:eastAsia="Times New Roman" w:hAnsi="Times New Roman" w:cs="Times New Roman"/>
          <w:sz w:val="28"/>
          <w:szCs w:val="28"/>
        </w:rPr>
      </w:pPr>
      <w:r w:rsidRPr="00854831">
        <w:rPr>
          <w:rFonts w:ascii="Times New Roman" w:eastAsia="Times New Roman" w:hAnsi="Times New Roman" w:cs="Times New Roman"/>
          <w:sz w:val="28"/>
          <w:szCs w:val="28"/>
        </w:rPr>
        <w:t>совместная разработка социальных проектов и программ;</w:t>
      </w:r>
    </w:p>
    <w:p w14:paraId="03C654D9" w14:textId="77777777" w:rsidR="003F4CFF" w:rsidRPr="00854831" w:rsidRDefault="003F4CFF" w:rsidP="003F4CFF">
      <w:pPr>
        <w:shd w:val="clear" w:color="auto" w:fill="FFFFFF" w:themeFill="background1"/>
        <w:ind w:firstLine="567"/>
        <w:jc w:val="both"/>
        <w:rPr>
          <w:rFonts w:ascii="Times New Roman" w:eastAsia="Times New Roman" w:hAnsi="Times New Roman" w:cs="Times New Roman"/>
          <w:sz w:val="28"/>
          <w:szCs w:val="28"/>
        </w:rPr>
      </w:pPr>
      <w:r w:rsidRPr="00854831">
        <w:rPr>
          <w:rFonts w:ascii="Times New Roman" w:eastAsia="Times New Roman" w:hAnsi="Times New Roman" w:cs="Times New Roman"/>
          <w:sz w:val="28"/>
          <w:szCs w:val="28"/>
        </w:rPr>
        <w:lastRenderedPageBreak/>
        <w:t>оказание содействия развитию кадрового потенциала СОНКО через повышение квалификации их специалистов и добровольцев;</w:t>
      </w:r>
    </w:p>
    <w:p w14:paraId="6AB1C4D9" w14:textId="77777777" w:rsidR="003F4CFF" w:rsidRPr="00854831" w:rsidRDefault="003F4CFF" w:rsidP="003F4CFF">
      <w:pPr>
        <w:shd w:val="clear" w:color="auto" w:fill="FFFFFF" w:themeFill="background1"/>
        <w:ind w:firstLine="567"/>
        <w:jc w:val="both"/>
        <w:rPr>
          <w:rFonts w:ascii="Times New Roman" w:eastAsia="Times New Roman" w:hAnsi="Times New Roman" w:cs="Times New Roman"/>
          <w:sz w:val="28"/>
          <w:szCs w:val="28"/>
        </w:rPr>
      </w:pPr>
      <w:r w:rsidRPr="00854831">
        <w:rPr>
          <w:rFonts w:ascii="Times New Roman" w:eastAsia="Times New Roman" w:hAnsi="Times New Roman" w:cs="Times New Roman"/>
          <w:sz w:val="28"/>
          <w:szCs w:val="28"/>
        </w:rPr>
        <w:t>проведение общественной экспертизы проектов законов Новосибирской области, а также проектов ведомственных НПА;</w:t>
      </w:r>
    </w:p>
    <w:p w14:paraId="40D9A5A1"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lang w:eastAsia="en-US"/>
        </w:rPr>
      </w:pPr>
      <w:r w:rsidRPr="00854831">
        <w:rPr>
          <w:rFonts w:ascii="Times New Roman" w:eastAsia="Times New Roman" w:hAnsi="Times New Roman" w:cs="Times New Roman"/>
          <w:sz w:val="28"/>
          <w:szCs w:val="28"/>
        </w:rPr>
        <w:t>проведение семинаров, круглых столов</w:t>
      </w:r>
      <w:r w:rsidRPr="00901F6F">
        <w:rPr>
          <w:rFonts w:ascii="Times New Roman" w:hAnsi="Times New Roman" w:cs="Times New Roman"/>
          <w:bCs/>
          <w:sz w:val="28"/>
          <w:szCs w:val="28"/>
          <w:lang w:eastAsia="en-US"/>
        </w:rPr>
        <w:t>, конференций, акций и иных мероприятий по вопросам повышения качества оказываемой помощи, развития межсекторного взаимодействия, выявления проблемных зон;</w:t>
      </w:r>
    </w:p>
    <w:p w14:paraId="78B3E16F" w14:textId="77777777" w:rsidR="003F4CFF" w:rsidRPr="00901F6F" w:rsidRDefault="003F4CFF" w:rsidP="003F4CFF">
      <w:pPr>
        <w:shd w:val="clear" w:color="auto" w:fill="FFFFFF" w:themeFill="background1"/>
        <w:ind w:firstLine="567"/>
        <w:jc w:val="both"/>
        <w:rPr>
          <w:rFonts w:ascii="Times New Roman" w:hAnsi="Times New Roman" w:cs="Times New Roman"/>
          <w:bCs/>
          <w:sz w:val="28"/>
          <w:szCs w:val="28"/>
          <w:lang w:eastAsia="en-US"/>
        </w:rPr>
      </w:pPr>
      <w:r w:rsidRPr="00901F6F">
        <w:rPr>
          <w:rFonts w:ascii="Times New Roman" w:hAnsi="Times New Roman" w:cs="Times New Roman"/>
          <w:bCs/>
          <w:sz w:val="28"/>
          <w:szCs w:val="28"/>
          <w:lang w:eastAsia="en-US"/>
        </w:rPr>
        <w:t>включение в состав наблюдательных и попечительских советов</w:t>
      </w:r>
      <w:r>
        <w:rPr>
          <w:rFonts w:ascii="Times New Roman" w:hAnsi="Times New Roman" w:cs="Times New Roman"/>
          <w:bCs/>
          <w:sz w:val="28"/>
          <w:szCs w:val="28"/>
          <w:lang w:eastAsia="en-US"/>
        </w:rPr>
        <w:t>,</w:t>
      </w:r>
      <w:r w:rsidRPr="00901F6F">
        <w:rPr>
          <w:rFonts w:ascii="Times New Roman" w:hAnsi="Times New Roman" w:cs="Times New Roman"/>
          <w:bCs/>
          <w:sz w:val="28"/>
          <w:szCs w:val="28"/>
          <w:lang w:eastAsia="en-US"/>
        </w:rPr>
        <w:t xml:space="preserve"> в деятельность по проведению независимой оценки качества.</w:t>
      </w:r>
    </w:p>
    <w:p w14:paraId="27DC5843"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rPr>
      </w:pPr>
      <w:r w:rsidRPr="00901F6F">
        <w:rPr>
          <w:rFonts w:ascii="Times New Roman" w:hAnsi="Times New Roman" w:cs="Times New Roman"/>
          <w:sz w:val="28"/>
          <w:szCs w:val="28"/>
          <w:lang w:eastAsia="en-US"/>
        </w:rPr>
        <w:t>В 2019 году в</w:t>
      </w:r>
      <w:r w:rsidRPr="00901F6F">
        <w:rPr>
          <w:rFonts w:ascii="Times New Roman" w:eastAsia="Times New Roman" w:hAnsi="Times New Roman" w:cs="Times New Roman"/>
          <w:sz w:val="28"/>
          <w:szCs w:val="28"/>
        </w:rPr>
        <w:t xml:space="preserve"> рамках реализации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утвержденной постановлением Правительства Новосибирской области от 31.07.2013 № 322-п «Об утверждении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предоставлены субсидии:</w:t>
      </w:r>
    </w:p>
    <w:p w14:paraId="4B32BC69" w14:textId="77777777" w:rsidR="003F4CFF" w:rsidRPr="00901F6F" w:rsidRDefault="003F4CFF" w:rsidP="003F4CFF">
      <w:pPr>
        <w:shd w:val="clear" w:color="auto" w:fill="FFFFFF" w:themeFill="background1"/>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w:t>
      </w:r>
      <w:r w:rsidRPr="00901F6F">
        <w:rPr>
          <w:rFonts w:ascii="Times New Roman" w:eastAsia="Times New Roman" w:hAnsi="Times New Roman" w:cs="Times New Roman"/>
          <w:sz w:val="28"/>
          <w:szCs w:val="28"/>
        </w:rPr>
        <w:t xml:space="preserve">СОНКО (36 субсидий) на оказание общественно-полезных услуг детям и семьям с детьми на общую сумму 11 873,7 тыс. </w:t>
      </w:r>
      <w:r w:rsidR="00584796">
        <w:rPr>
          <w:rFonts w:ascii="Times New Roman" w:eastAsia="Times New Roman" w:hAnsi="Times New Roman" w:cs="Times New Roman"/>
          <w:sz w:val="28"/>
          <w:szCs w:val="28"/>
        </w:rPr>
        <w:t>рублей</w:t>
      </w:r>
      <w:r w:rsidRPr="00901F6F">
        <w:rPr>
          <w:rFonts w:ascii="Times New Roman" w:eastAsia="Times New Roman" w:hAnsi="Times New Roman" w:cs="Times New Roman"/>
          <w:sz w:val="28"/>
          <w:szCs w:val="28"/>
        </w:rPr>
        <w:t>;</w:t>
      </w:r>
    </w:p>
    <w:p w14:paraId="7472D937" w14:textId="77777777" w:rsidR="003F4CFF" w:rsidRPr="00901F6F" w:rsidRDefault="003F4CFF" w:rsidP="003F4CFF">
      <w:pPr>
        <w:shd w:val="clear" w:color="auto" w:fill="FFFFFF" w:themeFill="background1"/>
        <w:tabs>
          <w:tab w:val="left" w:pos="0"/>
        </w:tabs>
        <w:autoSpaceDE w:val="0"/>
        <w:autoSpaceDN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w:t>
      </w:r>
      <w:r w:rsidRPr="00901F6F">
        <w:rPr>
          <w:rFonts w:ascii="Times New Roman" w:eastAsia="Times New Roman" w:hAnsi="Times New Roman" w:cs="Times New Roman"/>
          <w:sz w:val="28"/>
          <w:szCs w:val="28"/>
        </w:rPr>
        <w:t>СОНКО на оказание общественно-полезных услуг гражданам пожилого возраст</w:t>
      </w:r>
      <w:r w:rsidR="00584796">
        <w:rPr>
          <w:rFonts w:ascii="Times New Roman" w:eastAsia="Times New Roman" w:hAnsi="Times New Roman" w:cs="Times New Roman"/>
          <w:sz w:val="28"/>
          <w:szCs w:val="28"/>
        </w:rPr>
        <w:t>а на общую сумму 45,41 млн. рублей</w:t>
      </w:r>
      <w:r w:rsidRPr="00901F6F">
        <w:rPr>
          <w:rFonts w:ascii="Times New Roman" w:eastAsia="Times New Roman" w:hAnsi="Times New Roman" w:cs="Times New Roman"/>
          <w:sz w:val="28"/>
          <w:szCs w:val="28"/>
        </w:rPr>
        <w:t>;</w:t>
      </w:r>
    </w:p>
    <w:p w14:paraId="75040159" w14:textId="77777777" w:rsidR="003F4CFF" w:rsidRPr="00901F6F" w:rsidRDefault="003F4CFF" w:rsidP="003F4CFF">
      <w:pPr>
        <w:widowControl w:val="0"/>
        <w:shd w:val="clear" w:color="auto" w:fill="FFFFFF" w:themeFill="background1"/>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3 </w:t>
      </w:r>
      <w:r w:rsidRPr="00901F6F">
        <w:rPr>
          <w:rFonts w:ascii="Times New Roman" w:hAnsi="Times New Roman" w:cs="Times New Roman"/>
          <w:sz w:val="28"/>
          <w:szCs w:val="28"/>
          <w:lang w:eastAsia="en-US"/>
        </w:rPr>
        <w:t>СОНКО на оказание общественно-полезных услуг по проведению реабилитации и ресоциализации наркозависимых граждан и граждан без определенного места жительс</w:t>
      </w:r>
      <w:r w:rsidR="00584796">
        <w:rPr>
          <w:rFonts w:ascii="Times New Roman" w:hAnsi="Times New Roman" w:cs="Times New Roman"/>
          <w:sz w:val="28"/>
          <w:szCs w:val="28"/>
          <w:lang w:eastAsia="en-US"/>
        </w:rPr>
        <w:t>тва на общую сумму 3,2 млн. рублей</w:t>
      </w:r>
      <w:r w:rsidRPr="00901F6F">
        <w:rPr>
          <w:rFonts w:ascii="Times New Roman" w:hAnsi="Times New Roman" w:cs="Times New Roman"/>
          <w:sz w:val="28"/>
          <w:szCs w:val="28"/>
          <w:lang w:eastAsia="en-US"/>
        </w:rPr>
        <w:t>;</w:t>
      </w:r>
    </w:p>
    <w:p w14:paraId="35B4A29A" w14:textId="77777777" w:rsidR="003F4CFF" w:rsidRPr="00901F6F" w:rsidRDefault="003F4CFF" w:rsidP="003F4CFF">
      <w:pPr>
        <w:shd w:val="clear" w:color="auto" w:fill="FFFFFF" w:themeFill="background1"/>
        <w:autoSpaceDE w:val="0"/>
        <w:autoSpaceDN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13 </w:t>
      </w:r>
      <w:r w:rsidRPr="00901F6F">
        <w:rPr>
          <w:rFonts w:ascii="Times New Roman" w:hAnsi="Times New Roman" w:cs="Times New Roman"/>
          <w:sz w:val="28"/>
          <w:szCs w:val="28"/>
          <w:lang w:eastAsia="en-US"/>
        </w:rPr>
        <w:t>СОНКО на оказание общественно-полезных услуг инвали</w:t>
      </w:r>
      <w:r w:rsidR="00584796">
        <w:rPr>
          <w:rFonts w:ascii="Times New Roman" w:hAnsi="Times New Roman" w:cs="Times New Roman"/>
          <w:sz w:val="28"/>
          <w:szCs w:val="28"/>
          <w:lang w:eastAsia="en-US"/>
        </w:rPr>
        <w:t>дам на общую сумму 4,4 млн. рублей.</w:t>
      </w:r>
    </w:p>
    <w:p w14:paraId="6DCEBDBE" w14:textId="77777777" w:rsidR="003F4CFF" w:rsidRPr="00901F6F" w:rsidRDefault="003F4CFF" w:rsidP="003F4CFF">
      <w:pPr>
        <w:widowControl w:val="0"/>
        <w:shd w:val="clear" w:color="auto" w:fill="FFFFFF" w:themeFill="background1"/>
        <w:autoSpaceDE w:val="0"/>
        <w:autoSpaceDN w:val="0"/>
        <w:adjustRightInd w:val="0"/>
        <w:ind w:firstLine="567"/>
        <w:jc w:val="both"/>
        <w:rPr>
          <w:rFonts w:ascii="Times New Roman" w:eastAsia="Times New Roman" w:hAnsi="Times New Roman" w:cs="Times New Roman"/>
          <w:sz w:val="28"/>
          <w:szCs w:val="28"/>
        </w:rPr>
      </w:pPr>
      <w:r w:rsidRPr="00901F6F">
        <w:rPr>
          <w:rFonts w:ascii="Times New Roman" w:hAnsi="Times New Roman" w:cs="Times New Roman"/>
          <w:sz w:val="28"/>
          <w:szCs w:val="28"/>
          <w:lang w:eastAsia="en-US"/>
        </w:rPr>
        <w:t xml:space="preserve">Кроме того, </w:t>
      </w:r>
      <w:r w:rsidRPr="00901F6F">
        <w:rPr>
          <w:rFonts w:ascii="Times New Roman" w:eastAsia="Times New Roman" w:hAnsi="Times New Roman" w:cs="Times New Roman"/>
          <w:sz w:val="28"/>
          <w:szCs w:val="28"/>
        </w:rPr>
        <w:t xml:space="preserve">3 некоммерческие организации в рамках региональных комплексов мер, реализуемых министерством труда и социального развития Новосибирской области, стали получателями средств гранта Фонда </w:t>
      </w:r>
      <w:r w:rsidR="00584796">
        <w:rPr>
          <w:rFonts w:ascii="Times New Roman" w:eastAsia="Times New Roman" w:hAnsi="Times New Roman" w:cs="Times New Roman"/>
          <w:sz w:val="28"/>
          <w:szCs w:val="28"/>
        </w:rPr>
        <w:t>(на общую сумму 627,95 тыс. рублей</w:t>
      </w:r>
      <w:r w:rsidRPr="00901F6F">
        <w:rPr>
          <w:rFonts w:ascii="Times New Roman" w:eastAsia="Times New Roman" w:hAnsi="Times New Roman" w:cs="Times New Roman"/>
          <w:sz w:val="28"/>
          <w:szCs w:val="28"/>
        </w:rPr>
        <w:t xml:space="preserve">). </w:t>
      </w:r>
    </w:p>
    <w:p w14:paraId="2F520D06" w14:textId="77777777" w:rsidR="003F4CFF" w:rsidRPr="00901F6F" w:rsidRDefault="003F4CFF" w:rsidP="003F4CFF">
      <w:pPr>
        <w:widowControl w:val="0"/>
        <w:shd w:val="clear" w:color="auto" w:fill="FFFFFF" w:themeFill="background1"/>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w:t>
      </w:r>
      <w:r w:rsidRPr="00901F6F">
        <w:rPr>
          <w:rFonts w:ascii="Times New Roman" w:eastAsia="Times New Roman" w:hAnsi="Times New Roman" w:cs="Times New Roman"/>
          <w:sz w:val="28"/>
          <w:szCs w:val="28"/>
        </w:rPr>
        <w:t>СОНКО были привлечены к разработке новых комплексов мер, получивших по итогам конкурсного отбора гранты Фонда. Реализация комплексов мер начнется с 2020 года.</w:t>
      </w:r>
    </w:p>
    <w:p w14:paraId="79CA6157" w14:textId="77777777" w:rsidR="003F4CFF" w:rsidRPr="00901F6F" w:rsidRDefault="003F4CFF" w:rsidP="003F4CFF">
      <w:pPr>
        <w:widowControl w:val="0"/>
        <w:shd w:val="clear" w:color="auto" w:fill="FFFFFF" w:themeFill="background1"/>
        <w:autoSpaceDE w:val="0"/>
        <w:autoSpaceDN w:val="0"/>
        <w:adjustRightInd w:val="0"/>
        <w:ind w:firstLine="567"/>
        <w:jc w:val="both"/>
        <w:rPr>
          <w:rFonts w:ascii="Times New Roman" w:eastAsia="Times New Roman" w:hAnsi="Times New Roman" w:cs="Times New Roman"/>
          <w:sz w:val="28"/>
          <w:szCs w:val="28"/>
        </w:rPr>
      </w:pPr>
      <w:r>
        <w:rPr>
          <w:rFonts w:ascii="Times New Roman" w:hAnsi="Times New Roman" w:cs="Times New Roman"/>
          <w:sz w:val="28"/>
          <w:szCs w:val="28"/>
          <w:lang w:eastAsia="en-US"/>
        </w:rPr>
        <w:t>Предоставлена компенсация 6 </w:t>
      </w:r>
      <w:r w:rsidRPr="00901F6F">
        <w:rPr>
          <w:rFonts w:ascii="Times New Roman" w:hAnsi="Times New Roman" w:cs="Times New Roman"/>
          <w:sz w:val="28"/>
          <w:szCs w:val="28"/>
          <w:lang w:eastAsia="en-US"/>
        </w:rPr>
        <w:t xml:space="preserve">поставщикам социальных услуг, оказывающим гражданам социальные услуги, предусмотренные </w:t>
      </w:r>
      <w:r w:rsidR="0023210C" w:rsidRPr="0023210C">
        <w:rPr>
          <w:rFonts w:ascii="Times New Roman" w:hAnsi="Times New Roman" w:cs="Times New Roman"/>
          <w:sz w:val="28"/>
          <w:szCs w:val="28"/>
          <w:lang w:eastAsia="en-US"/>
        </w:rPr>
        <w:t>индивидуальной программой предоставления социальных услуг</w:t>
      </w:r>
      <w:r w:rsidRPr="00901F6F">
        <w:rPr>
          <w:rFonts w:ascii="Times New Roman" w:hAnsi="Times New Roman" w:cs="Times New Roman"/>
          <w:sz w:val="28"/>
          <w:szCs w:val="28"/>
          <w:lang w:eastAsia="en-US"/>
        </w:rPr>
        <w:t xml:space="preserve">, включенным в реестр поставщиков социальных услуг в Новосибирской области, но не участвующим в выполнении государственного заказа (на общую сумму </w:t>
      </w:r>
      <w:r w:rsidR="00584796">
        <w:rPr>
          <w:rFonts w:ascii="Times New Roman" w:eastAsia="Times New Roman" w:hAnsi="Times New Roman" w:cs="Times New Roman"/>
          <w:sz w:val="28"/>
          <w:szCs w:val="28"/>
        </w:rPr>
        <w:t>1227,57 тыс. рублей</w:t>
      </w:r>
      <w:r w:rsidRPr="00901F6F">
        <w:rPr>
          <w:rFonts w:ascii="Times New Roman" w:eastAsia="Times New Roman" w:hAnsi="Times New Roman" w:cs="Times New Roman"/>
          <w:sz w:val="28"/>
          <w:szCs w:val="28"/>
        </w:rPr>
        <w:t>).</w:t>
      </w:r>
    </w:p>
    <w:p w14:paraId="64052F5A" w14:textId="77777777" w:rsidR="003F4CFF" w:rsidRPr="00901F6F" w:rsidRDefault="003F4CFF" w:rsidP="003F4CFF">
      <w:pPr>
        <w:widowControl w:val="0"/>
        <w:shd w:val="clear" w:color="auto" w:fill="FFFFFF" w:themeFill="background1"/>
        <w:autoSpaceDE w:val="0"/>
        <w:autoSpaceDN w:val="0"/>
        <w:adjustRightInd w:val="0"/>
        <w:ind w:firstLine="567"/>
        <w:jc w:val="both"/>
        <w:rPr>
          <w:rFonts w:ascii="Times New Roman" w:hAnsi="Times New Roman" w:cs="Times New Roman"/>
          <w:sz w:val="28"/>
          <w:szCs w:val="28"/>
          <w:lang w:eastAsia="en-US"/>
        </w:rPr>
      </w:pPr>
      <w:r w:rsidRPr="00901F6F">
        <w:rPr>
          <w:rFonts w:ascii="Times New Roman" w:eastAsia="Times New Roman" w:hAnsi="Times New Roman" w:cs="Times New Roman"/>
          <w:sz w:val="28"/>
          <w:szCs w:val="28"/>
        </w:rPr>
        <w:t>Доля негосударственных организаций социального обслуживания, предоставляющих социальные услуги и общественно-полезные услуги, по итогам 2019 года составила 30%.</w:t>
      </w:r>
    </w:p>
    <w:p w14:paraId="35F68D80"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lang w:eastAsia="en-US"/>
        </w:rPr>
      </w:pPr>
      <w:r w:rsidRPr="00901F6F">
        <w:rPr>
          <w:rFonts w:ascii="Times New Roman" w:hAnsi="Times New Roman" w:cs="Times New Roman"/>
          <w:sz w:val="28"/>
          <w:szCs w:val="28"/>
          <w:lang w:eastAsia="en-US"/>
        </w:rPr>
        <w:t>Осуществляется информационная и ко</w:t>
      </w:r>
      <w:r>
        <w:rPr>
          <w:rFonts w:ascii="Times New Roman" w:hAnsi="Times New Roman" w:cs="Times New Roman"/>
          <w:sz w:val="28"/>
          <w:szCs w:val="28"/>
          <w:lang w:eastAsia="en-US"/>
        </w:rPr>
        <w:t xml:space="preserve">нсультационная поддержка СОНКО </w:t>
      </w:r>
      <w:r w:rsidRPr="00901F6F">
        <w:rPr>
          <w:rFonts w:ascii="Times New Roman" w:hAnsi="Times New Roman" w:cs="Times New Roman"/>
          <w:sz w:val="28"/>
          <w:szCs w:val="28"/>
          <w:lang w:eastAsia="en-US"/>
        </w:rPr>
        <w:t>по следующим направлениям:</w:t>
      </w:r>
    </w:p>
    <w:p w14:paraId="4E9F405D"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lang w:eastAsia="en-US"/>
        </w:rPr>
      </w:pPr>
      <w:r w:rsidRPr="00901F6F">
        <w:rPr>
          <w:rFonts w:ascii="Times New Roman" w:hAnsi="Times New Roman" w:cs="Times New Roman"/>
          <w:sz w:val="28"/>
          <w:szCs w:val="28"/>
          <w:lang w:eastAsia="en-US"/>
        </w:rPr>
        <w:t>разъяснение порядка включения СОНКО в реестр поставщиков социальных услуг;</w:t>
      </w:r>
    </w:p>
    <w:p w14:paraId="4E7519F5"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lang w:eastAsia="en-US"/>
        </w:rPr>
      </w:pPr>
      <w:r w:rsidRPr="00901F6F">
        <w:rPr>
          <w:rFonts w:ascii="Times New Roman" w:hAnsi="Times New Roman" w:cs="Times New Roman"/>
          <w:sz w:val="28"/>
          <w:szCs w:val="28"/>
          <w:lang w:eastAsia="en-US"/>
        </w:rPr>
        <w:lastRenderedPageBreak/>
        <w:t xml:space="preserve">разъяснение порядка получения выплаты компенсации поставщикам социальных услуг, предоставляющим гражданам социальные услуги, предусмотренные </w:t>
      </w:r>
      <w:r w:rsidR="00074E17" w:rsidRPr="00074E17">
        <w:rPr>
          <w:rFonts w:ascii="Times New Roman" w:hAnsi="Times New Roman" w:cs="Times New Roman"/>
          <w:sz w:val="28"/>
          <w:szCs w:val="28"/>
          <w:lang w:eastAsia="en-US"/>
        </w:rPr>
        <w:t>индивидуальной программой предоставления социальных услуг</w:t>
      </w:r>
      <w:r w:rsidRPr="00901F6F">
        <w:rPr>
          <w:rFonts w:ascii="Times New Roman" w:hAnsi="Times New Roman" w:cs="Times New Roman"/>
          <w:sz w:val="28"/>
          <w:szCs w:val="28"/>
          <w:lang w:eastAsia="en-US"/>
        </w:rPr>
        <w:t>, включенным в реестр поставщиков социальных услуг</w:t>
      </w:r>
      <w:r w:rsidRPr="00901F6F">
        <w:rPr>
          <w:rFonts w:ascii="Times New Roman" w:hAnsi="Times New Roman" w:cs="Times New Roman"/>
          <w:sz w:val="28"/>
          <w:szCs w:val="28"/>
        </w:rPr>
        <w:t xml:space="preserve"> в Новосибирской области, но не участвующим в выполнении государственного задания (заказа)</w:t>
      </w:r>
      <w:r w:rsidRPr="00901F6F">
        <w:rPr>
          <w:rFonts w:ascii="Times New Roman" w:hAnsi="Times New Roman" w:cs="Times New Roman"/>
          <w:sz w:val="28"/>
          <w:szCs w:val="28"/>
          <w:lang w:eastAsia="en-US"/>
        </w:rPr>
        <w:t xml:space="preserve">; </w:t>
      </w:r>
    </w:p>
    <w:p w14:paraId="7D71B49A"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lang w:eastAsia="en-US"/>
        </w:rPr>
      </w:pPr>
      <w:r w:rsidRPr="00901F6F">
        <w:rPr>
          <w:rFonts w:ascii="Times New Roman" w:hAnsi="Times New Roman" w:cs="Times New Roman"/>
          <w:sz w:val="28"/>
          <w:szCs w:val="28"/>
          <w:lang w:eastAsia="en-US"/>
        </w:rPr>
        <w:t>разъяснение порядка участия в конкурсных отборах на предоставление субсидий (грантов) из средств областного и федерального бюджетов;</w:t>
      </w:r>
    </w:p>
    <w:p w14:paraId="0E2A67AB"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lang w:eastAsia="en-US"/>
        </w:rPr>
      </w:pPr>
      <w:r w:rsidRPr="00901F6F">
        <w:rPr>
          <w:rFonts w:ascii="Times New Roman" w:hAnsi="Times New Roman" w:cs="Times New Roman"/>
          <w:sz w:val="28"/>
          <w:szCs w:val="28"/>
          <w:lang w:eastAsia="en-US"/>
        </w:rPr>
        <w:t>информирование СОНКО и предоставление заключения о соответствии качества оказываемых СОНКО общественно-полезных услуг установленным критерия для включения в федеральный реестр некоммерческих организаций.</w:t>
      </w:r>
    </w:p>
    <w:p w14:paraId="0BD7B802"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lang w:eastAsia="en-US"/>
        </w:rPr>
      </w:pPr>
      <w:r w:rsidRPr="00901F6F">
        <w:rPr>
          <w:rFonts w:ascii="Times New Roman" w:hAnsi="Times New Roman" w:cs="Times New Roman"/>
          <w:sz w:val="28"/>
          <w:szCs w:val="28"/>
          <w:lang w:eastAsia="en-US"/>
        </w:rPr>
        <w:t>Вышеуказанные порядки размещены на официальном сайте министерства труда и социального развития Новосибирской области в разделе «Поддержка доступа НКО к бюджетным средствам». Данный раздел также содержит нормы</w:t>
      </w:r>
      <w:r w:rsidRPr="00901F6F">
        <w:rPr>
          <w:rFonts w:ascii="Times New Roman" w:eastAsia="Times New Roman" w:hAnsi="Times New Roman" w:cs="Times New Roman"/>
          <w:sz w:val="28"/>
          <w:szCs w:val="28"/>
        </w:rPr>
        <w:t xml:space="preserve"> федерального и регионального законодательства по поддержке доступа СОНКО к бюджетным средствам, иные методические материалы для СОНКО. </w:t>
      </w:r>
    </w:p>
    <w:p w14:paraId="6DBAD0A2" w14:textId="77777777" w:rsidR="003F4CFF" w:rsidRPr="00901F6F" w:rsidRDefault="003F4CFF" w:rsidP="003F4CFF">
      <w:pPr>
        <w:widowControl w:val="0"/>
        <w:shd w:val="clear" w:color="auto" w:fill="FFFFFF" w:themeFill="background1"/>
        <w:autoSpaceDE w:val="0"/>
        <w:autoSpaceDN w:val="0"/>
        <w:adjustRightInd w:val="0"/>
        <w:ind w:firstLine="567"/>
        <w:jc w:val="both"/>
        <w:rPr>
          <w:rFonts w:ascii="Times New Roman" w:hAnsi="Times New Roman" w:cs="Times New Roman"/>
          <w:sz w:val="28"/>
          <w:szCs w:val="28"/>
          <w:lang w:eastAsia="en-US"/>
        </w:rPr>
      </w:pPr>
      <w:r w:rsidRPr="00901F6F">
        <w:rPr>
          <w:rFonts w:ascii="Times New Roman" w:eastAsia="Times New Roman" w:hAnsi="Times New Roman" w:cs="Times New Roman"/>
          <w:sz w:val="28"/>
          <w:szCs w:val="28"/>
        </w:rPr>
        <w:t>В части оказания содействия повышению квалификации специалистов СОНКО 13 - 18 мая 2019 г. на базе автономной некоммерческой организации дополнительного профессионального образования «Сибирский институт практической психологии, педагогики и социальной работы» прошли обучение 50 представителей СОНКО по дополнительной профессиональной программе «Актуальные вопросы организационно-правового и финансового обеспечения деятельности СОНКО», по итогам которого выданы свидетельства о повышении квалификации.</w:t>
      </w:r>
    </w:p>
    <w:p w14:paraId="32E2C1A0" w14:textId="77777777" w:rsidR="003F4CFF" w:rsidRPr="00901F6F" w:rsidRDefault="003F4CFF" w:rsidP="003F4CFF">
      <w:pPr>
        <w:shd w:val="clear" w:color="auto" w:fill="FFFFFF" w:themeFill="background1"/>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проблемы на данном рынке:</w:t>
      </w:r>
    </w:p>
    <w:p w14:paraId="402AEAD2" w14:textId="77777777" w:rsidR="003F4CFF" w:rsidRPr="00901F6F" w:rsidRDefault="003F4CFF" w:rsidP="003F4CFF">
      <w:pPr>
        <w:widowControl w:val="0"/>
        <w:shd w:val="clear" w:color="auto" w:fill="FFFFFF" w:themeFill="background1"/>
        <w:autoSpaceDE w:val="0"/>
        <w:autoSpaceDN w:val="0"/>
        <w:adjustRightInd w:val="0"/>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недостаточность ресурсов для обеспечения финансовой поддержки общественных организаций, предоставляющих социальные услуги населению;</w:t>
      </w:r>
    </w:p>
    <w:p w14:paraId="497F5002" w14:textId="77777777" w:rsidR="003F4CFF" w:rsidRPr="00901F6F" w:rsidRDefault="003F4CFF" w:rsidP="003F4CFF">
      <w:pPr>
        <w:widowControl w:val="0"/>
        <w:shd w:val="clear" w:color="auto" w:fill="FFFFFF" w:themeFill="background1"/>
        <w:autoSpaceDE w:val="0"/>
        <w:autoSpaceDN w:val="0"/>
        <w:adjustRightInd w:val="0"/>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низкая конкурентоспособность;</w:t>
      </w:r>
    </w:p>
    <w:p w14:paraId="342D2EC6" w14:textId="77777777" w:rsidR="003F4CFF" w:rsidRPr="00901F6F" w:rsidRDefault="003F4CFF" w:rsidP="003F4CFF">
      <w:pPr>
        <w:widowControl w:val="0"/>
        <w:shd w:val="clear" w:color="auto" w:fill="FFFFFF" w:themeFill="background1"/>
        <w:autoSpaceDE w:val="0"/>
        <w:autoSpaceDN w:val="0"/>
        <w:adjustRightInd w:val="0"/>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отсутствие у альтернативных поставщиков необходимых помещений материально-технической базы для оказания услуг (в том числе мебели, мягкого инвентаря, реабилитационного оборудования), стабильного кадрового состава;</w:t>
      </w:r>
    </w:p>
    <w:p w14:paraId="446837CC" w14:textId="77777777" w:rsidR="003F4CFF" w:rsidRPr="00901F6F" w:rsidRDefault="003F4CFF" w:rsidP="003F4CFF">
      <w:pPr>
        <w:widowControl w:val="0"/>
        <w:shd w:val="clear" w:color="auto" w:fill="FFFFFF" w:themeFill="background1"/>
        <w:autoSpaceDE w:val="0"/>
        <w:autoSpaceDN w:val="0"/>
        <w:adjustRightInd w:val="0"/>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недостаточный уровень межведомственного взаимодействия в подходе оказания услуг, в том числе отсутствие условий для электронного обмена документов, отсутствие возможности подключения к базам данных;</w:t>
      </w:r>
    </w:p>
    <w:p w14:paraId="6D316D17" w14:textId="77777777" w:rsidR="003F4CFF" w:rsidRPr="00901F6F" w:rsidRDefault="003F4CFF" w:rsidP="003F4CFF">
      <w:pPr>
        <w:widowControl w:val="0"/>
        <w:shd w:val="clear" w:color="auto" w:fill="FFFFFF" w:themeFill="background1"/>
        <w:autoSpaceDE w:val="0"/>
        <w:autoSpaceDN w:val="0"/>
        <w:adjustRightInd w:val="0"/>
        <w:ind w:firstLine="567"/>
        <w:jc w:val="both"/>
        <w:rPr>
          <w:rFonts w:ascii="Times New Roman" w:eastAsia="Times New Roman" w:hAnsi="Times New Roman" w:cs="Times New Roman"/>
          <w:sz w:val="28"/>
          <w:szCs w:val="28"/>
          <w:lang w:eastAsia="en-US"/>
        </w:rPr>
      </w:pPr>
      <w:r w:rsidRPr="00901F6F">
        <w:rPr>
          <w:rFonts w:ascii="Times New Roman" w:eastAsia="Times New Roman" w:hAnsi="Times New Roman" w:cs="Times New Roman"/>
          <w:sz w:val="28"/>
          <w:szCs w:val="28"/>
          <w:lang w:eastAsia="en-US"/>
        </w:rPr>
        <w:t>не все гарантии государства для сотрудников негосударственных организаций равноценны гарантиям, предоставляемым сотрудникам государственных (муниципальных) учреждений: повышение оплаты труда, длительность гарантированных отпусков, требование к обучению (повышению квалификации) и др.</w:t>
      </w:r>
    </w:p>
    <w:p w14:paraId="1C32FF59" w14:textId="77777777" w:rsidR="003F4CFF" w:rsidRPr="00901F6F" w:rsidRDefault="003F4CFF" w:rsidP="003F4CFF">
      <w:pPr>
        <w:shd w:val="clear" w:color="auto" w:fill="FFFFFF" w:themeFill="background1"/>
        <w:autoSpaceDE w:val="0"/>
        <w:autoSpaceDN w:val="0"/>
        <w:ind w:firstLine="567"/>
        <w:contextualSpacing/>
        <w:jc w:val="both"/>
        <w:rPr>
          <w:rFonts w:ascii="Times New Roman" w:eastAsia="Times New Roman" w:hAnsi="Times New Roman" w:cs="Times New Roman"/>
          <w:sz w:val="28"/>
          <w:szCs w:val="28"/>
          <w:lang w:eastAsia="x-none"/>
        </w:rPr>
      </w:pPr>
      <w:r w:rsidRPr="00901F6F">
        <w:rPr>
          <w:rFonts w:ascii="Times New Roman" w:eastAsia="Times New Roman" w:hAnsi="Times New Roman" w:cs="Times New Roman"/>
          <w:sz w:val="28"/>
          <w:szCs w:val="28"/>
          <w:lang w:eastAsia="x-none"/>
        </w:rPr>
        <w:t xml:space="preserve">Для решения проблем предусмотрено: </w:t>
      </w:r>
    </w:p>
    <w:p w14:paraId="6B7AB3B3" w14:textId="77777777" w:rsidR="003F4CFF" w:rsidRPr="00901F6F" w:rsidRDefault="003F4CFF" w:rsidP="003F4CFF">
      <w:pPr>
        <w:shd w:val="clear" w:color="auto" w:fill="FFFFFF" w:themeFill="background1"/>
        <w:autoSpaceDE w:val="0"/>
        <w:autoSpaceDN w:val="0"/>
        <w:ind w:firstLine="567"/>
        <w:contextualSpacing/>
        <w:jc w:val="both"/>
        <w:rPr>
          <w:rFonts w:ascii="Times New Roman" w:eastAsia="Times New Roman" w:hAnsi="Times New Roman" w:cs="Times New Roman"/>
          <w:sz w:val="28"/>
          <w:szCs w:val="28"/>
          <w:lang w:eastAsia="x-none"/>
        </w:rPr>
      </w:pPr>
      <w:r w:rsidRPr="00901F6F">
        <w:rPr>
          <w:rFonts w:ascii="Times New Roman" w:eastAsia="Times New Roman" w:hAnsi="Times New Roman" w:cs="Times New Roman"/>
          <w:sz w:val="28"/>
          <w:szCs w:val="28"/>
          <w:lang w:eastAsia="x-none"/>
        </w:rPr>
        <w:t xml:space="preserve">сохранение объема финансовой поддержки СОНКО на прежнем уровне, представление в министерство финансов и налоговой политики Новосибирской области при формировании бюджета предложений об увеличении объемов лимитов, направляемых на финансовую поддержку СОНКО; </w:t>
      </w:r>
    </w:p>
    <w:p w14:paraId="5D4CC6F9" w14:textId="77777777" w:rsidR="003F4CFF" w:rsidRPr="00901F6F" w:rsidRDefault="003F4CFF" w:rsidP="003F4CFF">
      <w:pPr>
        <w:shd w:val="clear" w:color="auto" w:fill="FFFFFF" w:themeFill="background1"/>
        <w:autoSpaceDE w:val="0"/>
        <w:autoSpaceDN w:val="0"/>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bCs/>
          <w:sz w:val="28"/>
          <w:szCs w:val="28"/>
        </w:rPr>
        <w:lastRenderedPageBreak/>
        <w:t>информационная и консультационная поддержка (</w:t>
      </w:r>
      <w:r w:rsidRPr="00901F6F">
        <w:rPr>
          <w:rFonts w:ascii="Times New Roman" w:eastAsia="Times New Roman" w:hAnsi="Times New Roman" w:cs="Times New Roman"/>
          <w:sz w:val="28"/>
          <w:szCs w:val="28"/>
        </w:rPr>
        <w:t xml:space="preserve">разъяснение порядка получения выплаты компенсации поставщикам социальных услуг, предоставляющим гражданам социальные услуги, предусмотренные </w:t>
      </w:r>
      <w:r w:rsidR="00074E17" w:rsidRPr="00074E17">
        <w:rPr>
          <w:rFonts w:ascii="Times New Roman" w:eastAsia="Times New Roman" w:hAnsi="Times New Roman" w:cs="Times New Roman"/>
          <w:sz w:val="28"/>
          <w:szCs w:val="28"/>
        </w:rPr>
        <w:t>индивидуальной программой предоставления социальных услуг</w:t>
      </w:r>
      <w:r w:rsidRPr="00901F6F">
        <w:rPr>
          <w:rFonts w:ascii="Times New Roman" w:eastAsia="Times New Roman" w:hAnsi="Times New Roman" w:cs="Times New Roman"/>
          <w:sz w:val="28"/>
          <w:szCs w:val="28"/>
        </w:rPr>
        <w:t>, включенным в реестр поставщиков социальных услуг; разъяснение порядка участия в конкурсных отборах на предоставление субсидий из средств областного бюджета</w:t>
      </w:r>
      <w:r w:rsidR="00074E17">
        <w:rPr>
          <w:rFonts w:ascii="Times New Roman" w:eastAsia="Times New Roman" w:hAnsi="Times New Roman" w:cs="Times New Roman"/>
          <w:sz w:val="28"/>
          <w:szCs w:val="28"/>
        </w:rPr>
        <w:t xml:space="preserve"> Новосибирской области</w:t>
      </w:r>
      <w:r w:rsidRPr="00901F6F">
        <w:rPr>
          <w:rFonts w:ascii="Times New Roman" w:eastAsia="Times New Roman" w:hAnsi="Times New Roman" w:cs="Times New Roman"/>
          <w:sz w:val="28"/>
          <w:szCs w:val="28"/>
        </w:rPr>
        <w:t>, проводимых министерством</w:t>
      </w:r>
      <w:r w:rsidR="00074E17">
        <w:rPr>
          <w:rFonts w:ascii="Times New Roman" w:eastAsia="Times New Roman" w:hAnsi="Times New Roman" w:cs="Times New Roman"/>
          <w:sz w:val="28"/>
          <w:szCs w:val="28"/>
        </w:rPr>
        <w:t xml:space="preserve"> труда и социального развития Новосибирской области</w:t>
      </w:r>
      <w:r w:rsidRPr="00901F6F">
        <w:rPr>
          <w:rFonts w:ascii="Times New Roman" w:eastAsia="Times New Roman" w:hAnsi="Times New Roman" w:cs="Times New Roman"/>
          <w:sz w:val="28"/>
          <w:szCs w:val="28"/>
        </w:rPr>
        <w:t>, консультирование по вопросам реализации, целевого расходования средств субсидий и подготовки отчетной документации; информирование СОНКО и предоставление заключения о соответствии качества оказываемых СОНКО общественно-полезных услуг установленным критерия для включения в федеральный реестр некоммерческих организаций; консультирование и оказание методической помощи специалистам СОНКО по вопросам разработки и реализации социальных проектов и программ, внедрению и отработке современных социальных технологий);</w:t>
      </w:r>
    </w:p>
    <w:p w14:paraId="657A1C7D" w14:textId="77777777" w:rsidR="003F4CFF" w:rsidRPr="00901F6F" w:rsidRDefault="003F4CFF" w:rsidP="003F4CFF">
      <w:pPr>
        <w:shd w:val="clear" w:color="auto" w:fill="FFFFFF" w:themeFill="background1"/>
        <w:autoSpaceDE w:val="0"/>
        <w:autoSpaceDN w:val="0"/>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bCs/>
          <w:sz w:val="28"/>
          <w:szCs w:val="28"/>
        </w:rPr>
        <w:t>совместная разработка социальных проектов и программ</w:t>
      </w:r>
      <w:r w:rsidRPr="00901F6F">
        <w:rPr>
          <w:rFonts w:ascii="Times New Roman" w:eastAsia="Times New Roman" w:hAnsi="Times New Roman" w:cs="Times New Roman"/>
          <w:iCs/>
          <w:sz w:val="28"/>
          <w:szCs w:val="28"/>
        </w:rPr>
        <w:t xml:space="preserve">; </w:t>
      </w:r>
      <w:r w:rsidRPr="00901F6F">
        <w:rPr>
          <w:rFonts w:ascii="Times New Roman" w:eastAsia="Times New Roman" w:hAnsi="Times New Roman" w:cs="Times New Roman"/>
          <w:sz w:val="28"/>
          <w:szCs w:val="28"/>
        </w:rPr>
        <w:t>включение мероприятий СОНКО в региональные комплексы мер, заявляемые на конкурсные отборы Фонда, с целью привлечения в регион дополнительного внебюджетного финансирования;</w:t>
      </w:r>
    </w:p>
    <w:p w14:paraId="18A3E60B" w14:textId="77777777" w:rsidR="003F4CFF" w:rsidRPr="00901F6F" w:rsidRDefault="003F4CFF" w:rsidP="003F4CFF">
      <w:pPr>
        <w:shd w:val="clear" w:color="auto" w:fill="FFFFFF" w:themeFill="background1"/>
        <w:autoSpaceDE w:val="0"/>
        <w:autoSpaceDN w:val="0"/>
        <w:ind w:firstLine="567"/>
        <w:contextualSpacing/>
        <w:jc w:val="both"/>
        <w:rPr>
          <w:rFonts w:ascii="Times New Roman" w:eastAsia="Times New Roman" w:hAnsi="Times New Roman" w:cs="Times New Roman"/>
          <w:sz w:val="28"/>
          <w:szCs w:val="28"/>
          <w:lang w:eastAsia="x-none"/>
        </w:rPr>
      </w:pPr>
      <w:r w:rsidRPr="00901F6F">
        <w:rPr>
          <w:rFonts w:ascii="Times New Roman" w:eastAsia="Times New Roman" w:hAnsi="Times New Roman" w:cs="Times New Roman"/>
          <w:bCs/>
          <w:sz w:val="28"/>
          <w:szCs w:val="28"/>
          <w:lang w:val="x-none" w:eastAsia="x-none"/>
        </w:rPr>
        <w:t>оказание содействия развитию кадрового потенциала СОНКО через повышение квалификации их специалистов и добровольцев;</w:t>
      </w:r>
      <w:r w:rsidRPr="00901F6F">
        <w:rPr>
          <w:rFonts w:ascii="Times New Roman" w:eastAsia="Times New Roman" w:hAnsi="Times New Roman" w:cs="Times New Roman"/>
          <w:bCs/>
          <w:sz w:val="28"/>
          <w:szCs w:val="28"/>
          <w:lang w:eastAsia="x-none"/>
        </w:rPr>
        <w:t xml:space="preserve"> </w:t>
      </w:r>
      <w:r w:rsidRPr="00901F6F">
        <w:rPr>
          <w:rFonts w:ascii="Times New Roman" w:eastAsia="Times New Roman" w:hAnsi="Times New Roman" w:cs="Times New Roman"/>
          <w:sz w:val="28"/>
          <w:szCs w:val="28"/>
          <w:lang w:eastAsia="x-none"/>
        </w:rPr>
        <w:t xml:space="preserve">приглашение представителей СОНКО к участию в образовательных, информационно-просветительских мероприятиях, проводимых министерством; </w:t>
      </w:r>
      <w:r w:rsidRPr="00901F6F">
        <w:rPr>
          <w:rFonts w:ascii="Times New Roman" w:eastAsia="Times New Roman" w:hAnsi="Times New Roman" w:cs="Times New Roman"/>
          <w:bCs/>
          <w:sz w:val="28"/>
          <w:szCs w:val="28"/>
          <w:lang w:val="x-none" w:eastAsia="x-none"/>
        </w:rPr>
        <w:t>проведение семинаров, круглых столов, конференций, акций и иных мероприятий по вопросам повышения качества оказываемой помощи, развития межсекторного взаимодействия;</w:t>
      </w:r>
    </w:p>
    <w:p w14:paraId="62BCE66C" w14:textId="77777777" w:rsidR="003F4CFF" w:rsidRPr="00901F6F" w:rsidRDefault="003F4CFF" w:rsidP="003F4CFF">
      <w:pPr>
        <w:shd w:val="clear" w:color="auto" w:fill="FFFFFF" w:themeFill="background1"/>
        <w:autoSpaceDE w:val="0"/>
        <w:autoSpaceDN w:val="0"/>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bCs/>
          <w:sz w:val="28"/>
          <w:szCs w:val="28"/>
        </w:rPr>
        <w:t>проведение общественной экспертизы проектов законов Новосибирской области, а также проектов ведомственных нормативных правовых актов, затрагивающих их интересы и интересы целевой группы, чьи интересы они представляют;</w:t>
      </w:r>
    </w:p>
    <w:p w14:paraId="03E0A072" w14:textId="77777777" w:rsidR="003F4CFF" w:rsidRPr="00901F6F" w:rsidRDefault="003F4CFF" w:rsidP="003F4CFF">
      <w:pPr>
        <w:shd w:val="clear" w:color="auto" w:fill="FFFFFF" w:themeFill="background1"/>
        <w:autoSpaceDE w:val="0"/>
        <w:autoSpaceDN w:val="0"/>
        <w:ind w:firstLine="567"/>
        <w:jc w:val="both"/>
        <w:rPr>
          <w:rFonts w:ascii="Times New Roman" w:eastAsia="Times New Roman" w:hAnsi="Times New Roman" w:cs="Times New Roman"/>
          <w:bCs/>
          <w:sz w:val="28"/>
          <w:szCs w:val="28"/>
        </w:rPr>
      </w:pPr>
      <w:r w:rsidRPr="00901F6F">
        <w:rPr>
          <w:rFonts w:ascii="Times New Roman" w:eastAsia="Times New Roman" w:hAnsi="Times New Roman" w:cs="Times New Roman"/>
          <w:bCs/>
          <w:sz w:val="28"/>
          <w:szCs w:val="28"/>
        </w:rPr>
        <w:t>включение представителей СОНКО в состав наблюдательных и попечительских советов, в деятельность по проведению независимой оценки качества;</w:t>
      </w:r>
    </w:p>
    <w:p w14:paraId="5B77D568" w14:textId="77777777" w:rsidR="003F4CFF" w:rsidRPr="00901F6F" w:rsidRDefault="003F4CFF" w:rsidP="003F4CFF">
      <w:pPr>
        <w:widowControl w:val="0"/>
        <w:shd w:val="clear" w:color="auto" w:fill="FFFFFF" w:themeFill="background1"/>
        <w:autoSpaceDE w:val="0"/>
        <w:autoSpaceDN w:val="0"/>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bCs/>
          <w:sz w:val="28"/>
          <w:szCs w:val="28"/>
        </w:rPr>
        <w:t>инициирование вопроса об увеличении стоимости т</w:t>
      </w:r>
      <w:r w:rsidRPr="00901F6F">
        <w:rPr>
          <w:rFonts w:ascii="Times New Roman" w:eastAsia="Times New Roman" w:hAnsi="Times New Roman" w:cs="Times New Roman"/>
          <w:sz w:val="28"/>
          <w:szCs w:val="28"/>
        </w:rPr>
        <w:t>арифов на социальные услуги.</w:t>
      </w:r>
    </w:p>
    <w:p w14:paraId="1F42E621" w14:textId="77777777" w:rsidR="003F4CFF" w:rsidRPr="00EC5135"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Pr>
          <w:rFonts w:ascii="Times New Roman" w:eastAsia="Times New Roman" w:hAnsi="Times New Roman" w:cs="Times New Roman"/>
          <w:sz w:val="28"/>
          <w:szCs w:val="28"/>
        </w:rPr>
        <w:t xml:space="preserve"> за 2019 год</w:t>
      </w:r>
      <w:r w:rsidRPr="00EC5135">
        <w:rPr>
          <w:rFonts w:ascii="Times New Roman" w:hAnsi="Times New Roman" w:cs="Times New Roman"/>
          <w:sz w:val="28"/>
          <w:szCs w:val="28"/>
        </w:rPr>
        <w:t xml:space="preserve"> </w:t>
      </w:r>
      <w:r>
        <w:rPr>
          <w:rFonts w:ascii="Times New Roman" w:hAnsi="Times New Roman" w:cs="Times New Roman"/>
          <w:sz w:val="28"/>
          <w:szCs w:val="28"/>
        </w:rPr>
        <w:t xml:space="preserve">установлено, что преобладают </w:t>
      </w:r>
      <w:r w:rsidRPr="00EC5135">
        <w:rPr>
          <w:rFonts w:ascii="Times New Roman" w:hAnsi="Times New Roman" w:cs="Times New Roman"/>
          <w:sz w:val="28"/>
          <w:szCs w:val="28"/>
        </w:rPr>
        <w:t>низкие оценки уровня конкуренции на данном рынке (слабая конкуренция либо нет конкуренции) – 43%.</w:t>
      </w:r>
    </w:p>
    <w:p w14:paraId="64833051" w14:textId="77777777" w:rsidR="003F4CFF"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непреодолимых административных барьеров отмечают 10%</w:t>
      </w:r>
      <w:r>
        <w:rPr>
          <w:rFonts w:ascii="Times New Roman" w:hAnsi="Times New Roman" w:cs="Times New Roman"/>
          <w:sz w:val="28"/>
          <w:szCs w:val="28"/>
        </w:rPr>
        <w:t xml:space="preserve"> субъектов предпринимательства.</w:t>
      </w:r>
    </w:p>
    <w:p w14:paraId="17E17356" w14:textId="77777777" w:rsidR="003F4CFF" w:rsidRPr="008A6E89" w:rsidRDefault="003F4CFF" w:rsidP="003F4CFF">
      <w:pPr>
        <w:ind w:firstLine="567"/>
        <w:jc w:val="both"/>
        <w:rPr>
          <w:rFonts w:ascii="Times New Roman" w:eastAsia="Times New Roman" w:hAnsi="Times New Roman" w:cs="Times New Roman"/>
          <w:sz w:val="28"/>
          <w:szCs w:val="28"/>
        </w:rPr>
      </w:pPr>
      <w:r w:rsidRPr="008A6E89">
        <w:rPr>
          <w:rFonts w:ascii="Times New Roman" w:eastAsia="Times New Roman" w:hAnsi="Times New Roman" w:cs="Times New Roman"/>
          <w:sz w:val="28"/>
          <w:szCs w:val="28"/>
          <w:shd w:val="clear" w:color="auto" w:fill="FFFFFF"/>
        </w:rPr>
        <w:t>Отмечается недостаточное количество организаций на данном рынке (</w:t>
      </w:r>
      <w:r w:rsidRPr="008A6E89">
        <w:rPr>
          <w:rFonts w:ascii="Times New Roman" w:hAnsi="Times New Roman" w:cs="Times New Roman"/>
          <w:sz w:val="28"/>
          <w:szCs w:val="28"/>
        </w:rPr>
        <w:t>так считают 57% потребителей</w:t>
      </w:r>
      <w:r w:rsidRPr="008A6E89">
        <w:rPr>
          <w:rFonts w:ascii="Times New Roman" w:eastAsia="Times New Roman" w:hAnsi="Times New Roman" w:cs="Times New Roman"/>
          <w:sz w:val="28"/>
          <w:szCs w:val="28"/>
          <w:shd w:val="clear" w:color="auto" w:fill="FFFFFF"/>
        </w:rPr>
        <w:t xml:space="preserve">) и относительно незначительное увеличение числа организаций за последние 3 года (отмечают рост числа организаций 19% </w:t>
      </w:r>
      <w:r w:rsidRPr="008A6E89">
        <w:rPr>
          <w:rFonts w:ascii="Times New Roman" w:eastAsia="Times New Roman" w:hAnsi="Times New Roman" w:cs="Times New Roman"/>
          <w:sz w:val="28"/>
          <w:szCs w:val="28"/>
          <w:shd w:val="clear" w:color="auto" w:fill="FFFFFF"/>
        </w:rPr>
        <w:lastRenderedPageBreak/>
        <w:t xml:space="preserve">потребителей). </w:t>
      </w:r>
      <w:r w:rsidRPr="008A6E89">
        <w:rPr>
          <w:rFonts w:ascii="Times New Roman" w:eastAsia="Times New Roman" w:hAnsi="Times New Roman" w:cs="Times New Roman"/>
          <w:sz w:val="28"/>
          <w:szCs w:val="28"/>
        </w:rPr>
        <w:t>Удовлетворенность потребителей выбором услуг, их качеством и стоимостью находится на низком уровне (47%, 48% и 45% соответственно). Рост цен на данном рынке наименее выражен по сравнению с остальными рынками (отмечают 56% потребителей), при этом не наблюдается положительной динамики по возможности выбора услуг (отмечают повышение 18% потребителей) и по качеству услуг (повышение качества отмечают 16% потребителей, снижение – 22%). Таким образом, рынок социальных услуг находится в стагнации.</w:t>
      </w:r>
      <w:r w:rsidRPr="008A6E89">
        <w:rPr>
          <w:rFonts w:ascii="Times New Roman" w:eastAsia="Times New Roman" w:hAnsi="Times New Roman" w:cs="Times New Roman"/>
          <w:sz w:val="28"/>
          <w:szCs w:val="28"/>
          <w:shd w:val="clear" w:color="auto" w:fill="FFFFFF"/>
        </w:rPr>
        <w:t xml:space="preserve"> </w:t>
      </w:r>
    </w:p>
    <w:p w14:paraId="3F1270E6"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теплоснабжения (производство тепловой энергии)</w:t>
      </w:r>
    </w:p>
    <w:p w14:paraId="41820C69" w14:textId="77777777" w:rsidR="003F4CFF" w:rsidRPr="00C40514"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C40514">
        <w:rPr>
          <w:rFonts w:ascii="Times New Roman" w:eastAsiaTheme="minorHAnsi" w:hAnsi="Times New Roman" w:cs="Times New Roman"/>
          <w:sz w:val="28"/>
          <w:szCs w:val="28"/>
          <w:lang w:eastAsia="en-US"/>
        </w:rPr>
        <w:t>В период 201</w:t>
      </w:r>
      <w:r w:rsidRPr="00901F6F">
        <w:rPr>
          <w:rFonts w:ascii="Times New Roman" w:eastAsiaTheme="minorHAnsi" w:hAnsi="Times New Roman" w:cs="Times New Roman"/>
          <w:sz w:val="28"/>
          <w:szCs w:val="28"/>
          <w:lang w:eastAsia="en-US"/>
        </w:rPr>
        <w:t>9</w:t>
      </w:r>
      <w:r w:rsidRPr="00C40514">
        <w:rPr>
          <w:rFonts w:ascii="Times New Roman" w:eastAsiaTheme="minorHAnsi" w:hAnsi="Times New Roman" w:cs="Times New Roman"/>
          <w:sz w:val="28"/>
          <w:szCs w:val="28"/>
          <w:lang w:eastAsia="en-US"/>
        </w:rPr>
        <w:t xml:space="preserve"> года на территории Новосибирской области произведено тепловой энергии 22 430 865,83 Гкал, в том числе муниципальными и государственными предприятиями производство тепловой энергии составляет 4 197 055,61 Гкал или 18,7%.</w:t>
      </w:r>
    </w:p>
    <w:p w14:paraId="3522DE5A" w14:textId="77777777" w:rsidR="003F4CFF" w:rsidRPr="00901F6F" w:rsidRDefault="003F4CFF" w:rsidP="003F4CFF">
      <w:pPr>
        <w:shd w:val="clear" w:color="auto" w:fill="FFFFFF" w:themeFill="background1"/>
        <w:autoSpaceDE w:val="0"/>
        <w:autoSpaceDN w:val="0"/>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sz w:val="28"/>
          <w:szCs w:val="28"/>
        </w:rPr>
        <w:t>Доля производства тепловой энергии муниципальным унитарным предприятиям в общем объеме производства тепловой энергии Новосибирской области составляет 12%.</w:t>
      </w:r>
    </w:p>
    <w:p w14:paraId="15B9041B" w14:textId="77777777" w:rsidR="003F4CFF" w:rsidRPr="00901F6F" w:rsidRDefault="003F4CFF" w:rsidP="003F4CFF">
      <w:pPr>
        <w:shd w:val="clear" w:color="auto" w:fill="FFFFFF" w:themeFill="background1"/>
        <w:autoSpaceDE w:val="0"/>
        <w:autoSpaceDN w:val="0"/>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sz w:val="28"/>
          <w:szCs w:val="28"/>
        </w:rPr>
        <w:t>Доля производства тепловой энергии предприятиями частной формы собственности в общем объеме производства тепловой энергии Новосибирской области составляет 88%.</w:t>
      </w:r>
    </w:p>
    <w:p w14:paraId="75DF3860" w14:textId="77777777" w:rsidR="003F4CFF" w:rsidRPr="00901F6F" w:rsidRDefault="003F4CFF" w:rsidP="003F4CFF">
      <w:pPr>
        <w:shd w:val="clear" w:color="auto" w:fill="FFFFFF" w:themeFill="background1"/>
        <w:autoSpaceDE w:val="0"/>
        <w:autoSpaceDN w:val="0"/>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sz w:val="28"/>
          <w:szCs w:val="28"/>
        </w:rPr>
        <w:t>Достигнуто снижение доли производства тепловой энергии муниципальными унитарными предприятиями на 6,7%.</w:t>
      </w:r>
    </w:p>
    <w:p w14:paraId="0F82C067" w14:textId="77777777" w:rsidR="003F4CFF" w:rsidRPr="00901F6F" w:rsidRDefault="003F4CFF" w:rsidP="003F4CFF">
      <w:pPr>
        <w:shd w:val="clear" w:color="auto" w:fill="FFFFFF" w:themeFill="background1"/>
        <w:autoSpaceDE w:val="0"/>
        <w:autoSpaceDN w:val="0"/>
        <w:ind w:firstLine="567"/>
        <w:jc w:val="both"/>
        <w:rPr>
          <w:rFonts w:ascii="Times New Roman" w:eastAsia="Times New Roman" w:hAnsi="Times New Roman" w:cs="Times New Roman"/>
          <w:sz w:val="28"/>
          <w:szCs w:val="28"/>
        </w:rPr>
      </w:pPr>
      <w:r w:rsidRPr="00901F6F">
        <w:rPr>
          <w:rFonts w:ascii="Times New Roman" w:eastAsia="Times New Roman" w:hAnsi="Times New Roman" w:cs="Times New Roman"/>
          <w:sz w:val="28"/>
          <w:szCs w:val="28"/>
        </w:rPr>
        <w:t>Данный показатель достигнут согласно реализации поставленной цели –сокращение количества неэффективных муниципальных унитарных предприятий. По состоянию на 31.12.2019 количество неэффективно работающих организаций составляет 106 единиц. Уровень снижения за весь период мониторинга составляет более 40% (за период 2015 – 2019 годы).</w:t>
      </w:r>
    </w:p>
    <w:p w14:paraId="261BD6E8" w14:textId="77777777" w:rsidR="003F4CFF" w:rsidRPr="00C40514"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C40514">
        <w:rPr>
          <w:rFonts w:ascii="Times New Roman" w:eastAsiaTheme="minorHAnsi" w:hAnsi="Times New Roman" w:cs="Times New Roman"/>
          <w:sz w:val="28"/>
          <w:szCs w:val="28"/>
          <w:lang w:eastAsia="en-US"/>
        </w:rPr>
        <w:t>Теплоснабжение</w:t>
      </w:r>
      <w:r>
        <w:rPr>
          <w:rFonts w:ascii="Times New Roman" w:eastAsiaTheme="minorHAnsi" w:hAnsi="Times New Roman" w:cs="Times New Roman"/>
          <w:sz w:val="28"/>
          <w:szCs w:val="28"/>
          <w:lang w:eastAsia="en-US"/>
        </w:rPr>
        <w:t xml:space="preserve"> в</w:t>
      </w:r>
      <w:r w:rsidRPr="00901F6F">
        <w:rPr>
          <w:rFonts w:ascii="Times New Roman" w:eastAsiaTheme="minorHAnsi" w:hAnsi="Times New Roman" w:cs="Times New Roman"/>
          <w:sz w:val="28"/>
          <w:szCs w:val="28"/>
          <w:lang w:eastAsia="en-US"/>
        </w:rPr>
        <w:t xml:space="preserve"> Новосибирской области </w:t>
      </w:r>
      <w:r w:rsidRPr="00C40514">
        <w:rPr>
          <w:rFonts w:ascii="Times New Roman" w:eastAsiaTheme="minorHAnsi" w:hAnsi="Times New Roman" w:cs="Times New Roman"/>
          <w:sz w:val="28"/>
          <w:szCs w:val="28"/>
          <w:lang w:eastAsia="en-US"/>
        </w:rPr>
        <w:t>осуществл</w:t>
      </w:r>
      <w:r w:rsidRPr="00901F6F">
        <w:rPr>
          <w:rFonts w:ascii="Times New Roman" w:eastAsiaTheme="minorHAnsi" w:hAnsi="Times New Roman" w:cs="Times New Roman"/>
          <w:sz w:val="28"/>
          <w:szCs w:val="28"/>
          <w:lang w:eastAsia="en-US"/>
        </w:rPr>
        <w:t>яют</w:t>
      </w:r>
      <w:r w:rsidRPr="00C40514">
        <w:rPr>
          <w:rFonts w:ascii="Times New Roman" w:eastAsiaTheme="minorHAnsi" w:hAnsi="Times New Roman" w:cs="Times New Roman"/>
          <w:sz w:val="28"/>
          <w:szCs w:val="28"/>
          <w:lang w:eastAsia="en-US"/>
        </w:rPr>
        <w:t xml:space="preserve"> 315 теплоснабжающих организаций, в том числе 164 муниципальных и государственных предприятий и 151 предприятие частной формы собственности (хозяйственные общества, индивидуальные предприниматели).</w:t>
      </w:r>
    </w:p>
    <w:p w14:paraId="1510518F" w14:textId="77777777" w:rsidR="003F4CFF" w:rsidRPr="00C40514"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C40514">
        <w:rPr>
          <w:rFonts w:ascii="Times New Roman" w:eastAsiaTheme="minorHAnsi" w:hAnsi="Times New Roman" w:cs="Times New Roman"/>
          <w:sz w:val="28"/>
          <w:szCs w:val="28"/>
          <w:lang w:eastAsia="en-US"/>
        </w:rPr>
        <w:t xml:space="preserve">Крупнейшей организацией в сфере теплоснабжения в Новосибирской области является </w:t>
      </w:r>
      <w:r w:rsidRPr="00547020">
        <w:rPr>
          <w:rFonts w:ascii="Times New Roman" w:eastAsiaTheme="minorHAnsi" w:hAnsi="Times New Roman" w:cs="Times New Roman"/>
          <w:sz w:val="28"/>
          <w:szCs w:val="28"/>
          <w:lang w:eastAsia="en-US"/>
        </w:rPr>
        <w:t>АО «СИБЭКО», производство</w:t>
      </w:r>
      <w:r w:rsidRPr="00C40514">
        <w:rPr>
          <w:rFonts w:ascii="Times New Roman" w:eastAsiaTheme="minorHAnsi" w:hAnsi="Times New Roman" w:cs="Times New Roman"/>
          <w:sz w:val="28"/>
          <w:szCs w:val="28"/>
          <w:lang w:eastAsia="en-US"/>
        </w:rPr>
        <w:t xml:space="preserve"> тепловой энергии составляет 12 984 844,91 Гкал/год, доля на рынке тепловой энергии – 57,9%.</w:t>
      </w:r>
    </w:p>
    <w:p w14:paraId="2E15952C" w14:textId="77777777" w:rsidR="003F4CFF" w:rsidRPr="00C40514"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C40514">
        <w:rPr>
          <w:rFonts w:ascii="Times New Roman" w:eastAsiaTheme="minorHAnsi" w:hAnsi="Times New Roman" w:cs="Times New Roman"/>
          <w:sz w:val="28"/>
          <w:szCs w:val="28"/>
          <w:lang w:eastAsia="en-US"/>
        </w:rPr>
        <w:t xml:space="preserve">Крупнейшими муниципальными и государственными </w:t>
      </w:r>
      <w:r w:rsidR="00074E17">
        <w:rPr>
          <w:rFonts w:ascii="Times New Roman" w:eastAsiaTheme="minorHAnsi" w:hAnsi="Times New Roman" w:cs="Times New Roman"/>
          <w:sz w:val="28"/>
          <w:szCs w:val="28"/>
          <w:lang w:eastAsia="en-US"/>
        </w:rPr>
        <w:t>теплоснабжающими организациями</w:t>
      </w:r>
      <w:r w:rsidR="00074E17" w:rsidRPr="00C40514">
        <w:rPr>
          <w:rFonts w:ascii="Times New Roman" w:eastAsiaTheme="minorHAnsi" w:hAnsi="Times New Roman" w:cs="Times New Roman"/>
          <w:sz w:val="28"/>
          <w:szCs w:val="28"/>
          <w:lang w:eastAsia="en-US"/>
        </w:rPr>
        <w:t xml:space="preserve"> </w:t>
      </w:r>
      <w:r w:rsidRPr="00C40514">
        <w:rPr>
          <w:rFonts w:ascii="Times New Roman" w:eastAsiaTheme="minorHAnsi" w:hAnsi="Times New Roman" w:cs="Times New Roman"/>
          <w:sz w:val="28"/>
          <w:szCs w:val="28"/>
          <w:lang w:eastAsia="en-US"/>
        </w:rPr>
        <w:t>являются:</w:t>
      </w:r>
    </w:p>
    <w:p w14:paraId="0D0871A2" w14:textId="77777777" w:rsidR="003F4CFF" w:rsidRPr="00C40514"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C40514">
        <w:rPr>
          <w:rFonts w:ascii="Times New Roman" w:eastAsiaTheme="minorHAnsi" w:hAnsi="Times New Roman" w:cs="Times New Roman"/>
          <w:sz w:val="28"/>
          <w:szCs w:val="28"/>
          <w:lang w:eastAsia="en-US"/>
        </w:rPr>
        <w:t>ФГУП «Управление энергетики и водоснабжения» – 1 315 299,28 Гкал/год, доля на рынке 5,9%;</w:t>
      </w:r>
    </w:p>
    <w:p w14:paraId="17FC139E" w14:textId="77777777" w:rsidR="003F4CFF" w:rsidRPr="00C40514"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C40514">
        <w:rPr>
          <w:rFonts w:ascii="Times New Roman" w:eastAsiaTheme="minorHAnsi" w:hAnsi="Times New Roman" w:cs="Times New Roman"/>
          <w:sz w:val="28"/>
          <w:szCs w:val="28"/>
          <w:lang w:eastAsia="en-US"/>
        </w:rPr>
        <w:t xml:space="preserve">МУП «Комбинат бытовых услуг» – 582 321,93 Гкал/год, доля на рынке 2,6%; </w:t>
      </w:r>
    </w:p>
    <w:p w14:paraId="3C895DFB" w14:textId="77777777" w:rsidR="003F4CFF" w:rsidRPr="00C40514"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C40514">
        <w:rPr>
          <w:rFonts w:ascii="Times New Roman" w:eastAsiaTheme="minorHAnsi" w:hAnsi="Times New Roman" w:cs="Times New Roman"/>
          <w:sz w:val="28"/>
          <w:szCs w:val="28"/>
          <w:lang w:eastAsia="en-US"/>
        </w:rPr>
        <w:t>ФГУП «Энергетик» – 373 543,0 Гкал/год, доля на рынке 1,7%.</w:t>
      </w:r>
    </w:p>
    <w:p w14:paraId="7CE727E4" w14:textId="77777777" w:rsidR="003F4CFF" w:rsidRPr="00C40514"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C40514">
        <w:rPr>
          <w:rFonts w:ascii="Times New Roman" w:eastAsiaTheme="minorHAnsi" w:hAnsi="Times New Roman" w:cs="Times New Roman"/>
          <w:sz w:val="28"/>
          <w:szCs w:val="28"/>
          <w:lang w:eastAsia="en-US"/>
        </w:rPr>
        <w:t xml:space="preserve">Остальные муниципальные предприятия имеют долю рынка 8,5%. </w:t>
      </w:r>
    </w:p>
    <w:p w14:paraId="4AF2617E" w14:textId="77777777" w:rsidR="003F4CFF" w:rsidRPr="00C40514"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C40514">
        <w:rPr>
          <w:rFonts w:ascii="Times New Roman" w:eastAsiaTheme="minorHAnsi" w:hAnsi="Times New Roman" w:cs="Times New Roman"/>
          <w:sz w:val="28"/>
          <w:szCs w:val="28"/>
          <w:lang w:eastAsia="en-US"/>
        </w:rPr>
        <w:t>Большинство муниципальных предприятий совмещают деятельность по производству тепловой энергии с деятельностью по ее передаче (транспортировке).</w:t>
      </w:r>
    </w:p>
    <w:p w14:paraId="4F930ECA" w14:textId="77777777" w:rsidR="003F4CFF" w:rsidRPr="00C40514"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C40514">
        <w:rPr>
          <w:rFonts w:ascii="Times New Roman" w:eastAsiaTheme="minorHAnsi" w:hAnsi="Times New Roman" w:cs="Times New Roman"/>
          <w:sz w:val="28"/>
          <w:szCs w:val="28"/>
          <w:lang w:eastAsia="en-US"/>
        </w:rPr>
        <w:t>Деятельность по передаче тепловой энергии относится к сфере естественных монополий.</w:t>
      </w:r>
    </w:p>
    <w:p w14:paraId="57AB4A6D"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C40514">
        <w:rPr>
          <w:rFonts w:ascii="Times New Roman" w:eastAsiaTheme="minorHAnsi" w:hAnsi="Times New Roman" w:cs="Times New Roman"/>
          <w:sz w:val="28"/>
          <w:szCs w:val="28"/>
          <w:lang w:eastAsia="en-US"/>
        </w:rPr>
        <w:lastRenderedPageBreak/>
        <w:t>Конкурентные процедуры используются при заключении концессионных соглашений и договоров аренды муниципальных котельных и тепловых сетей.</w:t>
      </w:r>
    </w:p>
    <w:p w14:paraId="615318C7" w14:textId="77777777" w:rsidR="003F4CFF" w:rsidRPr="00C40514"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 xml:space="preserve">В течение 2019 года осуществлялись работы по модернизации </w:t>
      </w:r>
      <w:r>
        <w:rPr>
          <w:rFonts w:ascii="Times New Roman" w:eastAsiaTheme="minorHAnsi" w:hAnsi="Times New Roman" w:cs="Times New Roman"/>
          <w:sz w:val="28"/>
          <w:szCs w:val="28"/>
          <w:lang w:eastAsia="en-US"/>
        </w:rPr>
        <w:t xml:space="preserve">ряда </w:t>
      </w:r>
      <w:r w:rsidRPr="00901F6F">
        <w:rPr>
          <w:rFonts w:ascii="Times New Roman" w:eastAsiaTheme="minorHAnsi" w:hAnsi="Times New Roman" w:cs="Times New Roman"/>
          <w:sz w:val="28"/>
          <w:szCs w:val="28"/>
          <w:lang w:eastAsia="en-US"/>
        </w:rPr>
        <w:t>систем коммунальной инфраструктуры.</w:t>
      </w:r>
    </w:p>
    <w:p w14:paraId="4BEA7AAF"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 xml:space="preserve">Проект модернизации </w:t>
      </w:r>
      <w:r>
        <w:rPr>
          <w:rFonts w:ascii="Times New Roman" w:eastAsiaTheme="minorHAnsi" w:hAnsi="Times New Roman" w:cs="Times New Roman"/>
          <w:sz w:val="28"/>
          <w:szCs w:val="28"/>
          <w:lang w:eastAsia="en-US"/>
        </w:rPr>
        <w:t xml:space="preserve">в </w:t>
      </w:r>
      <w:r w:rsidRPr="00901F6F">
        <w:rPr>
          <w:rFonts w:ascii="Times New Roman" w:eastAsiaTheme="minorHAnsi" w:hAnsi="Times New Roman" w:cs="Times New Roman"/>
          <w:sz w:val="28"/>
          <w:szCs w:val="28"/>
          <w:lang w:eastAsia="en-US"/>
        </w:rPr>
        <w:t>г.</w:t>
      </w:r>
      <w:r w:rsidR="00074E17">
        <w:rPr>
          <w:rFonts w:ascii="Times New Roman" w:eastAsiaTheme="minorHAnsi" w:hAnsi="Times New Roman" w:cs="Times New Roman"/>
          <w:sz w:val="28"/>
          <w:szCs w:val="28"/>
          <w:lang w:eastAsia="en-US"/>
        </w:rPr>
        <w:t> </w:t>
      </w:r>
      <w:r w:rsidRPr="00901F6F">
        <w:rPr>
          <w:rFonts w:ascii="Times New Roman" w:eastAsiaTheme="minorHAnsi" w:hAnsi="Times New Roman" w:cs="Times New Roman"/>
          <w:sz w:val="28"/>
          <w:szCs w:val="28"/>
          <w:lang w:eastAsia="en-US"/>
        </w:rPr>
        <w:t>Черепаново Черепановского района предусматривает строительство 8</w:t>
      </w:r>
      <w:r>
        <w:rPr>
          <w:rFonts w:ascii="Times New Roman" w:eastAsiaTheme="minorHAnsi" w:hAnsi="Times New Roman" w:cs="Times New Roman"/>
          <w:sz w:val="28"/>
          <w:szCs w:val="28"/>
          <w:lang w:eastAsia="en-US"/>
        </w:rPr>
        <w:t xml:space="preserve"> котельных</w:t>
      </w:r>
      <w:r w:rsidRPr="00901F6F">
        <w:rPr>
          <w:rFonts w:ascii="Times New Roman" w:eastAsiaTheme="minorHAnsi" w:hAnsi="Times New Roman" w:cs="Times New Roman"/>
          <w:sz w:val="28"/>
          <w:szCs w:val="28"/>
          <w:lang w:eastAsia="en-US"/>
        </w:rPr>
        <w:t xml:space="preserve"> и реконструкцию </w:t>
      </w:r>
      <w:r>
        <w:rPr>
          <w:rFonts w:ascii="Times New Roman" w:eastAsiaTheme="minorHAnsi" w:hAnsi="Times New Roman" w:cs="Times New Roman"/>
          <w:sz w:val="28"/>
          <w:szCs w:val="28"/>
          <w:lang w:eastAsia="en-US"/>
        </w:rPr>
        <w:t>1</w:t>
      </w:r>
      <w:r w:rsidRPr="00901F6F">
        <w:rPr>
          <w:rFonts w:ascii="Times New Roman" w:eastAsiaTheme="minorHAnsi" w:hAnsi="Times New Roman" w:cs="Times New Roman"/>
          <w:sz w:val="28"/>
          <w:szCs w:val="28"/>
          <w:lang w:eastAsia="en-US"/>
        </w:rPr>
        <w:t xml:space="preserve"> котельной тепловой мощностью 40 мегаватт, строительство и реконструкцию 15 км тепловых сетей, перевод на индивидуальное отопление 57 домовладений. Общая стоимость строительно-монтажных работ – 740,0 млн. рублей. Модернизация позволит прекратить ежегодные дотации территории из областного бюджета в размере 45-50 млн. рублей и ликвидировать постоянную задолженность за уголь и газ.</w:t>
      </w:r>
    </w:p>
    <w:p w14:paraId="7D717718"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Разработана проектная документация на выполнение работ по реконструкции объектов системы теплоснабжения на территории г. Оби, котор</w:t>
      </w:r>
      <w:r>
        <w:rPr>
          <w:rFonts w:ascii="Times New Roman" w:eastAsiaTheme="minorHAnsi" w:hAnsi="Times New Roman" w:cs="Times New Roman"/>
          <w:sz w:val="28"/>
          <w:szCs w:val="28"/>
          <w:lang w:eastAsia="en-US"/>
        </w:rPr>
        <w:t>ая</w:t>
      </w:r>
      <w:r w:rsidRPr="00901F6F">
        <w:rPr>
          <w:rFonts w:ascii="Times New Roman" w:eastAsiaTheme="minorHAnsi" w:hAnsi="Times New Roman" w:cs="Times New Roman"/>
          <w:sz w:val="28"/>
          <w:szCs w:val="28"/>
          <w:lang w:eastAsia="en-US"/>
        </w:rPr>
        <w:t xml:space="preserve"> предусматривает строительство газ</w:t>
      </w:r>
      <w:r>
        <w:rPr>
          <w:rFonts w:ascii="Times New Roman" w:eastAsiaTheme="minorHAnsi" w:hAnsi="Times New Roman" w:cs="Times New Roman"/>
          <w:sz w:val="28"/>
          <w:szCs w:val="28"/>
          <w:lang w:eastAsia="en-US"/>
        </w:rPr>
        <w:t>овой котельной зоны «Аэропорт» г. </w:t>
      </w:r>
      <w:r w:rsidRPr="00901F6F">
        <w:rPr>
          <w:rFonts w:ascii="Times New Roman" w:eastAsiaTheme="minorHAnsi" w:hAnsi="Times New Roman" w:cs="Times New Roman"/>
          <w:sz w:val="28"/>
          <w:szCs w:val="28"/>
          <w:lang w:eastAsia="en-US"/>
        </w:rPr>
        <w:t>Оби и инженерных сетей протяженностью 7,4 км. Получено положительное заключение государственной экспертизы. Общий о</w:t>
      </w:r>
      <w:r>
        <w:rPr>
          <w:rFonts w:ascii="Times New Roman" w:eastAsiaTheme="minorHAnsi" w:hAnsi="Times New Roman" w:cs="Times New Roman"/>
          <w:sz w:val="28"/>
          <w:szCs w:val="28"/>
          <w:lang w:eastAsia="en-US"/>
        </w:rPr>
        <w:t>бъем</w:t>
      </w:r>
      <w:r w:rsidRPr="00901F6F">
        <w:rPr>
          <w:rFonts w:ascii="Times New Roman" w:eastAsiaTheme="minorHAnsi" w:hAnsi="Times New Roman" w:cs="Times New Roman"/>
          <w:sz w:val="28"/>
          <w:szCs w:val="28"/>
          <w:lang w:eastAsia="en-US"/>
        </w:rPr>
        <w:t xml:space="preserve"> инвестиций составляет 597 млн. рублей.</w:t>
      </w:r>
    </w:p>
    <w:p w14:paraId="04F2C6AA"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В стадии разработки проектная документация по модернизации систем теплоснабжения рабочего поселка Мошково Мошковского района, котор</w:t>
      </w:r>
      <w:r>
        <w:rPr>
          <w:rFonts w:ascii="Times New Roman" w:eastAsiaTheme="minorHAnsi" w:hAnsi="Times New Roman" w:cs="Times New Roman"/>
          <w:sz w:val="28"/>
          <w:szCs w:val="28"/>
          <w:lang w:eastAsia="en-US"/>
        </w:rPr>
        <w:t>ая</w:t>
      </w:r>
      <w:r w:rsidRPr="00901F6F">
        <w:rPr>
          <w:rFonts w:ascii="Times New Roman" w:eastAsiaTheme="minorHAnsi" w:hAnsi="Times New Roman" w:cs="Times New Roman"/>
          <w:sz w:val="28"/>
          <w:szCs w:val="28"/>
          <w:lang w:eastAsia="en-US"/>
        </w:rPr>
        <w:t xml:space="preserve"> предусматривает строительство </w:t>
      </w:r>
      <w:r>
        <w:rPr>
          <w:rFonts w:ascii="Times New Roman" w:eastAsiaTheme="minorHAnsi" w:hAnsi="Times New Roman" w:cs="Times New Roman"/>
          <w:sz w:val="28"/>
          <w:szCs w:val="28"/>
          <w:lang w:eastAsia="en-US"/>
        </w:rPr>
        <w:t>5</w:t>
      </w:r>
      <w:r w:rsidRPr="00901F6F">
        <w:rPr>
          <w:rFonts w:ascii="Times New Roman" w:eastAsiaTheme="minorHAnsi" w:hAnsi="Times New Roman" w:cs="Times New Roman"/>
          <w:sz w:val="28"/>
          <w:szCs w:val="28"/>
          <w:lang w:eastAsia="en-US"/>
        </w:rPr>
        <w:t xml:space="preserve"> модульных газовых котельных мощностью 24,5 МВт и модернизацию </w:t>
      </w:r>
      <w:r>
        <w:rPr>
          <w:rFonts w:ascii="Times New Roman" w:eastAsiaTheme="minorHAnsi" w:hAnsi="Times New Roman" w:cs="Times New Roman"/>
          <w:sz w:val="28"/>
          <w:szCs w:val="28"/>
          <w:lang w:eastAsia="en-US"/>
        </w:rPr>
        <w:t xml:space="preserve">1 </w:t>
      </w:r>
      <w:r w:rsidRPr="00901F6F">
        <w:rPr>
          <w:rFonts w:ascii="Times New Roman" w:eastAsiaTheme="minorHAnsi" w:hAnsi="Times New Roman" w:cs="Times New Roman"/>
          <w:sz w:val="28"/>
          <w:szCs w:val="28"/>
          <w:lang w:eastAsia="en-US"/>
        </w:rPr>
        <w:t>существующей котельной, строительство и реконструкцию тепловых сетей протяженностью 11,5 км. Общий объем инвестиций составляет 500 млн. рублей.</w:t>
      </w:r>
    </w:p>
    <w:p w14:paraId="70BC0D72"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Работы по реализации систем теплоснабжения рабочего поселка Мошково Мошковского района и отдельного района тепловых сетей «Аэропорт» города Оби намечены на 2020 год.</w:t>
      </w:r>
    </w:p>
    <w:p w14:paraId="795CB643" w14:textId="77777777" w:rsidR="003F4CFF" w:rsidRPr="00EC5135"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Pr>
          <w:rFonts w:ascii="Times New Roman" w:eastAsia="Times New Roman" w:hAnsi="Times New Roman" w:cs="Times New Roman"/>
          <w:sz w:val="28"/>
          <w:szCs w:val="28"/>
        </w:rPr>
        <w:t xml:space="preserve"> за 2019 год</w:t>
      </w:r>
      <w:r w:rsidRPr="00EC5135">
        <w:rPr>
          <w:rFonts w:ascii="Times New Roman" w:hAnsi="Times New Roman" w:cs="Times New Roman"/>
          <w:sz w:val="28"/>
          <w:szCs w:val="28"/>
        </w:rPr>
        <w:t xml:space="preserve"> </w:t>
      </w:r>
      <w:r>
        <w:rPr>
          <w:rFonts w:ascii="Times New Roman" w:hAnsi="Times New Roman" w:cs="Times New Roman"/>
          <w:sz w:val="28"/>
          <w:szCs w:val="28"/>
        </w:rPr>
        <w:t>з</w:t>
      </w:r>
      <w:r w:rsidRPr="00EC5135">
        <w:rPr>
          <w:rFonts w:ascii="Times New Roman" w:hAnsi="Times New Roman" w:cs="Times New Roman"/>
          <w:sz w:val="28"/>
          <w:szCs w:val="28"/>
        </w:rPr>
        <w:t>афиксированы максимально низкие оценки уровня конкуренции на рынке: 70% опрошенных субъектов предпринимательства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слабую конкуренцию либо ее отсутствие. </w:t>
      </w:r>
    </w:p>
    <w:p w14:paraId="74C91F40"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При этом максимально высока доля наличия непреодолимых административных барьеров </w:t>
      </w:r>
      <w:r>
        <w:rPr>
          <w:rFonts w:ascii="Times New Roman" w:hAnsi="Times New Roman" w:cs="Times New Roman"/>
          <w:sz w:val="28"/>
          <w:szCs w:val="28"/>
        </w:rPr>
        <w:t>(</w:t>
      </w:r>
      <w:r w:rsidRPr="00EC5135">
        <w:rPr>
          <w:rFonts w:ascii="Times New Roman" w:hAnsi="Times New Roman" w:cs="Times New Roman"/>
          <w:sz w:val="28"/>
          <w:szCs w:val="28"/>
        </w:rPr>
        <w:t>38%</w:t>
      </w:r>
      <w:r>
        <w:rPr>
          <w:rFonts w:ascii="Times New Roman" w:hAnsi="Times New Roman" w:cs="Times New Roman"/>
          <w:sz w:val="28"/>
          <w:szCs w:val="28"/>
        </w:rPr>
        <w:t>)</w:t>
      </w:r>
      <w:r w:rsidRPr="00EC5135">
        <w:rPr>
          <w:rFonts w:ascii="Times New Roman" w:hAnsi="Times New Roman" w:cs="Times New Roman"/>
          <w:sz w:val="28"/>
          <w:szCs w:val="28"/>
        </w:rPr>
        <w:t>. Основным барьером для ведения текущей деятельности и открытия нового бизнеса считается нестабильность законодательства, регулирующего предпринимательскую деятельность (</w:t>
      </w:r>
      <w:r>
        <w:rPr>
          <w:rFonts w:ascii="Times New Roman" w:hAnsi="Times New Roman" w:cs="Times New Roman"/>
          <w:sz w:val="28"/>
          <w:szCs w:val="28"/>
        </w:rPr>
        <w:t>38%</w:t>
      </w:r>
      <w:r w:rsidRPr="00EC5135">
        <w:rPr>
          <w:rFonts w:ascii="Times New Roman" w:hAnsi="Times New Roman" w:cs="Times New Roman"/>
          <w:sz w:val="28"/>
          <w:szCs w:val="28"/>
        </w:rPr>
        <w:t>).</w:t>
      </w:r>
    </w:p>
    <w:p w14:paraId="62C0BE47" w14:textId="77777777" w:rsidR="003F4CFF" w:rsidRPr="00E00F38" w:rsidRDefault="003F4CFF" w:rsidP="003F4CFF">
      <w:pPr>
        <w:ind w:firstLine="567"/>
        <w:jc w:val="both"/>
        <w:rPr>
          <w:rFonts w:ascii="Times New Roman" w:hAnsi="Times New Roman" w:cs="Times New Roman"/>
          <w:b/>
          <w:sz w:val="28"/>
          <w:szCs w:val="28"/>
        </w:rPr>
      </w:pPr>
      <w:r w:rsidRPr="00EC5135">
        <w:rPr>
          <w:rFonts w:ascii="Times New Roman" w:hAnsi="Times New Roman" w:cs="Times New Roman"/>
          <w:sz w:val="28"/>
          <w:szCs w:val="28"/>
        </w:rPr>
        <w:t>Несмотря на это, в оценке деятельности органов власти преобладает мнение, что органы власти помогают б</w:t>
      </w:r>
      <w:r>
        <w:rPr>
          <w:rFonts w:ascii="Times New Roman" w:hAnsi="Times New Roman" w:cs="Times New Roman"/>
          <w:sz w:val="28"/>
          <w:szCs w:val="28"/>
        </w:rPr>
        <w:t>изнесу своими действиями (50%).</w:t>
      </w:r>
    </w:p>
    <w:p w14:paraId="17509684" w14:textId="77777777" w:rsidR="003F4CFF" w:rsidRPr="008A6E89" w:rsidRDefault="003F4CFF" w:rsidP="003F4CFF">
      <w:pPr>
        <w:ind w:firstLine="567"/>
        <w:jc w:val="both"/>
        <w:rPr>
          <w:rFonts w:ascii="Times New Roman" w:eastAsia="Times New Roman" w:hAnsi="Times New Roman" w:cs="Times New Roman"/>
          <w:sz w:val="28"/>
          <w:szCs w:val="28"/>
        </w:rPr>
      </w:pPr>
      <w:r w:rsidRPr="008A6E89">
        <w:rPr>
          <w:rFonts w:ascii="Times New Roman" w:hAnsi="Times New Roman" w:cs="Times New Roman"/>
          <w:sz w:val="28"/>
          <w:szCs w:val="28"/>
        </w:rPr>
        <w:t xml:space="preserve">Количество организаций на рынке оценивается как достаточное (так считают 61% потребителей), хотя распространено мнение и о нехватке организаций (37%), при этом рост числа организаций за последние 3 года отмечают только 10% потребителей. </w:t>
      </w:r>
      <w:r w:rsidRPr="008A6E89">
        <w:rPr>
          <w:rFonts w:ascii="Times New Roman" w:eastAsia="Times New Roman" w:hAnsi="Times New Roman" w:cs="Times New Roman"/>
          <w:sz w:val="28"/>
          <w:szCs w:val="28"/>
        </w:rPr>
        <w:t>Удовлетворенность потребителей качеством услуг находится на среднем уровне (59%), а удовлетворенность выбором услуг и их стоимостью – на низком уровне (46% и 40% соответственно).</w:t>
      </w:r>
      <w:r w:rsidRPr="008A6E89">
        <w:rPr>
          <w:rFonts w:ascii="Times New Roman" w:hAnsi="Times New Roman" w:cs="Times New Roman"/>
          <w:sz w:val="28"/>
          <w:szCs w:val="28"/>
        </w:rPr>
        <w:t xml:space="preserve"> Рост цен за последние 3 года отмечают 81% потребителей (эта доля выше, чем на большинстве исследуемых рынков), при этом не наблюдается положительной динамики ни по возможности выбора услуг </w:t>
      </w:r>
      <w:r w:rsidRPr="008A6E89">
        <w:rPr>
          <w:rFonts w:ascii="Times New Roman" w:hAnsi="Times New Roman" w:cs="Times New Roman"/>
          <w:sz w:val="28"/>
          <w:szCs w:val="28"/>
        </w:rPr>
        <w:lastRenderedPageBreak/>
        <w:t xml:space="preserve">(отмечают только 10%), ни по качеству услуг (повышение качества отмечают только 12% потребителей). </w:t>
      </w:r>
    </w:p>
    <w:p w14:paraId="09AB0EF0"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услуг по сбору и транспортированию твердых коммунальных отходов</w:t>
      </w:r>
    </w:p>
    <w:p w14:paraId="0268BD85" w14:textId="77777777" w:rsidR="003F4CFF" w:rsidRPr="00901F6F" w:rsidRDefault="003F4CFF" w:rsidP="003F4CFF">
      <w:pPr>
        <w:shd w:val="clear" w:color="auto" w:fill="FFFFFF" w:themeFill="background1"/>
        <w:autoSpaceDE w:val="0"/>
        <w:autoSpaceDN w:val="0"/>
        <w:adjustRightInd w:val="0"/>
        <w:ind w:firstLine="567"/>
        <w:jc w:val="both"/>
        <w:rPr>
          <w:rFonts w:ascii="Times New Roman" w:hAnsi="Times New Roman" w:cs="Times New Roman"/>
          <w:sz w:val="28"/>
          <w:szCs w:val="28"/>
        </w:rPr>
      </w:pPr>
      <w:r w:rsidRPr="00D9032C">
        <w:rPr>
          <w:rFonts w:ascii="Times New Roman" w:hAnsi="Times New Roman" w:cs="Times New Roman"/>
          <w:sz w:val="28"/>
          <w:szCs w:val="28"/>
        </w:rPr>
        <w:t xml:space="preserve">Государственная политика в Новосибирской области в </w:t>
      </w:r>
      <w:r>
        <w:rPr>
          <w:rFonts w:ascii="Times New Roman" w:hAnsi="Times New Roman" w:cs="Times New Roman"/>
          <w:sz w:val="28"/>
          <w:szCs w:val="28"/>
        </w:rPr>
        <w:t xml:space="preserve">сфере </w:t>
      </w:r>
      <w:r w:rsidRPr="00D9032C">
        <w:rPr>
          <w:rFonts w:ascii="Times New Roman" w:hAnsi="Times New Roman" w:cs="Times New Roman"/>
          <w:sz w:val="28"/>
          <w:szCs w:val="28"/>
        </w:rPr>
        <w:t>обращения с отходами производства и потребления занимает важное место в деятельности, направленной на охрану окружающей среды. Принимаются меры, направленные на совершенствование системы обращения с отходами производства и потребления в целях предотвращения вредного воздействия отходов производства и потребления на здоровье человека и окружающую среду, а также вовлечения отходов в хозяйственный оборот в качестве дополнительных источников сырья.</w:t>
      </w:r>
    </w:p>
    <w:p w14:paraId="073B50DD" w14:textId="77777777" w:rsidR="003F4CFF" w:rsidRPr="00D9032C" w:rsidRDefault="003F4CFF" w:rsidP="003F4CFF">
      <w:pPr>
        <w:shd w:val="clear" w:color="auto" w:fill="FFFFFF" w:themeFill="background1"/>
        <w:autoSpaceDE w:val="0"/>
        <w:autoSpaceDN w:val="0"/>
        <w:ind w:firstLine="567"/>
        <w:jc w:val="both"/>
        <w:rPr>
          <w:rFonts w:ascii="Times New Roman" w:hAnsi="Times New Roman" w:cs="Times New Roman"/>
          <w:sz w:val="28"/>
          <w:szCs w:val="28"/>
        </w:rPr>
      </w:pPr>
      <w:r w:rsidRPr="00D9032C">
        <w:rPr>
          <w:rFonts w:ascii="Times New Roman" w:hAnsi="Times New Roman"/>
          <w:sz w:val="28"/>
          <w:szCs w:val="28"/>
        </w:rPr>
        <w:t xml:space="preserve">С </w:t>
      </w:r>
      <w:r>
        <w:rPr>
          <w:rFonts w:ascii="Times New Roman" w:hAnsi="Times New Roman"/>
          <w:sz w:val="28"/>
          <w:szCs w:val="28"/>
        </w:rPr>
        <w:t>01.01.2019</w:t>
      </w:r>
      <w:r w:rsidRPr="00D9032C">
        <w:rPr>
          <w:rFonts w:ascii="Times New Roman" w:hAnsi="Times New Roman"/>
          <w:sz w:val="28"/>
          <w:szCs w:val="28"/>
        </w:rPr>
        <w:t xml:space="preserve"> на территории Новосибирской области осуществл</w:t>
      </w:r>
      <w:r>
        <w:rPr>
          <w:rFonts w:ascii="Times New Roman" w:hAnsi="Times New Roman"/>
          <w:sz w:val="28"/>
          <w:szCs w:val="28"/>
        </w:rPr>
        <w:t xml:space="preserve">ен </w:t>
      </w:r>
      <w:r w:rsidRPr="00D9032C">
        <w:rPr>
          <w:rFonts w:ascii="Times New Roman" w:hAnsi="Times New Roman"/>
          <w:sz w:val="28"/>
          <w:szCs w:val="28"/>
        </w:rPr>
        <w:t>переход на новую систему обращения с твердыми коммунальными отходами (далее – ТКО).</w:t>
      </w:r>
    </w:p>
    <w:p w14:paraId="0999F4F3" w14:textId="77777777" w:rsidR="003F4CFF" w:rsidRPr="00D9032C" w:rsidRDefault="003F4CFF" w:rsidP="003F4CFF">
      <w:pPr>
        <w:shd w:val="clear" w:color="auto" w:fill="FFFFFF" w:themeFill="background1"/>
        <w:autoSpaceDE w:val="0"/>
        <w:autoSpaceDN w:val="0"/>
        <w:ind w:firstLine="567"/>
        <w:jc w:val="both"/>
        <w:rPr>
          <w:rFonts w:ascii="Times New Roman" w:hAnsi="Times New Roman"/>
          <w:sz w:val="28"/>
          <w:szCs w:val="28"/>
        </w:rPr>
      </w:pPr>
      <w:r w:rsidRPr="00D9032C">
        <w:rPr>
          <w:rFonts w:ascii="Times New Roman" w:hAnsi="Times New Roman"/>
          <w:sz w:val="28"/>
          <w:szCs w:val="28"/>
        </w:rPr>
        <w:t xml:space="preserve">Статусом регионального оператора по обращению с ТКО в Новосибирской области по результатам конкурсных процедур </w:t>
      </w:r>
      <w:r>
        <w:rPr>
          <w:rFonts w:ascii="Times New Roman" w:hAnsi="Times New Roman"/>
          <w:sz w:val="28"/>
          <w:szCs w:val="28"/>
        </w:rPr>
        <w:t>наделено ООО </w:t>
      </w:r>
      <w:r w:rsidRPr="00D9032C">
        <w:rPr>
          <w:rFonts w:ascii="Times New Roman" w:hAnsi="Times New Roman"/>
          <w:sz w:val="28"/>
          <w:szCs w:val="28"/>
        </w:rPr>
        <w:t>«Экология – Новосибирск».</w:t>
      </w:r>
    </w:p>
    <w:p w14:paraId="7256BD65" w14:textId="77777777" w:rsidR="003F4CFF" w:rsidRPr="00D9032C" w:rsidRDefault="003F4CFF" w:rsidP="003F4CFF">
      <w:pPr>
        <w:shd w:val="clear" w:color="auto" w:fill="FFFFFF" w:themeFill="background1"/>
        <w:autoSpaceDE w:val="0"/>
        <w:autoSpaceDN w:val="0"/>
        <w:ind w:firstLine="567"/>
        <w:jc w:val="both"/>
        <w:rPr>
          <w:rFonts w:ascii="Times New Roman" w:hAnsi="Times New Roman"/>
          <w:sz w:val="28"/>
          <w:szCs w:val="28"/>
        </w:rPr>
      </w:pPr>
      <w:r w:rsidRPr="00D9032C">
        <w:rPr>
          <w:rFonts w:ascii="Times New Roman" w:hAnsi="Times New Roman"/>
          <w:sz w:val="28"/>
          <w:szCs w:val="28"/>
        </w:rPr>
        <w:t>По состоянию на 01.12.2019 услуга по обращению с ТКО предоставляется на территории 683 населенных пунктов Новосибирской области, в которых проживает более 2 707 тыс. человек, что составляет 97,1% населения региона.</w:t>
      </w:r>
    </w:p>
    <w:p w14:paraId="04ACC64E" w14:textId="77777777" w:rsidR="003F4CFF" w:rsidRPr="00D9032C" w:rsidRDefault="003F4CFF" w:rsidP="00074E17">
      <w:pPr>
        <w:shd w:val="clear" w:color="auto" w:fill="FFFFFF" w:themeFill="background1"/>
        <w:autoSpaceDE w:val="0"/>
        <w:autoSpaceDN w:val="0"/>
        <w:ind w:firstLine="567"/>
        <w:jc w:val="both"/>
        <w:rPr>
          <w:rFonts w:ascii="Times New Roman" w:hAnsi="Times New Roman"/>
          <w:sz w:val="28"/>
          <w:szCs w:val="28"/>
        </w:rPr>
      </w:pPr>
      <w:r w:rsidRPr="00D9032C">
        <w:rPr>
          <w:rFonts w:ascii="Times New Roman" w:hAnsi="Times New Roman"/>
          <w:sz w:val="28"/>
          <w:szCs w:val="28"/>
        </w:rPr>
        <w:t>В 2019 году продолжена работа по созданию условий для легитимного размещения твердых коммунальных отходов на территории Новосибирской области. В рамках мероприятий государственной программы Новосибирской области «Развитие системы обращения с отходами производства и потребления в Новосибирской области в 2015-2020 годах», утвержденной постановлением Правительства Новосибирской области от 19.01.2015 № 10-п</w:t>
      </w:r>
      <w:r w:rsidR="00074E17" w:rsidRPr="00074E17">
        <w:t xml:space="preserve"> </w:t>
      </w:r>
      <w:r w:rsidR="00074E17">
        <w:rPr>
          <w:rFonts w:ascii="Times New Roman" w:hAnsi="Times New Roman" w:cs="Times New Roman"/>
          <w:sz w:val="28"/>
          <w:szCs w:val="28"/>
        </w:rPr>
        <w:t>«О</w:t>
      </w:r>
      <w:r w:rsidR="00074E17" w:rsidRPr="00074E17">
        <w:rPr>
          <w:rFonts w:ascii="Times New Roman" w:hAnsi="Times New Roman"/>
          <w:sz w:val="28"/>
          <w:szCs w:val="28"/>
        </w:rPr>
        <w:t>б утвержд</w:t>
      </w:r>
      <w:r w:rsidR="00074E17">
        <w:rPr>
          <w:rFonts w:ascii="Times New Roman" w:hAnsi="Times New Roman"/>
          <w:sz w:val="28"/>
          <w:szCs w:val="28"/>
        </w:rPr>
        <w:t>ении государственной программы Н</w:t>
      </w:r>
      <w:r w:rsidR="00074E17" w:rsidRPr="00074E17">
        <w:rPr>
          <w:rFonts w:ascii="Times New Roman" w:hAnsi="Times New Roman"/>
          <w:sz w:val="28"/>
          <w:szCs w:val="28"/>
        </w:rPr>
        <w:t>овосибирской</w:t>
      </w:r>
      <w:r w:rsidR="00074E17">
        <w:rPr>
          <w:rFonts w:ascii="Times New Roman" w:hAnsi="Times New Roman"/>
          <w:sz w:val="28"/>
          <w:szCs w:val="28"/>
        </w:rPr>
        <w:t xml:space="preserve"> </w:t>
      </w:r>
      <w:r w:rsidR="00074E17" w:rsidRPr="00074E17">
        <w:rPr>
          <w:rFonts w:ascii="Times New Roman" w:hAnsi="Times New Roman"/>
          <w:sz w:val="28"/>
          <w:szCs w:val="28"/>
        </w:rPr>
        <w:t xml:space="preserve">области </w:t>
      </w:r>
      <w:r w:rsidR="00074E17">
        <w:rPr>
          <w:rFonts w:ascii="Times New Roman" w:hAnsi="Times New Roman"/>
          <w:sz w:val="28"/>
          <w:szCs w:val="28"/>
        </w:rPr>
        <w:t>«Р</w:t>
      </w:r>
      <w:r w:rsidR="00074E17" w:rsidRPr="00074E17">
        <w:rPr>
          <w:rFonts w:ascii="Times New Roman" w:hAnsi="Times New Roman"/>
          <w:sz w:val="28"/>
          <w:szCs w:val="28"/>
        </w:rPr>
        <w:t>азвитие системы обращения с отходами</w:t>
      </w:r>
      <w:r w:rsidR="00074E17">
        <w:rPr>
          <w:rFonts w:ascii="Times New Roman" w:hAnsi="Times New Roman"/>
          <w:sz w:val="28"/>
          <w:szCs w:val="28"/>
        </w:rPr>
        <w:t xml:space="preserve"> производства и потребления в Н</w:t>
      </w:r>
      <w:r w:rsidR="00074E17" w:rsidRPr="00074E17">
        <w:rPr>
          <w:rFonts w:ascii="Times New Roman" w:hAnsi="Times New Roman"/>
          <w:sz w:val="28"/>
          <w:szCs w:val="28"/>
        </w:rPr>
        <w:t>овосибирской области</w:t>
      </w:r>
      <w:r w:rsidR="00074E17">
        <w:rPr>
          <w:rFonts w:ascii="Times New Roman" w:hAnsi="Times New Roman"/>
          <w:sz w:val="28"/>
          <w:szCs w:val="28"/>
        </w:rPr>
        <w:t>»</w:t>
      </w:r>
      <w:r w:rsidRPr="00D9032C">
        <w:rPr>
          <w:rFonts w:ascii="Times New Roman" w:hAnsi="Times New Roman"/>
          <w:sz w:val="28"/>
          <w:szCs w:val="28"/>
        </w:rPr>
        <w:t>:</w:t>
      </w:r>
    </w:p>
    <w:p w14:paraId="73405F98" w14:textId="77777777" w:rsidR="003F4CFF" w:rsidRPr="00D9032C" w:rsidRDefault="003F4CFF" w:rsidP="003F4CFF">
      <w:pPr>
        <w:shd w:val="clear" w:color="auto" w:fill="FFFFFF" w:themeFill="background1"/>
        <w:autoSpaceDE w:val="0"/>
        <w:autoSpaceDN w:val="0"/>
        <w:ind w:firstLine="567"/>
        <w:jc w:val="both"/>
        <w:rPr>
          <w:rFonts w:ascii="Times New Roman" w:hAnsi="Times New Roman"/>
          <w:sz w:val="28"/>
          <w:szCs w:val="28"/>
        </w:rPr>
      </w:pPr>
      <w:r w:rsidRPr="00D9032C">
        <w:rPr>
          <w:rFonts w:ascii="Times New Roman" w:hAnsi="Times New Roman"/>
          <w:sz w:val="28"/>
          <w:szCs w:val="28"/>
        </w:rPr>
        <w:t>завершено строительство площадки временного накопления (далее – ПВН) в Венгеровоском районе Новосибирской области, первого этапа строительства ПВН в Усть-Таркск</w:t>
      </w:r>
      <w:r>
        <w:rPr>
          <w:rFonts w:ascii="Times New Roman" w:hAnsi="Times New Roman"/>
          <w:sz w:val="28"/>
          <w:szCs w:val="28"/>
        </w:rPr>
        <w:t>ом районе Новосибирской области;</w:t>
      </w:r>
    </w:p>
    <w:p w14:paraId="07A05271" w14:textId="77777777" w:rsidR="003F4CFF" w:rsidRPr="00D9032C" w:rsidRDefault="003F4CFF" w:rsidP="003F4CFF">
      <w:pPr>
        <w:shd w:val="clear" w:color="auto" w:fill="FFFFFF" w:themeFill="background1"/>
        <w:autoSpaceDE w:val="0"/>
        <w:autoSpaceDN w:val="0"/>
        <w:ind w:firstLine="567"/>
        <w:jc w:val="both"/>
        <w:rPr>
          <w:rFonts w:ascii="Times New Roman" w:hAnsi="Times New Roman"/>
          <w:sz w:val="28"/>
          <w:szCs w:val="28"/>
        </w:rPr>
      </w:pPr>
      <w:r w:rsidRPr="00D9032C">
        <w:rPr>
          <w:rFonts w:ascii="Times New Roman" w:hAnsi="Times New Roman"/>
          <w:sz w:val="28"/>
          <w:szCs w:val="28"/>
        </w:rPr>
        <w:t>завершается строительство ПВН в Кочковском и Убинском</w:t>
      </w:r>
      <w:r>
        <w:rPr>
          <w:rFonts w:ascii="Times New Roman" w:hAnsi="Times New Roman"/>
          <w:sz w:val="28"/>
          <w:szCs w:val="28"/>
        </w:rPr>
        <w:t xml:space="preserve"> районах Новосибирской области;</w:t>
      </w:r>
    </w:p>
    <w:p w14:paraId="2C877538" w14:textId="77777777" w:rsidR="003F4CFF" w:rsidRPr="00D9032C" w:rsidRDefault="003F4CFF" w:rsidP="003F4CFF">
      <w:pPr>
        <w:shd w:val="clear" w:color="auto" w:fill="FFFFFF" w:themeFill="background1"/>
        <w:autoSpaceDE w:val="0"/>
        <w:autoSpaceDN w:val="0"/>
        <w:ind w:firstLine="567"/>
        <w:jc w:val="both"/>
        <w:rPr>
          <w:rFonts w:ascii="Times New Roman" w:hAnsi="Times New Roman"/>
          <w:sz w:val="28"/>
          <w:szCs w:val="28"/>
        </w:rPr>
      </w:pPr>
      <w:r w:rsidRPr="00D9032C">
        <w:rPr>
          <w:rFonts w:ascii="Times New Roman" w:hAnsi="Times New Roman"/>
          <w:sz w:val="28"/>
          <w:szCs w:val="28"/>
        </w:rPr>
        <w:t>разработана проектно-сметная документация на строительство ПВН в Маслянинском и Чулымском районах Новосибирской области;</w:t>
      </w:r>
    </w:p>
    <w:p w14:paraId="63A8B9B6" w14:textId="77777777" w:rsidR="003F4CFF" w:rsidRPr="00D9032C" w:rsidRDefault="003F4CFF" w:rsidP="003F4CFF">
      <w:pPr>
        <w:shd w:val="clear" w:color="auto" w:fill="FFFFFF" w:themeFill="background1"/>
        <w:autoSpaceDE w:val="0"/>
        <w:autoSpaceDN w:val="0"/>
        <w:ind w:firstLine="567"/>
        <w:jc w:val="both"/>
        <w:rPr>
          <w:rFonts w:ascii="Times New Roman" w:hAnsi="Times New Roman"/>
          <w:sz w:val="28"/>
          <w:szCs w:val="28"/>
        </w:rPr>
      </w:pPr>
      <w:r w:rsidRPr="00D9032C">
        <w:rPr>
          <w:rFonts w:ascii="Times New Roman" w:hAnsi="Times New Roman"/>
          <w:sz w:val="28"/>
          <w:szCs w:val="28"/>
        </w:rPr>
        <w:t>завершается реконструкция полигона в с. Северное Северного района Новосибирской области, разработка проектно-сметной документации на строительство полигона ТКО в с. Кыштовка Кыштовского района Новосибирской области.</w:t>
      </w:r>
    </w:p>
    <w:p w14:paraId="5AE9692F" w14:textId="77777777" w:rsidR="003F4CFF" w:rsidRPr="00D9032C" w:rsidRDefault="003F4CFF" w:rsidP="003F4CFF">
      <w:pPr>
        <w:shd w:val="clear" w:color="auto" w:fill="FFFFFF" w:themeFill="background1"/>
        <w:autoSpaceDE w:val="0"/>
        <w:autoSpaceDN w:val="0"/>
        <w:ind w:firstLine="567"/>
        <w:jc w:val="both"/>
        <w:rPr>
          <w:rFonts w:ascii="Times New Roman" w:hAnsi="Times New Roman"/>
          <w:sz w:val="28"/>
          <w:szCs w:val="28"/>
        </w:rPr>
      </w:pPr>
      <w:r w:rsidRPr="00D9032C">
        <w:rPr>
          <w:rFonts w:ascii="Times New Roman" w:hAnsi="Times New Roman"/>
          <w:sz w:val="28"/>
          <w:szCs w:val="28"/>
        </w:rPr>
        <w:t xml:space="preserve">В 2020 году планируется выполнить работы по: </w:t>
      </w:r>
    </w:p>
    <w:p w14:paraId="477529C2" w14:textId="77777777" w:rsidR="003F4CFF" w:rsidRPr="00D9032C" w:rsidRDefault="003F4CFF" w:rsidP="003F4CFF">
      <w:pPr>
        <w:shd w:val="clear" w:color="auto" w:fill="FFFFFF" w:themeFill="background1"/>
        <w:autoSpaceDE w:val="0"/>
        <w:autoSpaceDN w:val="0"/>
        <w:ind w:firstLine="567"/>
        <w:jc w:val="both"/>
        <w:rPr>
          <w:rFonts w:ascii="Times New Roman" w:hAnsi="Times New Roman"/>
          <w:sz w:val="28"/>
          <w:szCs w:val="28"/>
        </w:rPr>
      </w:pPr>
      <w:r w:rsidRPr="00D9032C">
        <w:rPr>
          <w:rFonts w:ascii="Times New Roman" w:hAnsi="Times New Roman"/>
          <w:sz w:val="28"/>
          <w:szCs w:val="28"/>
        </w:rPr>
        <w:t xml:space="preserve">строительству 5 </w:t>
      </w:r>
      <w:r>
        <w:rPr>
          <w:rFonts w:ascii="Times New Roman" w:hAnsi="Times New Roman"/>
          <w:sz w:val="28"/>
          <w:szCs w:val="28"/>
        </w:rPr>
        <w:t>ПВН</w:t>
      </w:r>
      <w:r w:rsidRPr="00D9032C">
        <w:rPr>
          <w:rFonts w:ascii="Times New Roman" w:hAnsi="Times New Roman"/>
          <w:sz w:val="28"/>
          <w:szCs w:val="28"/>
        </w:rPr>
        <w:t xml:space="preserve"> в Доволенском, Здвинском, Маслянинском, Усть-Таркском, Чулымском районах;</w:t>
      </w:r>
    </w:p>
    <w:p w14:paraId="74CFD0B7" w14:textId="77777777" w:rsidR="003F4CFF" w:rsidRPr="00D9032C" w:rsidRDefault="003F4CFF" w:rsidP="003F4CFF">
      <w:pPr>
        <w:shd w:val="clear" w:color="auto" w:fill="FFFFFF" w:themeFill="background1"/>
        <w:autoSpaceDE w:val="0"/>
        <w:autoSpaceDN w:val="0"/>
        <w:ind w:firstLine="567"/>
        <w:jc w:val="both"/>
        <w:rPr>
          <w:rFonts w:ascii="Times New Roman" w:hAnsi="Times New Roman"/>
          <w:sz w:val="28"/>
          <w:szCs w:val="28"/>
        </w:rPr>
      </w:pPr>
      <w:r w:rsidRPr="00D9032C">
        <w:rPr>
          <w:rFonts w:ascii="Times New Roman" w:hAnsi="Times New Roman"/>
          <w:sz w:val="28"/>
          <w:szCs w:val="28"/>
        </w:rPr>
        <w:t>завершение реконструкции полигона в с. Северное Северного района;</w:t>
      </w:r>
    </w:p>
    <w:p w14:paraId="6386E321" w14:textId="77777777" w:rsidR="003F4CFF" w:rsidRPr="00D9032C" w:rsidRDefault="003F4CFF" w:rsidP="003F4CFF">
      <w:pPr>
        <w:shd w:val="clear" w:color="auto" w:fill="FFFFFF" w:themeFill="background1"/>
        <w:autoSpaceDE w:val="0"/>
        <w:autoSpaceDN w:val="0"/>
        <w:ind w:firstLine="567"/>
        <w:jc w:val="both"/>
        <w:rPr>
          <w:rFonts w:ascii="Times New Roman" w:hAnsi="Times New Roman"/>
          <w:sz w:val="28"/>
          <w:szCs w:val="28"/>
        </w:rPr>
      </w:pPr>
      <w:r w:rsidRPr="00D9032C">
        <w:rPr>
          <w:rFonts w:ascii="Times New Roman" w:hAnsi="Times New Roman"/>
          <w:sz w:val="28"/>
          <w:szCs w:val="28"/>
        </w:rPr>
        <w:t>строительство полигона в г. Болотное Болотнинского района;</w:t>
      </w:r>
    </w:p>
    <w:p w14:paraId="48C4637F" w14:textId="77777777" w:rsidR="003F4CFF" w:rsidRPr="00D9032C" w:rsidRDefault="003F4CFF" w:rsidP="003F4CFF">
      <w:pPr>
        <w:shd w:val="clear" w:color="auto" w:fill="FFFFFF" w:themeFill="background1"/>
        <w:autoSpaceDE w:val="0"/>
        <w:autoSpaceDN w:val="0"/>
        <w:ind w:firstLine="567"/>
        <w:jc w:val="both"/>
        <w:rPr>
          <w:rFonts w:ascii="Times New Roman" w:hAnsi="Times New Roman"/>
          <w:sz w:val="28"/>
          <w:szCs w:val="28"/>
        </w:rPr>
      </w:pPr>
      <w:r w:rsidRPr="00D9032C">
        <w:rPr>
          <w:rFonts w:ascii="Times New Roman" w:hAnsi="Times New Roman"/>
          <w:sz w:val="28"/>
          <w:szCs w:val="28"/>
        </w:rPr>
        <w:t>проектирование полигона в г. Каргат Каргатского района.</w:t>
      </w:r>
    </w:p>
    <w:p w14:paraId="3129D84D" w14:textId="77777777" w:rsidR="003F4CFF" w:rsidRPr="00D9032C" w:rsidRDefault="003F4CFF" w:rsidP="003F4CFF">
      <w:pPr>
        <w:shd w:val="clear" w:color="auto" w:fill="FFFFFF" w:themeFill="background1"/>
        <w:adjustRightInd w:val="0"/>
        <w:ind w:firstLine="567"/>
        <w:jc w:val="both"/>
        <w:rPr>
          <w:rFonts w:ascii="Times New Roman" w:eastAsia="Times New Roman" w:hAnsi="Times New Roman" w:cs="Times New Roman"/>
          <w:sz w:val="28"/>
          <w:szCs w:val="28"/>
        </w:rPr>
      </w:pPr>
      <w:r w:rsidRPr="00D9032C">
        <w:rPr>
          <w:rFonts w:ascii="Times New Roman" w:hAnsi="Times New Roman" w:cs="Times New Roman"/>
          <w:sz w:val="28"/>
          <w:szCs w:val="28"/>
        </w:rPr>
        <w:lastRenderedPageBreak/>
        <w:t xml:space="preserve">В 2019 году по рынку услуг по сбору и </w:t>
      </w:r>
      <w:r w:rsidRPr="00901F6F">
        <w:rPr>
          <w:rFonts w:ascii="Times New Roman" w:hAnsi="Times New Roman" w:cs="Times New Roman"/>
          <w:sz w:val="28"/>
          <w:szCs w:val="28"/>
        </w:rPr>
        <w:t>ТКО</w:t>
      </w:r>
      <w:r w:rsidRPr="00D9032C">
        <w:rPr>
          <w:rFonts w:ascii="Times New Roman" w:hAnsi="Times New Roman" w:cs="Times New Roman"/>
          <w:sz w:val="28"/>
          <w:szCs w:val="28"/>
        </w:rPr>
        <w:t xml:space="preserve"> </w:t>
      </w:r>
      <w:r>
        <w:rPr>
          <w:rFonts w:ascii="Times New Roman" w:hAnsi="Times New Roman" w:cs="Times New Roman"/>
          <w:sz w:val="28"/>
          <w:szCs w:val="28"/>
        </w:rPr>
        <w:t>реализованы</w:t>
      </w:r>
      <w:r w:rsidRPr="00D9032C">
        <w:rPr>
          <w:rFonts w:ascii="Times New Roman" w:hAnsi="Times New Roman" w:cs="Times New Roman"/>
          <w:sz w:val="28"/>
          <w:szCs w:val="28"/>
        </w:rPr>
        <w:t xml:space="preserve"> следующие мероприятия:</w:t>
      </w:r>
    </w:p>
    <w:p w14:paraId="2D5BE1A8" w14:textId="77777777" w:rsidR="003F4CFF" w:rsidRPr="00D9032C" w:rsidRDefault="003F4CFF" w:rsidP="003F4CFF">
      <w:pPr>
        <w:shd w:val="clear" w:color="auto" w:fill="FFFFFF" w:themeFill="background1"/>
        <w:adjustRightInd w:val="0"/>
        <w:ind w:firstLine="567"/>
        <w:jc w:val="both"/>
        <w:rPr>
          <w:rFonts w:ascii="Times New Roman" w:eastAsia="Times New Roman" w:hAnsi="Times New Roman" w:cs="Times New Roman"/>
          <w:sz w:val="28"/>
          <w:szCs w:val="28"/>
        </w:rPr>
      </w:pPr>
      <w:r w:rsidRPr="00901F6F">
        <w:rPr>
          <w:rFonts w:ascii="Times New Roman" w:hAnsi="Times New Roman" w:cs="Times New Roman"/>
          <w:sz w:val="28"/>
          <w:szCs w:val="28"/>
        </w:rPr>
        <w:t>1.</w:t>
      </w:r>
      <w:r>
        <w:rPr>
          <w:rFonts w:ascii="Times New Roman" w:hAnsi="Times New Roman" w:cs="Times New Roman"/>
          <w:sz w:val="28"/>
          <w:szCs w:val="28"/>
        </w:rPr>
        <w:t> </w:t>
      </w:r>
      <w:r w:rsidRPr="00901F6F">
        <w:rPr>
          <w:rFonts w:ascii="Times New Roman" w:hAnsi="Times New Roman" w:cs="Times New Roman"/>
          <w:sz w:val="28"/>
          <w:szCs w:val="28"/>
        </w:rPr>
        <w:t>С</w:t>
      </w:r>
      <w:r w:rsidRPr="00D9032C">
        <w:rPr>
          <w:rFonts w:ascii="Times New Roman" w:hAnsi="Times New Roman" w:cs="Times New Roman"/>
          <w:sz w:val="28"/>
          <w:szCs w:val="28"/>
        </w:rPr>
        <w:t xml:space="preserve">оздание равных условий для обеспечения конкуренции между участниками аукциона. </w:t>
      </w:r>
    </w:p>
    <w:p w14:paraId="38ECC226" w14:textId="77777777" w:rsidR="003F4CFF" w:rsidRPr="00D9032C" w:rsidRDefault="003F4CFF" w:rsidP="003F4CFF">
      <w:pPr>
        <w:shd w:val="clear" w:color="auto" w:fill="FFFFFF" w:themeFill="background1"/>
        <w:adjustRightInd w:val="0"/>
        <w:ind w:firstLine="567"/>
        <w:jc w:val="both"/>
        <w:rPr>
          <w:rFonts w:ascii="Times New Roman" w:hAnsi="Times New Roman" w:cs="Times New Roman"/>
          <w:sz w:val="28"/>
          <w:szCs w:val="28"/>
        </w:rPr>
      </w:pPr>
      <w:r w:rsidRPr="00D9032C">
        <w:rPr>
          <w:rFonts w:ascii="Times New Roman" w:hAnsi="Times New Roman" w:cs="Times New Roman"/>
          <w:sz w:val="28"/>
          <w:szCs w:val="28"/>
        </w:rPr>
        <w:t xml:space="preserve">Результатом </w:t>
      </w:r>
      <w:r w:rsidRPr="00901F6F">
        <w:rPr>
          <w:rFonts w:ascii="Times New Roman" w:hAnsi="Times New Roman" w:cs="Times New Roman"/>
          <w:sz w:val="28"/>
          <w:szCs w:val="28"/>
        </w:rPr>
        <w:t xml:space="preserve">реализации </w:t>
      </w:r>
      <w:r w:rsidRPr="00D9032C">
        <w:rPr>
          <w:rFonts w:ascii="Times New Roman" w:hAnsi="Times New Roman" w:cs="Times New Roman"/>
          <w:sz w:val="28"/>
          <w:szCs w:val="28"/>
        </w:rPr>
        <w:t xml:space="preserve">мероприятия явилось сохранение и увеличение уровня присутствия организаций частной формы собственности на рынке услуг по сбору и транспортированию ТКО. В соответствии с договорами, заключенными региональным оператором по обращению с ТКО с операторами по транспортированию ТКО на 2019 год, сбор и транспортирование ТКО осуществляют 12 операторов, 11 из которых имеют частную форму собственности. </w:t>
      </w:r>
    </w:p>
    <w:p w14:paraId="6DE0F6A8" w14:textId="77777777" w:rsidR="003F4CFF" w:rsidRPr="00D9032C" w:rsidRDefault="003F4CFF" w:rsidP="003F4CFF">
      <w:pPr>
        <w:shd w:val="clear" w:color="auto" w:fill="FFFFFF" w:themeFill="background1"/>
        <w:adjustRightInd w:val="0"/>
        <w:ind w:firstLine="567"/>
        <w:jc w:val="both"/>
        <w:rPr>
          <w:rFonts w:ascii="Times New Roman" w:hAnsi="Times New Roman" w:cs="Times New Roman"/>
          <w:sz w:val="28"/>
          <w:szCs w:val="28"/>
        </w:rPr>
      </w:pPr>
      <w:r>
        <w:rPr>
          <w:rFonts w:ascii="Times New Roman" w:hAnsi="Times New Roman" w:cs="Times New Roman"/>
          <w:sz w:val="28"/>
          <w:szCs w:val="28"/>
        </w:rPr>
        <w:t>2. </w:t>
      </w:r>
      <w:r w:rsidRPr="00901F6F">
        <w:rPr>
          <w:rFonts w:ascii="Times New Roman" w:hAnsi="Times New Roman" w:cs="Times New Roman"/>
          <w:sz w:val="28"/>
          <w:szCs w:val="28"/>
        </w:rPr>
        <w:t>П</w:t>
      </w:r>
      <w:r w:rsidRPr="00D9032C">
        <w:rPr>
          <w:rFonts w:ascii="Times New Roman" w:hAnsi="Times New Roman" w:cs="Times New Roman"/>
          <w:sz w:val="28"/>
          <w:szCs w:val="28"/>
        </w:rPr>
        <w:t xml:space="preserve">роведение торгов на транспортирование ТКО на определенной территории в зоне деятельности регионального оператора с распределением данных услуг в отдельные лоты для привлечения большего количества организаций частной формы собственности. </w:t>
      </w:r>
    </w:p>
    <w:p w14:paraId="6A63767A" w14:textId="77777777" w:rsidR="003F4CFF" w:rsidRPr="00D9032C" w:rsidRDefault="003F4CFF" w:rsidP="003F4CFF">
      <w:pPr>
        <w:shd w:val="clear" w:color="auto" w:fill="FFFFFF" w:themeFill="background1"/>
        <w:adjustRightInd w:val="0"/>
        <w:ind w:firstLine="567"/>
        <w:jc w:val="both"/>
        <w:rPr>
          <w:rFonts w:ascii="Times New Roman" w:hAnsi="Times New Roman" w:cs="Times New Roman"/>
          <w:sz w:val="28"/>
          <w:szCs w:val="28"/>
        </w:rPr>
      </w:pPr>
      <w:r>
        <w:rPr>
          <w:rFonts w:ascii="Times New Roman" w:hAnsi="Times New Roman" w:cs="Times New Roman"/>
          <w:sz w:val="28"/>
          <w:szCs w:val="28"/>
        </w:rPr>
        <w:t>В</w:t>
      </w:r>
      <w:r w:rsidRPr="00D9032C">
        <w:rPr>
          <w:rFonts w:ascii="Times New Roman" w:hAnsi="Times New Roman" w:cs="Times New Roman"/>
          <w:sz w:val="28"/>
          <w:szCs w:val="28"/>
        </w:rPr>
        <w:t xml:space="preserve"> целях формирования таких лотов территория, на которой региональный оператор обязан провести торги, разбивается не менее чем на 3 лота (территории), в соответствии с Постановлением Правительства Росси</w:t>
      </w:r>
      <w:r>
        <w:rPr>
          <w:rFonts w:ascii="Times New Roman" w:hAnsi="Times New Roman" w:cs="Times New Roman"/>
          <w:sz w:val="28"/>
          <w:szCs w:val="28"/>
        </w:rPr>
        <w:t>йской Федерации от 03.11.2016 № </w:t>
      </w:r>
      <w:r w:rsidRPr="00D9032C">
        <w:rPr>
          <w:rFonts w:ascii="Times New Roman" w:hAnsi="Times New Roman" w:cs="Times New Roman"/>
          <w:sz w:val="28"/>
          <w:szCs w:val="28"/>
        </w:rPr>
        <w:t xml:space="preserve">1133 «Об утверждении Правил проведения торгов, по результатам которых формируются цены на услуги по транспортированию твердых коммунальных отходов для регионального оператора». Аукционные процедуры на транспортирование ТКО проводились по 6 лотам. Наибольшее количество победителей аукционов </w:t>
      </w:r>
      <w:r w:rsidRPr="00901F6F">
        <w:rPr>
          <w:rFonts w:ascii="Times New Roman" w:hAnsi="Times New Roman" w:cs="Times New Roman"/>
          <w:sz w:val="28"/>
          <w:szCs w:val="28"/>
        </w:rPr>
        <w:t xml:space="preserve">– </w:t>
      </w:r>
      <w:r w:rsidRPr="00D9032C">
        <w:rPr>
          <w:rFonts w:ascii="Times New Roman" w:hAnsi="Times New Roman" w:cs="Times New Roman"/>
          <w:sz w:val="28"/>
          <w:szCs w:val="28"/>
        </w:rPr>
        <w:t xml:space="preserve">организации с частной формой собственности. </w:t>
      </w:r>
    </w:p>
    <w:p w14:paraId="04C51272" w14:textId="77777777" w:rsidR="003F4CFF" w:rsidRPr="00D9032C" w:rsidRDefault="003F4CFF" w:rsidP="003F4CFF">
      <w:pPr>
        <w:shd w:val="clear" w:color="auto" w:fill="FFFFFF" w:themeFill="background1"/>
        <w:adjustRightInd w:val="0"/>
        <w:ind w:firstLine="567"/>
        <w:jc w:val="both"/>
        <w:rPr>
          <w:rFonts w:ascii="Times New Roman" w:hAnsi="Times New Roman" w:cs="Times New Roman"/>
          <w:sz w:val="28"/>
          <w:szCs w:val="28"/>
        </w:rPr>
      </w:pPr>
      <w:r>
        <w:rPr>
          <w:rFonts w:ascii="Times New Roman" w:hAnsi="Times New Roman" w:cs="Times New Roman"/>
          <w:sz w:val="28"/>
          <w:szCs w:val="28"/>
        </w:rPr>
        <w:t>3. </w:t>
      </w:r>
      <w:r w:rsidRPr="00901F6F">
        <w:rPr>
          <w:rFonts w:ascii="Times New Roman" w:hAnsi="Times New Roman" w:cs="Times New Roman"/>
          <w:sz w:val="28"/>
          <w:szCs w:val="28"/>
        </w:rPr>
        <w:t>Р</w:t>
      </w:r>
      <w:r w:rsidRPr="00D9032C">
        <w:rPr>
          <w:rFonts w:ascii="Times New Roman" w:hAnsi="Times New Roman" w:cs="Times New Roman"/>
          <w:sz w:val="28"/>
          <w:szCs w:val="28"/>
        </w:rPr>
        <w:t xml:space="preserve">егулирование деятельности регионального оператора в соответствии с законодательством Российской Федерации. </w:t>
      </w:r>
    </w:p>
    <w:p w14:paraId="17615703" w14:textId="77777777" w:rsidR="003F4CFF" w:rsidRPr="00D9032C" w:rsidRDefault="003F4CFF" w:rsidP="003F4CFF">
      <w:pPr>
        <w:shd w:val="clear" w:color="auto" w:fill="FFFFFF" w:themeFill="background1"/>
        <w:adjustRightInd w:val="0"/>
        <w:ind w:firstLine="567"/>
        <w:jc w:val="both"/>
        <w:rPr>
          <w:rFonts w:ascii="Times New Roman" w:hAnsi="Times New Roman" w:cs="Times New Roman"/>
          <w:sz w:val="28"/>
          <w:szCs w:val="28"/>
        </w:rPr>
      </w:pPr>
      <w:r>
        <w:rPr>
          <w:rFonts w:ascii="Times New Roman" w:hAnsi="Times New Roman" w:cs="Times New Roman"/>
          <w:sz w:val="28"/>
          <w:szCs w:val="28"/>
        </w:rPr>
        <w:t>Р</w:t>
      </w:r>
      <w:r w:rsidRPr="00D9032C">
        <w:rPr>
          <w:rFonts w:ascii="Times New Roman" w:hAnsi="Times New Roman" w:cs="Times New Roman"/>
          <w:sz w:val="28"/>
          <w:szCs w:val="28"/>
        </w:rPr>
        <w:t>егулирование деятельности регионального оператора по обращению с ТКО осуществляется в рамках соглашения, заключенного между министерством жилищно-коммунального хозяйства и энергетики Новосибирской области и ООО «Экология-Новосибирск». Результатом 2019 года стало бесперебойное оказание коммунальной услуги по обращению ТКО на территории Новосибирской области.</w:t>
      </w:r>
    </w:p>
    <w:p w14:paraId="0C53DF64" w14:textId="77777777" w:rsidR="003F4CFF" w:rsidRPr="00EC5135"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Pr>
          <w:rFonts w:ascii="Times New Roman" w:eastAsia="Times New Roman" w:hAnsi="Times New Roman" w:cs="Times New Roman"/>
          <w:sz w:val="28"/>
          <w:szCs w:val="28"/>
        </w:rPr>
        <w:t xml:space="preserve"> за 2019 год</w:t>
      </w:r>
      <w:r w:rsidRPr="00EC5135">
        <w:rPr>
          <w:rFonts w:ascii="Times New Roman" w:hAnsi="Times New Roman" w:cs="Times New Roman"/>
          <w:sz w:val="28"/>
          <w:szCs w:val="28"/>
        </w:rPr>
        <w:t xml:space="preserve"> </w:t>
      </w:r>
      <w:r>
        <w:rPr>
          <w:rFonts w:ascii="Times New Roman" w:hAnsi="Times New Roman" w:cs="Times New Roman"/>
          <w:sz w:val="28"/>
          <w:szCs w:val="28"/>
        </w:rPr>
        <w:t>б</w:t>
      </w:r>
      <w:r w:rsidRPr="00EC5135">
        <w:rPr>
          <w:rFonts w:ascii="Times New Roman" w:hAnsi="Times New Roman" w:cs="Times New Roman"/>
          <w:sz w:val="28"/>
          <w:szCs w:val="28"/>
        </w:rPr>
        <w:t>олее трети опрошенных субъектов предпринимательства отме</w:t>
      </w:r>
      <w:r>
        <w:rPr>
          <w:rFonts w:ascii="Times New Roman" w:hAnsi="Times New Roman" w:cs="Times New Roman"/>
          <w:sz w:val="28"/>
          <w:szCs w:val="28"/>
        </w:rPr>
        <w:t>тили высокую конкуренцию (37%)</w:t>
      </w:r>
      <w:r w:rsidRPr="00EC5135">
        <w:rPr>
          <w:rFonts w:ascii="Times New Roman" w:hAnsi="Times New Roman" w:cs="Times New Roman"/>
          <w:sz w:val="28"/>
          <w:szCs w:val="28"/>
        </w:rPr>
        <w:t>.</w:t>
      </w:r>
    </w:p>
    <w:p w14:paraId="08ADB5E1"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Наличие непреодолимых административных барьеров </w:t>
      </w:r>
      <w:r>
        <w:rPr>
          <w:rFonts w:ascii="Times New Roman" w:hAnsi="Times New Roman" w:cs="Times New Roman"/>
          <w:sz w:val="28"/>
          <w:szCs w:val="28"/>
        </w:rPr>
        <w:t>отметили</w:t>
      </w:r>
      <w:r w:rsidRPr="00EC5135">
        <w:rPr>
          <w:rFonts w:ascii="Times New Roman" w:hAnsi="Times New Roman" w:cs="Times New Roman"/>
          <w:sz w:val="28"/>
          <w:szCs w:val="28"/>
        </w:rPr>
        <w:t xml:space="preserve"> 13% субъектов предпринимательства. Основным барьером для ведения текущей деятельности и открытия нового бизнеса является нестабильность законодательства, регулирующего предпринимательскую деятельность (30%). </w:t>
      </w:r>
    </w:p>
    <w:p w14:paraId="0B273535" w14:textId="77777777" w:rsidR="003F4CFF" w:rsidRPr="00E00F38" w:rsidRDefault="003F4CFF" w:rsidP="003F4CFF">
      <w:pPr>
        <w:ind w:firstLine="567"/>
        <w:jc w:val="both"/>
        <w:rPr>
          <w:rFonts w:ascii="Times New Roman" w:hAnsi="Times New Roman" w:cs="Times New Roman"/>
          <w:b/>
          <w:sz w:val="28"/>
          <w:szCs w:val="28"/>
        </w:rPr>
      </w:pPr>
      <w:r w:rsidRPr="00EC5135">
        <w:rPr>
          <w:rFonts w:ascii="Times New Roman" w:hAnsi="Times New Roman" w:cs="Times New Roman"/>
          <w:sz w:val="28"/>
          <w:szCs w:val="28"/>
        </w:rPr>
        <w:t xml:space="preserve">В оценке деятельности органов власти преобладает мнение, что в чем-то органы власти помогают, в чем-то мешают (39%). </w:t>
      </w:r>
    </w:p>
    <w:p w14:paraId="7A30FC21" w14:textId="77777777" w:rsidR="003F4CFF" w:rsidRPr="00510E09" w:rsidRDefault="003F4CFF" w:rsidP="003F4CFF">
      <w:pPr>
        <w:ind w:firstLine="567"/>
        <w:jc w:val="both"/>
        <w:rPr>
          <w:rFonts w:ascii="Times New Roman" w:eastAsia="Times New Roman" w:hAnsi="Times New Roman" w:cs="Times New Roman"/>
          <w:sz w:val="28"/>
          <w:szCs w:val="28"/>
        </w:rPr>
      </w:pPr>
      <w:r w:rsidRPr="00510E09">
        <w:rPr>
          <w:rFonts w:ascii="Times New Roman" w:eastAsia="Times New Roman" w:hAnsi="Times New Roman" w:cs="Times New Roman"/>
          <w:sz w:val="28"/>
          <w:szCs w:val="28"/>
          <w:shd w:val="clear" w:color="auto" w:fill="FFFFFF"/>
        </w:rPr>
        <w:t>Наблюдается недостаточное количество организаций на данном рынке (</w:t>
      </w:r>
      <w:r w:rsidRPr="00510E09">
        <w:rPr>
          <w:rFonts w:ascii="Times New Roman" w:hAnsi="Times New Roman" w:cs="Times New Roman"/>
          <w:sz w:val="28"/>
          <w:szCs w:val="28"/>
        </w:rPr>
        <w:t>так считают 50% потребителей</w:t>
      </w:r>
      <w:r w:rsidRPr="00510E09">
        <w:rPr>
          <w:rFonts w:ascii="Times New Roman" w:eastAsia="Times New Roman" w:hAnsi="Times New Roman" w:cs="Times New Roman"/>
          <w:sz w:val="28"/>
          <w:szCs w:val="28"/>
          <w:shd w:val="clear" w:color="auto" w:fill="FFFFFF"/>
        </w:rPr>
        <w:t xml:space="preserve">), увеличение числа организаций за последние 3 года отмечают 23% потребителей. </w:t>
      </w:r>
      <w:r w:rsidRPr="00510E09">
        <w:rPr>
          <w:rFonts w:ascii="Times New Roman" w:eastAsia="Times New Roman" w:hAnsi="Times New Roman" w:cs="Times New Roman"/>
          <w:sz w:val="28"/>
          <w:szCs w:val="28"/>
        </w:rPr>
        <w:t>Удовлетворенность потребителей качеством услуг находится на среднем уровне (51%), а удовлетворенность выбором услуг и их стоимостью – на низком уровне (41% и 42% соответственно).</w:t>
      </w:r>
      <w:r w:rsidRPr="00510E09">
        <w:rPr>
          <w:rFonts w:ascii="Times New Roman" w:hAnsi="Times New Roman" w:cs="Times New Roman"/>
          <w:sz w:val="28"/>
          <w:szCs w:val="28"/>
        </w:rPr>
        <w:t xml:space="preserve"> Рост цен за последние </w:t>
      </w:r>
      <w:r w:rsidRPr="00510E09">
        <w:rPr>
          <w:rFonts w:ascii="Times New Roman" w:hAnsi="Times New Roman" w:cs="Times New Roman"/>
          <w:sz w:val="28"/>
          <w:szCs w:val="28"/>
        </w:rPr>
        <w:lastRenderedPageBreak/>
        <w:t>3 года отмечают 80% потребителей (эта доля выше, чем на большинстве исследуемых рынков), при этом не наблюдается значительной положительной динамики ни по возможности выбора услуг (рост возможности выбора услуг отмечают 15% потребителей), ни по качеству услуг (повышение качества отмечают 18% потребителей, а понижение – 26%).</w:t>
      </w:r>
    </w:p>
    <w:p w14:paraId="444581F0"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выполнения работ по благоустройству городской среды</w:t>
      </w:r>
    </w:p>
    <w:p w14:paraId="3996A915" w14:textId="77777777" w:rsidR="003F4CFF" w:rsidRPr="00901F6F" w:rsidRDefault="003F4CFF" w:rsidP="003F4CFF">
      <w:pPr>
        <w:shd w:val="clear" w:color="auto" w:fill="FFFFFF" w:themeFill="background1"/>
        <w:ind w:firstLine="567"/>
        <w:jc w:val="both"/>
        <w:rPr>
          <w:rFonts w:ascii="Times New Roman" w:hAnsi="Times New Roman"/>
          <w:sz w:val="28"/>
          <w:szCs w:val="28"/>
        </w:rPr>
      </w:pPr>
      <w:r w:rsidRPr="00A94D9A">
        <w:rPr>
          <w:rFonts w:ascii="Times New Roman" w:hAnsi="Times New Roman"/>
          <w:sz w:val="28"/>
          <w:szCs w:val="28"/>
        </w:rPr>
        <w:t>В 2019 году реализация национальных проектов «Жилье и городская среда» и «Экология»</w:t>
      </w:r>
      <w:r w:rsidRPr="00901F6F">
        <w:rPr>
          <w:rFonts w:ascii="Times New Roman" w:hAnsi="Times New Roman"/>
          <w:sz w:val="28"/>
          <w:szCs w:val="28"/>
        </w:rPr>
        <w:t xml:space="preserve"> стали одним из приоритетных направлений деятельности органов исполнительной власти Новосибирской области</w:t>
      </w:r>
      <w:r w:rsidRPr="00A94D9A">
        <w:rPr>
          <w:rFonts w:ascii="Times New Roman" w:hAnsi="Times New Roman"/>
          <w:sz w:val="28"/>
          <w:szCs w:val="28"/>
        </w:rPr>
        <w:t>. В целях реализации данных проектов разработан и утвержден</w:t>
      </w:r>
      <w:r w:rsidRPr="00901F6F">
        <w:rPr>
          <w:rFonts w:ascii="Times New Roman" w:hAnsi="Times New Roman"/>
          <w:sz w:val="28"/>
          <w:szCs w:val="28"/>
        </w:rPr>
        <w:t xml:space="preserve"> региональный</w:t>
      </w:r>
      <w:r w:rsidRPr="00A94D9A">
        <w:rPr>
          <w:rFonts w:ascii="Times New Roman" w:hAnsi="Times New Roman"/>
          <w:sz w:val="28"/>
          <w:szCs w:val="28"/>
        </w:rPr>
        <w:t xml:space="preserve"> проект</w:t>
      </w:r>
      <w:r w:rsidRPr="00901F6F">
        <w:rPr>
          <w:rFonts w:ascii="Times New Roman" w:hAnsi="Times New Roman"/>
          <w:sz w:val="28"/>
          <w:szCs w:val="28"/>
        </w:rPr>
        <w:t xml:space="preserve"> </w:t>
      </w:r>
      <w:r w:rsidRPr="00A94D9A">
        <w:rPr>
          <w:rFonts w:ascii="Times New Roman" w:hAnsi="Times New Roman"/>
          <w:sz w:val="28"/>
          <w:szCs w:val="28"/>
        </w:rPr>
        <w:t>«Формирование комфортной городской среды» реализуемый в рамках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r w:rsidRPr="00A94D9A">
        <w:rPr>
          <w:rFonts w:ascii="Times New Roman" w:hAnsi="Times New Roman" w:cs="Times New Roman"/>
          <w:sz w:val="28"/>
          <w:szCs w:val="28"/>
        </w:rPr>
        <w:t xml:space="preserve"> утвержденной постановлением Правительства Новосибирской области от 16.02.2015 № 66-п «Об утверждении государственной программы Новосибирской области «Жилищно-коммунальное хозяйство Новосибирской области»</w:t>
      </w:r>
      <w:r w:rsidRPr="00901F6F">
        <w:rPr>
          <w:rFonts w:ascii="Times New Roman" w:hAnsi="Times New Roman" w:cs="Times New Roman"/>
          <w:sz w:val="28"/>
          <w:szCs w:val="28"/>
        </w:rPr>
        <w:t xml:space="preserve">. На реализацию данного проекта </w:t>
      </w:r>
      <w:r w:rsidRPr="00A94D9A">
        <w:rPr>
          <w:rFonts w:ascii="Times New Roman" w:hAnsi="Times New Roman"/>
          <w:sz w:val="28"/>
          <w:szCs w:val="28"/>
        </w:rPr>
        <w:t xml:space="preserve">в 2019 году была направлена субсидия из федерального бюджета в размере 922,1 млн. рублей. </w:t>
      </w:r>
    </w:p>
    <w:p w14:paraId="63E15CC0" w14:textId="77777777" w:rsidR="003F4CFF" w:rsidRPr="00A94D9A" w:rsidRDefault="003F4CFF" w:rsidP="003F4CFF">
      <w:pPr>
        <w:shd w:val="clear" w:color="auto" w:fill="FFFFFF" w:themeFill="background1"/>
        <w:autoSpaceDE w:val="0"/>
        <w:autoSpaceDN w:val="0"/>
        <w:ind w:firstLine="567"/>
        <w:jc w:val="both"/>
        <w:rPr>
          <w:rFonts w:ascii="Times New Roman" w:hAnsi="Times New Roman"/>
          <w:sz w:val="28"/>
          <w:szCs w:val="28"/>
        </w:rPr>
      </w:pPr>
      <w:r w:rsidRPr="00A94D9A">
        <w:rPr>
          <w:rFonts w:ascii="Times New Roman" w:hAnsi="Times New Roman"/>
          <w:sz w:val="28"/>
          <w:szCs w:val="28"/>
        </w:rPr>
        <w:t xml:space="preserve">В 2019 году на территории 56 муниципальных образований Новосибирской области </w:t>
      </w:r>
      <w:r w:rsidRPr="00901F6F">
        <w:rPr>
          <w:rFonts w:ascii="Times New Roman" w:hAnsi="Times New Roman"/>
          <w:sz w:val="28"/>
          <w:szCs w:val="28"/>
        </w:rPr>
        <w:t xml:space="preserve">было </w:t>
      </w:r>
      <w:r w:rsidRPr="00A94D9A">
        <w:rPr>
          <w:rFonts w:ascii="Times New Roman" w:hAnsi="Times New Roman"/>
          <w:sz w:val="28"/>
          <w:szCs w:val="28"/>
        </w:rPr>
        <w:t>благоустроено 189 объектов, из них 59 общественных пространств и 130 дворовы</w:t>
      </w:r>
      <w:r w:rsidRPr="00901F6F">
        <w:rPr>
          <w:rFonts w:ascii="Times New Roman" w:hAnsi="Times New Roman"/>
          <w:sz w:val="28"/>
          <w:szCs w:val="28"/>
        </w:rPr>
        <w:t>х</w:t>
      </w:r>
      <w:r w:rsidRPr="00A94D9A">
        <w:rPr>
          <w:rFonts w:ascii="Times New Roman" w:hAnsi="Times New Roman"/>
          <w:sz w:val="28"/>
          <w:szCs w:val="28"/>
        </w:rPr>
        <w:t xml:space="preserve"> территори</w:t>
      </w:r>
      <w:r w:rsidRPr="00901F6F">
        <w:rPr>
          <w:rFonts w:ascii="Times New Roman" w:hAnsi="Times New Roman"/>
          <w:sz w:val="28"/>
          <w:szCs w:val="28"/>
        </w:rPr>
        <w:t>й</w:t>
      </w:r>
      <w:r w:rsidRPr="00A94D9A">
        <w:rPr>
          <w:rFonts w:ascii="Times New Roman" w:hAnsi="Times New Roman"/>
          <w:sz w:val="28"/>
          <w:szCs w:val="28"/>
        </w:rPr>
        <w:t xml:space="preserve"> многоквартирных домов.</w:t>
      </w:r>
    </w:p>
    <w:p w14:paraId="57B00E96" w14:textId="77777777" w:rsidR="003F4CFF" w:rsidRPr="00A94D9A" w:rsidRDefault="003F4CFF" w:rsidP="003F4CFF">
      <w:pPr>
        <w:shd w:val="clear" w:color="auto" w:fill="FFFFFF" w:themeFill="background1"/>
        <w:autoSpaceDE w:val="0"/>
        <w:autoSpaceDN w:val="0"/>
        <w:ind w:firstLine="567"/>
        <w:jc w:val="both"/>
        <w:rPr>
          <w:rFonts w:ascii="Times New Roman" w:hAnsi="Times New Roman"/>
          <w:sz w:val="28"/>
          <w:szCs w:val="28"/>
        </w:rPr>
      </w:pPr>
      <w:r w:rsidRPr="00A94D9A">
        <w:rPr>
          <w:rFonts w:ascii="Times New Roman" w:hAnsi="Times New Roman"/>
          <w:sz w:val="28"/>
          <w:szCs w:val="28"/>
        </w:rPr>
        <w:t>Всего на реализацию приоритетного проекта «Формирование комфортной городской среды» направлено 1159,5 млн. рублей, из них:</w:t>
      </w:r>
    </w:p>
    <w:p w14:paraId="182C6C5B" w14:textId="77777777" w:rsidR="003F4CFF" w:rsidRPr="00A94D9A" w:rsidRDefault="003F4CFF" w:rsidP="003F4CFF">
      <w:pPr>
        <w:shd w:val="clear" w:color="auto" w:fill="FFFFFF" w:themeFill="background1"/>
        <w:autoSpaceDE w:val="0"/>
        <w:autoSpaceDN w:val="0"/>
        <w:ind w:firstLine="567"/>
        <w:jc w:val="both"/>
        <w:rPr>
          <w:rFonts w:ascii="Times New Roman" w:hAnsi="Times New Roman"/>
          <w:sz w:val="28"/>
          <w:szCs w:val="28"/>
        </w:rPr>
      </w:pPr>
      <w:r w:rsidRPr="00A94D9A">
        <w:rPr>
          <w:rFonts w:ascii="Times New Roman" w:hAnsi="Times New Roman"/>
          <w:sz w:val="28"/>
          <w:szCs w:val="28"/>
        </w:rPr>
        <w:t xml:space="preserve">на благоустройство дворовых территорий многоквартирных домов </w:t>
      </w:r>
      <w:r w:rsidRPr="00901F6F">
        <w:rPr>
          <w:rFonts w:ascii="Times New Roman" w:hAnsi="Times New Roman"/>
          <w:sz w:val="28"/>
          <w:szCs w:val="28"/>
        </w:rPr>
        <w:t>–</w:t>
      </w:r>
      <w:r w:rsidRPr="00A94D9A">
        <w:rPr>
          <w:rFonts w:ascii="Times New Roman" w:hAnsi="Times New Roman"/>
          <w:sz w:val="28"/>
          <w:szCs w:val="28"/>
        </w:rPr>
        <w:t xml:space="preserve"> 489,5 млн. рублей., в том числе за счет средств федерального бюджета – 470,0 млн. рублей, областного бюджета – 19,5 млн. рублей;</w:t>
      </w:r>
    </w:p>
    <w:p w14:paraId="7B45AD0E" w14:textId="77777777" w:rsidR="003F4CFF" w:rsidRPr="00A94D9A" w:rsidRDefault="003F4CFF" w:rsidP="003F4CFF">
      <w:pPr>
        <w:shd w:val="clear" w:color="auto" w:fill="FFFFFF" w:themeFill="background1"/>
        <w:autoSpaceDE w:val="0"/>
        <w:autoSpaceDN w:val="0"/>
        <w:ind w:firstLine="567"/>
        <w:jc w:val="both"/>
        <w:rPr>
          <w:rFonts w:ascii="Times New Roman" w:hAnsi="Times New Roman"/>
          <w:sz w:val="28"/>
          <w:szCs w:val="28"/>
        </w:rPr>
      </w:pPr>
      <w:r w:rsidRPr="00A94D9A">
        <w:rPr>
          <w:rFonts w:ascii="Times New Roman" w:hAnsi="Times New Roman"/>
          <w:sz w:val="28"/>
          <w:szCs w:val="28"/>
        </w:rPr>
        <w:t xml:space="preserve">на благоустройство общественных территорий </w:t>
      </w:r>
      <w:r w:rsidRPr="00901F6F">
        <w:rPr>
          <w:rFonts w:ascii="Times New Roman" w:hAnsi="Times New Roman"/>
          <w:sz w:val="28"/>
          <w:szCs w:val="28"/>
        </w:rPr>
        <w:t>–</w:t>
      </w:r>
      <w:r w:rsidRPr="00A94D9A">
        <w:rPr>
          <w:rFonts w:ascii="Times New Roman" w:hAnsi="Times New Roman"/>
          <w:sz w:val="28"/>
          <w:szCs w:val="28"/>
        </w:rPr>
        <w:t xml:space="preserve"> 395,5 млн. рублей, в том числе за счет средств федерального бюджета – 379,6 млн. рублей, областного бюджета </w:t>
      </w:r>
      <w:r w:rsidR="000560A5">
        <w:rPr>
          <w:rFonts w:ascii="Times New Roman" w:hAnsi="Times New Roman"/>
          <w:sz w:val="28"/>
          <w:szCs w:val="28"/>
        </w:rPr>
        <w:t>Новосибирской области</w:t>
      </w:r>
      <w:r w:rsidRPr="00A94D9A">
        <w:rPr>
          <w:rFonts w:ascii="Times New Roman" w:hAnsi="Times New Roman"/>
          <w:sz w:val="28"/>
          <w:szCs w:val="28"/>
        </w:rPr>
        <w:t>– 15,9 млн. рублей;</w:t>
      </w:r>
    </w:p>
    <w:p w14:paraId="3B0CF5A9" w14:textId="77777777" w:rsidR="003F4CFF" w:rsidRPr="00A94D9A" w:rsidRDefault="003F4CFF" w:rsidP="003F4CFF">
      <w:pPr>
        <w:shd w:val="clear" w:color="auto" w:fill="FFFFFF" w:themeFill="background1"/>
        <w:autoSpaceDE w:val="0"/>
        <w:autoSpaceDN w:val="0"/>
        <w:ind w:firstLine="567"/>
        <w:jc w:val="both"/>
        <w:rPr>
          <w:rFonts w:ascii="Times New Roman" w:hAnsi="Times New Roman" w:cs="Times New Roman"/>
          <w:b/>
          <w:sz w:val="28"/>
          <w:szCs w:val="28"/>
        </w:rPr>
      </w:pPr>
      <w:r w:rsidRPr="00A94D9A">
        <w:rPr>
          <w:rFonts w:ascii="Times New Roman" w:hAnsi="Times New Roman"/>
          <w:sz w:val="28"/>
          <w:szCs w:val="28"/>
        </w:rPr>
        <w:t>на благоустройство объекта – победителя Всероссийского конкурса лучших проектов создания комфортной городской среды в 2018 году в номинации «малые города с численностью населения от 20 тыс. человек до 50 тыс. человек включительно» «Строительство набережной и благоустройство пляжной зоны озера по ул. Заводская совместно с прилегающей привокзальной площадью» в г. Тогучин, Тогучинского района Новосибирской области – 144,35 млн. рублей, в том числе за счет средств федерального бюджета - 72,5 млн. рублей, областного бюджета</w:t>
      </w:r>
      <w:r w:rsidR="000560A5">
        <w:rPr>
          <w:rFonts w:ascii="Times New Roman" w:hAnsi="Times New Roman"/>
          <w:sz w:val="28"/>
          <w:szCs w:val="28"/>
        </w:rPr>
        <w:t xml:space="preserve"> Новосибирской области</w:t>
      </w:r>
      <w:r w:rsidRPr="00A94D9A">
        <w:rPr>
          <w:rFonts w:ascii="Times New Roman" w:hAnsi="Times New Roman"/>
          <w:sz w:val="28"/>
          <w:szCs w:val="28"/>
        </w:rPr>
        <w:t xml:space="preserve"> – 69,35 млн. рублей.</w:t>
      </w:r>
    </w:p>
    <w:p w14:paraId="7B392CBB" w14:textId="77777777" w:rsidR="003F4CFF" w:rsidRPr="00A94D9A" w:rsidRDefault="003F4CFF" w:rsidP="003F4CFF">
      <w:pPr>
        <w:shd w:val="clear" w:color="auto" w:fill="FFFFFF" w:themeFill="background1"/>
        <w:tabs>
          <w:tab w:val="left" w:pos="1418"/>
          <w:tab w:val="left" w:pos="1985"/>
        </w:tabs>
        <w:ind w:firstLine="567"/>
        <w:jc w:val="both"/>
        <w:rPr>
          <w:rFonts w:ascii="Times New Roman" w:eastAsia="Times New Roman" w:hAnsi="Times New Roman" w:cs="Times New Roman"/>
          <w:sz w:val="28"/>
          <w:szCs w:val="28"/>
        </w:rPr>
      </w:pPr>
      <w:r w:rsidRPr="00A94D9A">
        <w:rPr>
          <w:rFonts w:ascii="Times New Roman" w:hAnsi="Times New Roman" w:cs="Times New Roman"/>
          <w:sz w:val="28"/>
          <w:szCs w:val="28"/>
        </w:rPr>
        <w:t>Реализация мероприятий, предусмотренных «дорожной картой» по содействию развития конкуренции на рынке выполнения работ по благоустройству городской среды на территории Новосибирской области способствовала созданию качественной и комфортной городской среды, повышению уровня благоустройства озелененных территорий и повышению заинтересованности инвесторов в участии в реализации федерального проекта «Формирование комфортной городской среды» на территории Новосибирской области.</w:t>
      </w:r>
    </w:p>
    <w:p w14:paraId="5B76080E" w14:textId="77777777" w:rsidR="003F4CFF" w:rsidRPr="00A94D9A" w:rsidRDefault="003F4CFF" w:rsidP="003F4CFF">
      <w:pPr>
        <w:shd w:val="clear" w:color="auto" w:fill="FFFFFF" w:themeFill="background1"/>
        <w:tabs>
          <w:tab w:val="left" w:pos="1418"/>
          <w:tab w:val="left" w:pos="1985"/>
        </w:tabs>
        <w:ind w:firstLine="567"/>
        <w:jc w:val="both"/>
        <w:rPr>
          <w:rFonts w:ascii="Times New Roman" w:hAnsi="Times New Roman" w:cs="Times New Roman"/>
          <w:sz w:val="28"/>
          <w:szCs w:val="28"/>
        </w:rPr>
      </w:pPr>
      <w:r w:rsidRPr="00A94D9A">
        <w:rPr>
          <w:rFonts w:ascii="Times New Roman" w:hAnsi="Times New Roman" w:cs="Times New Roman"/>
          <w:sz w:val="28"/>
          <w:szCs w:val="28"/>
        </w:rPr>
        <w:lastRenderedPageBreak/>
        <w:t>Мониторинг реализации мероприятий по благоустройству, реализуемых на территории Новосибирской области, способствовал повышению качества выполняемых подрядными организациями работ, а также способствовал предотвращению затягивания сроков исполнения контрактов.</w:t>
      </w:r>
    </w:p>
    <w:p w14:paraId="5A1FE052"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hAnsi="Times New Roman" w:cs="Times New Roman"/>
          <w:sz w:val="28"/>
          <w:szCs w:val="28"/>
        </w:rPr>
      </w:pPr>
      <w:r w:rsidRPr="00901F6F">
        <w:rPr>
          <w:rFonts w:ascii="Times New Roman" w:hAnsi="Times New Roman" w:cs="Times New Roman"/>
          <w:sz w:val="28"/>
          <w:szCs w:val="28"/>
        </w:rPr>
        <w:t>Доля организаций частной формы собственности в сфере услуг по сбору и транспортированию твердых коммунальных отходов в 2019 году составила 9,3%.</w:t>
      </w:r>
    </w:p>
    <w:p w14:paraId="13ED7E76" w14:textId="77777777" w:rsidR="003F4CFF" w:rsidRPr="002C218F"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 xml:space="preserve">мониторинга состояния и развития конкурентной среды на </w:t>
      </w:r>
      <w:r w:rsidRPr="002C218F">
        <w:rPr>
          <w:rFonts w:ascii="Times New Roman" w:eastAsia="Times New Roman" w:hAnsi="Times New Roman" w:cs="Times New Roman"/>
          <w:sz w:val="28"/>
          <w:szCs w:val="28"/>
        </w:rPr>
        <w:t>рынках товаров, работ и услуг Новосибирской области за 2019 год</w:t>
      </w:r>
      <w:r w:rsidRPr="002C218F">
        <w:rPr>
          <w:rFonts w:ascii="Times New Roman" w:hAnsi="Times New Roman" w:cs="Times New Roman"/>
          <w:sz w:val="28"/>
          <w:szCs w:val="28"/>
        </w:rPr>
        <w:t xml:space="preserve"> высокую конкуренцию отметили 40%.</w:t>
      </w:r>
    </w:p>
    <w:p w14:paraId="19193216" w14:textId="77777777" w:rsidR="003F4CFF" w:rsidRPr="002C218F" w:rsidRDefault="003F4CFF" w:rsidP="003F4CFF">
      <w:pPr>
        <w:ind w:firstLine="567"/>
        <w:jc w:val="both"/>
        <w:rPr>
          <w:rFonts w:ascii="Times New Roman" w:hAnsi="Times New Roman" w:cs="Times New Roman"/>
          <w:sz w:val="28"/>
          <w:szCs w:val="28"/>
        </w:rPr>
      </w:pPr>
      <w:r w:rsidRPr="002C218F">
        <w:rPr>
          <w:rFonts w:ascii="Times New Roman" w:hAnsi="Times New Roman" w:cs="Times New Roman"/>
          <w:sz w:val="28"/>
          <w:szCs w:val="28"/>
        </w:rPr>
        <w:t>Никто из опрошенных субъектов предпринимательства не указал на наличие на рынке непреодолимых административных барьеров. В оценке деятельности органов власти преобладает мнение, что органы власти ничего не предпринимают, но их участие необходимо (44%).</w:t>
      </w:r>
    </w:p>
    <w:p w14:paraId="76A338D3" w14:textId="77777777" w:rsidR="003F4CFF" w:rsidRPr="002C218F" w:rsidRDefault="003F4CFF" w:rsidP="003F4CFF">
      <w:pPr>
        <w:ind w:firstLine="567"/>
        <w:jc w:val="both"/>
        <w:rPr>
          <w:rFonts w:ascii="Times New Roman" w:eastAsia="Times New Roman" w:hAnsi="Times New Roman" w:cs="Times New Roman"/>
          <w:b/>
          <w:sz w:val="28"/>
          <w:szCs w:val="28"/>
        </w:rPr>
      </w:pPr>
      <w:r w:rsidRPr="002C218F">
        <w:rPr>
          <w:rFonts w:ascii="Times New Roman" w:eastAsia="Times New Roman" w:hAnsi="Times New Roman" w:cs="Times New Roman"/>
          <w:sz w:val="28"/>
          <w:szCs w:val="28"/>
          <w:shd w:val="clear" w:color="auto" w:fill="FFFFFF"/>
        </w:rPr>
        <w:t>Наблюдается недостаточное количество организаций на данном рынке (</w:t>
      </w:r>
      <w:r w:rsidRPr="002C218F">
        <w:rPr>
          <w:rFonts w:ascii="Times New Roman" w:hAnsi="Times New Roman" w:cs="Times New Roman"/>
          <w:sz w:val="28"/>
          <w:szCs w:val="28"/>
        </w:rPr>
        <w:t>так считают 62% потребителей</w:t>
      </w:r>
      <w:r w:rsidRPr="002C218F">
        <w:rPr>
          <w:rFonts w:ascii="Times New Roman" w:eastAsia="Times New Roman" w:hAnsi="Times New Roman" w:cs="Times New Roman"/>
          <w:sz w:val="28"/>
          <w:szCs w:val="28"/>
          <w:shd w:val="clear" w:color="auto" w:fill="FFFFFF"/>
        </w:rPr>
        <w:t xml:space="preserve">), увеличение числа организаций за последние 3 года отмечают 22% потребителей. </w:t>
      </w:r>
      <w:r w:rsidRPr="002C218F">
        <w:rPr>
          <w:rFonts w:ascii="Times New Roman" w:eastAsia="Times New Roman" w:hAnsi="Times New Roman" w:cs="Times New Roman"/>
          <w:sz w:val="28"/>
          <w:szCs w:val="28"/>
        </w:rPr>
        <w:t xml:space="preserve">Удовлетворенность потребителей выбором услуг, их качеством и стоимостью находится на низком уровне (39%, 40% и 38% соответственно). </w:t>
      </w:r>
      <w:r w:rsidRPr="002C218F">
        <w:rPr>
          <w:rFonts w:ascii="Times New Roman" w:hAnsi="Times New Roman" w:cs="Times New Roman"/>
          <w:sz w:val="28"/>
          <w:szCs w:val="28"/>
        </w:rPr>
        <w:t xml:space="preserve">Рост цен за последние 3 года отмечают 65% потребителей (меньше, чем на большинстве исследуемых рынков), при этом мнения о динамике качества услуг разделились: </w:t>
      </w:r>
      <w:r w:rsidRPr="002C218F">
        <w:rPr>
          <w:rFonts w:ascii="Times New Roman" w:eastAsia="Times New Roman" w:hAnsi="Times New Roman" w:cs="Times New Roman"/>
          <w:sz w:val="28"/>
          <w:szCs w:val="28"/>
        </w:rPr>
        <w:t>повышение качества отмечают 23% потребителей, снижение – 21%</w:t>
      </w:r>
      <w:r w:rsidRPr="002C218F">
        <w:rPr>
          <w:rFonts w:ascii="Times New Roman" w:hAnsi="Times New Roman" w:cs="Times New Roman"/>
          <w:sz w:val="28"/>
          <w:szCs w:val="28"/>
        </w:rPr>
        <w:t>.</w:t>
      </w:r>
    </w:p>
    <w:p w14:paraId="6EC7F7C0"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выполнения работ по содержанию и текущему ремонту общего имущества собственников помещений в многоквартирном доме</w:t>
      </w:r>
    </w:p>
    <w:p w14:paraId="08787FC2" w14:textId="77777777" w:rsidR="003F4CFF" w:rsidRPr="00330D99"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В Новосибирской области р</w:t>
      </w:r>
      <w:r w:rsidRPr="00330D99">
        <w:rPr>
          <w:rFonts w:ascii="Times New Roman" w:eastAsiaTheme="minorHAnsi" w:hAnsi="Times New Roman" w:cs="Times New Roman"/>
          <w:sz w:val="28"/>
          <w:szCs w:val="28"/>
          <w:lang w:eastAsia="en-US"/>
        </w:rPr>
        <w:t xml:space="preserve">азвитие конкуренции на рынке выполнения работ по содержанию и текущему ремонту общего имущества собственников помещений в многоквартирном доме осуществляется по 2 направлениям: </w:t>
      </w:r>
    </w:p>
    <w:p w14:paraId="11C9E476" w14:textId="77777777" w:rsidR="003F4CFF" w:rsidRPr="00330D99"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330D99">
        <w:rPr>
          <w:rFonts w:ascii="Times New Roman" w:eastAsiaTheme="minorHAnsi" w:hAnsi="Times New Roman" w:cs="Times New Roman"/>
          <w:sz w:val="28"/>
          <w:szCs w:val="28"/>
          <w:lang w:eastAsia="en-US"/>
        </w:rPr>
        <w:t xml:space="preserve">управление жилищным фондом (через заключение договора на управление с собственником); </w:t>
      </w:r>
    </w:p>
    <w:p w14:paraId="094E3213" w14:textId="77777777" w:rsidR="003F4CFF" w:rsidRPr="00330D99"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330D99">
        <w:rPr>
          <w:rFonts w:ascii="Times New Roman" w:eastAsiaTheme="minorHAnsi" w:hAnsi="Times New Roman" w:cs="Times New Roman"/>
          <w:sz w:val="28"/>
          <w:szCs w:val="28"/>
          <w:lang w:eastAsia="en-US"/>
        </w:rPr>
        <w:t xml:space="preserve">оказание услуг, выполнение работ (через заключение договора на оказание жилищно-коммунальных услуг с управляющей организацией). </w:t>
      </w:r>
    </w:p>
    <w:p w14:paraId="17E3C704" w14:textId="77777777" w:rsidR="003F4CFF" w:rsidRPr="00330D99"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330D99">
        <w:rPr>
          <w:rFonts w:ascii="Times New Roman" w:eastAsiaTheme="minorHAnsi" w:hAnsi="Times New Roman" w:cs="Times New Roman"/>
          <w:sz w:val="28"/>
          <w:szCs w:val="28"/>
          <w:lang w:eastAsia="en-US"/>
        </w:rPr>
        <w:t xml:space="preserve">В настоящее время на территории Новосибирской области деятельность по управлению многоквартирными домами имеют право осуществлять 365 лицензиатов, из них выдано лицензий: МУП – 23, организациям частной формы собственности – 342. </w:t>
      </w:r>
    </w:p>
    <w:p w14:paraId="18569C34" w14:textId="77777777" w:rsidR="003F4CFF" w:rsidRPr="00330D99" w:rsidRDefault="003F4CFF" w:rsidP="003F4CFF">
      <w:pPr>
        <w:widowControl w:val="0"/>
        <w:shd w:val="clear" w:color="auto" w:fill="FFFFFF" w:themeFill="background1"/>
        <w:ind w:firstLine="567"/>
        <w:jc w:val="both"/>
        <w:rPr>
          <w:rFonts w:ascii="Times New Roman" w:eastAsia="Times New Roman" w:hAnsi="Times New Roman" w:cs="Times New Roman"/>
          <w:sz w:val="28"/>
          <w:szCs w:val="28"/>
          <w:lang w:eastAsia="en-US"/>
        </w:rPr>
      </w:pPr>
      <w:r w:rsidRPr="00330D99">
        <w:rPr>
          <w:rFonts w:ascii="Times New Roman" w:eastAsia="Times New Roman" w:hAnsi="Times New Roman" w:cs="Times New Roman"/>
          <w:sz w:val="28"/>
          <w:szCs w:val="28"/>
          <w:lang w:eastAsia="en-US"/>
        </w:rPr>
        <w:t>На рынке стабильно работают как крупные, обслуживающие до нескольких сотен многоквартирных домов, так и мелкие управляющие организации и ТСЖ (ЖК, ЖСК), управляющие несколькими или одним домом.</w:t>
      </w:r>
    </w:p>
    <w:p w14:paraId="4DB32FC3" w14:textId="77777777" w:rsidR="003F4CFF" w:rsidRPr="00330D99" w:rsidRDefault="003F4CFF" w:rsidP="003F4CFF">
      <w:pPr>
        <w:widowControl w:val="0"/>
        <w:shd w:val="clear" w:color="auto" w:fill="FFFFFF" w:themeFill="background1"/>
        <w:ind w:firstLine="567"/>
        <w:jc w:val="both"/>
        <w:rPr>
          <w:rFonts w:ascii="Times New Roman" w:eastAsia="Times New Roman" w:hAnsi="Times New Roman" w:cs="Times New Roman"/>
          <w:sz w:val="28"/>
          <w:szCs w:val="28"/>
          <w:lang w:eastAsia="en-US"/>
        </w:rPr>
      </w:pPr>
      <w:r w:rsidRPr="00330D99">
        <w:rPr>
          <w:rFonts w:ascii="Times New Roman" w:eastAsia="Times New Roman" w:hAnsi="Times New Roman" w:cs="Times New Roman"/>
          <w:sz w:val="28"/>
          <w:szCs w:val="28"/>
          <w:lang w:eastAsia="en-US"/>
        </w:rPr>
        <w:t>Из 365 управляющих компа</w:t>
      </w:r>
      <w:r>
        <w:rPr>
          <w:rFonts w:ascii="Times New Roman" w:eastAsia="Times New Roman" w:hAnsi="Times New Roman" w:cs="Times New Roman"/>
          <w:sz w:val="28"/>
          <w:szCs w:val="28"/>
          <w:lang w:eastAsia="en-US"/>
        </w:rPr>
        <w:t>ний наиболее крупными являются:</w:t>
      </w:r>
    </w:p>
    <w:p w14:paraId="6E3C2082" w14:textId="77777777" w:rsidR="003F4CFF" w:rsidRPr="00330D99" w:rsidRDefault="003F4CFF" w:rsidP="003F4CFF">
      <w:pPr>
        <w:widowControl w:val="0"/>
        <w:shd w:val="clear" w:color="auto" w:fill="FFFFFF" w:themeFill="background1"/>
        <w:ind w:firstLine="567"/>
        <w:jc w:val="both"/>
        <w:rPr>
          <w:rFonts w:ascii="Times New Roman" w:eastAsia="Times New Roman" w:hAnsi="Times New Roman" w:cs="Times New Roman"/>
          <w:sz w:val="28"/>
          <w:szCs w:val="28"/>
          <w:lang w:eastAsia="en-US"/>
        </w:rPr>
      </w:pPr>
      <w:r w:rsidRPr="00330D99">
        <w:rPr>
          <w:rFonts w:ascii="Times New Roman" w:eastAsia="Times New Roman" w:hAnsi="Times New Roman" w:cs="Times New Roman"/>
          <w:sz w:val="28"/>
          <w:szCs w:val="28"/>
          <w:lang w:eastAsia="en-US"/>
        </w:rPr>
        <w:t>ЗАО «УК «СПАС-Дом», в управлении которого находится 2,3 млн. м² жилищного фонда;</w:t>
      </w:r>
    </w:p>
    <w:p w14:paraId="13B7FECF" w14:textId="77777777" w:rsidR="003F4CFF" w:rsidRPr="00330D99" w:rsidRDefault="003F4CFF" w:rsidP="003F4CFF">
      <w:pPr>
        <w:widowControl w:val="0"/>
        <w:shd w:val="clear" w:color="auto" w:fill="FFFFFF" w:themeFill="background1"/>
        <w:ind w:firstLine="567"/>
        <w:jc w:val="both"/>
        <w:rPr>
          <w:rFonts w:ascii="Times New Roman" w:eastAsia="Times New Roman" w:hAnsi="Times New Roman" w:cs="Times New Roman"/>
          <w:sz w:val="28"/>
          <w:szCs w:val="28"/>
          <w:lang w:eastAsia="en-US"/>
        </w:rPr>
      </w:pPr>
      <w:r w:rsidRPr="00330D99">
        <w:rPr>
          <w:rFonts w:ascii="Times New Roman" w:eastAsia="Times New Roman" w:hAnsi="Times New Roman" w:cs="Times New Roman"/>
          <w:sz w:val="28"/>
          <w:szCs w:val="28"/>
          <w:lang w:eastAsia="en-US"/>
        </w:rPr>
        <w:t>АО «МКС-Новосибирск» – 2,0 млн. м²;</w:t>
      </w:r>
    </w:p>
    <w:p w14:paraId="14B70E1D" w14:textId="77777777" w:rsidR="003F4CFF" w:rsidRPr="00330D99" w:rsidRDefault="003F4CFF" w:rsidP="003F4CFF">
      <w:pPr>
        <w:widowControl w:val="0"/>
        <w:shd w:val="clear" w:color="auto" w:fill="FFFFFF" w:themeFill="background1"/>
        <w:ind w:firstLine="567"/>
        <w:jc w:val="both"/>
        <w:rPr>
          <w:rFonts w:ascii="Times New Roman" w:eastAsia="Times New Roman" w:hAnsi="Times New Roman" w:cs="Times New Roman"/>
          <w:sz w:val="28"/>
          <w:szCs w:val="28"/>
          <w:lang w:eastAsia="en-US"/>
        </w:rPr>
      </w:pPr>
      <w:r w:rsidRPr="00330D99">
        <w:rPr>
          <w:rFonts w:ascii="Times New Roman" w:eastAsia="Times New Roman" w:hAnsi="Times New Roman" w:cs="Times New Roman"/>
          <w:sz w:val="28"/>
          <w:szCs w:val="28"/>
          <w:lang w:eastAsia="en-US"/>
        </w:rPr>
        <w:t>ООО «Служба заказчика по ЖКХ Ленинского района» – 1,8 млн. м²;</w:t>
      </w:r>
    </w:p>
    <w:p w14:paraId="4DA529E1" w14:textId="77777777" w:rsidR="003F4CFF" w:rsidRPr="00330D99" w:rsidRDefault="003F4CFF" w:rsidP="003F4CFF">
      <w:pPr>
        <w:widowControl w:val="0"/>
        <w:shd w:val="clear" w:color="auto" w:fill="FFFFFF" w:themeFill="background1"/>
        <w:ind w:firstLine="567"/>
        <w:jc w:val="both"/>
        <w:rPr>
          <w:rFonts w:ascii="Times New Roman" w:eastAsia="Times New Roman" w:hAnsi="Times New Roman" w:cs="Times New Roman"/>
          <w:sz w:val="28"/>
          <w:szCs w:val="28"/>
          <w:lang w:eastAsia="en-US"/>
        </w:rPr>
      </w:pPr>
      <w:r w:rsidRPr="00330D99">
        <w:rPr>
          <w:rFonts w:ascii="Times New Roman" w:eastAsia="Times New Roman" w:hAnsi="Times New Roman" w:cs="Times New Roman"/>
          <w:sz w:val="28"/>
          <w:szCs w:val="28"/>
          <w:lang w:eastAsia="en-US"/>
        </w:rPr>
        <w:t xml:space="preserve">ООО «УКЭЖ «Сибирская инициатива» – 1,5 млн. м². </w:t>
      </w:r>
    </w:p>
    <w:p w14:paraId="5444712E" w14:textId="77777777" w:rsidR="003F4CFF" w:rsidRPr="00330D99" w:rsidRDefault="003F4CFF" w:rsidP="003F4CFF">
      <w:pPr>
        <w:shd w:val="clear" w:color="auto" w:fill="FFFFFF" w:themeFill="background1"/>
        <w:ind w:firstLine="567"/>
        <w:jc w:val="both"/>
        <w:rPr>
          <w:rFonts w:ascii="Times New Roman" w:hAnsi="Times New Roman" w:cs="Times New Roman"/>
          <w:sz w:val="28"/>
          <w:szCs w:val="28"/>
        </w:rPr>
      </w:pPr>
      <w:r w:rsidRPr="00330D99">
        <w:rPr>
          <w:rFonts w:ascii="Times New Roman" w:hAnsi="Times New Roman" w:cs="Times New Roman"/>
          <w:sz w:val="28"/>
          <w:szCs w:val="28"/>
        </w:rPr>
        <w:lastRenderedPageBreak/>
        <w:t>Информация о хозяйствующих субъектах, действующих на рынке, содержится в реестре лицензий на осуществление предпринимательской деятельности по управлению многоквартирными домами на территории Новосибирской области</w:t>
      </w:r>
      <w:r w:rsidRPr="00901F6F">
        <w:rPr>
          <w:rFonts w:ascii="Times New Roman" w:hAnsi="Times New Roman" w:cs="Times New Roman"/>
          <w:sz w:val="28"/>
          <w:szCs w:val="28"/>
        </w:rPr>
        <w:t xml:space="preserve">. </w:t>
      </w:r>
      <w:r w:rsidRPr="00330D99">
        <w:rPr>
          <w:rFonts w:ascii="Times New Roman" w:hAnsi="Times New Roman" w:cs="Times New Roman"/>
          <w:sz w:val="28"/>
          <w:szCs w:val="28"/>
          <w:lang w:eastAsia="en-US"/>
        </w:rPr>
        <w:t xml:space="preserve">Актуальный реестр </w:t>
      </w:r>
      <w:r w:rsidRPr="00330D99">
        <w:rPr>
          <w:rFonts w:ascii="Times New Roman" w:hAnsi="Times New Roman" w:cs="Times New Roman"/>
          <w:sz w:val="28"/>
          <w:szCs w:val="28"/>
        </w:rPr>
        <w:t>размещен на официальном сайте Государственной жилищной инспекции Новосиби</w:t>
      </w:r>
      <w:r w:rsidRPr="00901F6F">
        <w:rPr>
          <w:rFonts w:ascii="Times New Roman" w:hAnsi="Times New Roman" w:cs="Times New Roman"/>
          <w:sz w:val="28"/>
          <w:szCs w:val="28"/>
        </w:rPr>
        <w:t xml:space="preserve">рской области (далее – ГЖИ НСО) </w:t>
      </w:r>
      <w:r w:rsidRPr="00330D99">
        <w:rPr>
          <w:rFonts w:ascii="Times New Roman" w:hAnsi="Times New Roman" w:cs="Times New Roman"/>
          <w:sz w:val="28"/>
          <w:szCs w:val="28"/>
        </w:rPr>
        <w:t>и в государственной – информационной системе жилищно-коммунального хозяйства (далее – ГИС ЖКХ)</w:t>
      </w:r>
      <w:r w:rsidRPr="00901F6F">
        <w:rPr>
          <w:rFonts w:ascii="Times New Roman" w:hAnsi="Times New Roman" w:cs="Times New Roman"/>
          <w:sz w:val="28"/>
          <w:szCs w:val="28"/>
        </w:rPr>
        <w:t>.</w:t>
      </w:r>
    </w:p>
    <w:p w14:paraId="60B6E6BF" w14:textId="77777777" w:rsidR="003F4CFF" w:rsidRPr="00330D99" w:rsidRDefault="003F4CFF" w:rsidP="003F4CFF">
      <w:pPr>
        <w:shd w:val="clear" w:color="auto" w:fill="FFFFFF" w:themeFill="background1"/>
        <w:adjustRightInd w:val="0"/>
        <w:ind w:firstLine="567"/>
        <w:jc w:val="both"/>
        <w:rPr>
          <w:rFonts w:ascii="Times New Roman" w:hAnsi="Times New Roman" w:cs="Times New Roman"/>
          <w:sz w:val="28"/>
          <w:szCs w:val="28"/>
        </w:rPr>
      </w:pPr>
      <w:r w:rsidRPr="00330D99">
        <w:rPr>
          <w:rFonts w:ascii="Times New Roman" w:hAnsi="Times New Roman" w:cs="Times New Roman"/>
          <w:sz w:val="28"/>
          <w:szCs w:val="28"/>
        </w:rPr>
        <w:t>В соответствии с требованиями статьи 9 Федерального закона от 26.12.2008 №</w:t>
      </w:r>
      <w:r w:rsidRPr="00901F6F">
        <w:rPr>
          <w:rFonts w:ascii="Times New Roman" w:hAnsi="Times New Roman" w:cs="Times New Roman"/>
          <w:sz w:val="28"/>
          <w:szCs w:val="28"/>
        </w:rPr>
        <w:t xml:space="preserve"> </w:t>
      </w:r>
      <w:r w:rsidRPr="00330D99">
        <w:rPr>
          <w:rFonts w:ascii="Times New Roman" w:hAnsi="Times New Roman" w:cs="Times New Roman"/>
          <w:sz w:val="28"/>
          <w:szCs w:val="28"/>
        </w:rPr>
        <w:t>294-ФЗ</w:t>
      </w:r>
      <w:r w:rsidRPr="00901F6F">
        <w:rPr>
          <w:rFonts w:ascii="Times New Roman" w:hAnsi="Times New Roman" w:cs="Times New Roman"/>
          <w:sz w:val="28"/>
          <w:szCs w:val="28"/>
        </w:rPr>
        <w:t xml:space="preserve"> </w:t>
      </w:r>
      <w:r w:rsidRPr="00330D99">
        <w:rPr>
          <w:rFonts w:ascii="Times New Roman" w:hAnsi="Times New Roman" w:cs="Times New Roman"/>
          <w:sz w:val="28"/>
          <w:szCs w:val="28"/>
        </w:rPr>
        <w:t xml:space="preserve">«О защите юридических лиц и индивидуальных предпринимателей при осуществлении государственного контроля (надзора) и муниципального контроля» утвержден план проведения </w:t>
      </w:r>
      <w:r w:rsidRPr="00901F6F">
        <w:rPr>
          <w:rFonts w:ascii="Times New Roman" w:hAnsi="Times New Roman" w:cs="Times New Roman"/>
          <w:sz w:val="28"/>
          <w:szCs w:val="28"/>
        </w:rPr>
        <w:t>ГЖИ НСО</w:t>
      </w:r>
      <w:r w:rsidRPr="00330D99">
        <w:rPr>
          <w:rFonts w:ascii="Times New Roman" w:hAnsi="Times New Roman" w:cs="Times New Roman"/>
          <w:sz w:val="28"/>
          <w:szCs w:val="28"/>
        </w:rPr>
        <w:t xml:space="preserve"> плановых проверок в отношении юридических лиц и индивидуальных предпринимателей. </w:t>
      </w:r>
    </w:p>
    <w:p w14:paraId="63BF22F3" w14:textId="77777777" w:rsidR="003F4CFF" w:rsidRPr="00330D99" w:rsidRDefault="003F4CFF" w:rsidP="003F4CFF">
      <w:pPr>
        <w:shd w:val="clear" w:color="auto" w:fill="FFFFFF" w:themeFill="background1"/>
        <w:adjustRightInd w:val="0"/>
        <w:ind w:firstLine="567"/>
        <w:jc w:val="both"/>
        <w:rPr>
          <w:rFonts w:ascii="Times New Roman" w:hAnsi="Times New Roman" w:cs="Times New Roman"/>
          <w:sz w:val="28"/>
          <w:szCs w:val="28"/>
        </w:rPr>
      </w:pPr>
      <w:r w:rsidRPr="00330D99">
        <w:rPr>
          <w:rFonts w:ascii="Times New Roman" w:hAnsi="Times New Roman" w:cs="Times New Roman"/>
          <w:sz w:val="28"/>
          <w:szCs w:val="28"/>
        </w:rPr>
        <w:t>При формировании плана проверок, в целях включения в план проверок хозяйствующих субъектов, учитываются сведения, обосновывающие присвоение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w:t>
      </w:r>
    </w:p>
    <w:p w14:paraId="36AC9DE4" w14:textId="77777777" w:rsidR="003F4CFF" w:rsidRPr="00330D99" w:rsidRDefault="003F4CFF" w:rsidP="003F4CFF">
      <w:pPr>
        <w:shd w:val="clear" w:color="auto" w:fill="FFFFFF" w:themeFill="background1"/>
        <w:adjustRightInd w:val="0"/>
        <w:ind w:firstLine="567"/>
        <w:jc w:val="both"/>
        <w:rPr>
          <w:rFonts w:ascii="Times New Roman" w:hAnsi="Times New Roman" w:cs="Times New Roman"/>
          <w:sz w:val="28"/>
          <w:szCs w:val="28"/>
          <w:lang w:eastAsia="en-US"/>
        </w:rPr>
      </w:pPr>
      <w:r w:rsidRPr="00330D99">
        <w:rPr>
          <w:rFonts w:ascii="Times New Roman" w:hAnsi="Times New Roman" w:cs="Times New Roman"/>
          <w:sz w:val="28"/>
          <w:szCs w:val="28"/>
        </w:rPr>
        <w:t xml:space="preserve">В соответствие с действующим законодательством вышеуказанный </w:t>
      </w:r>
      <w:r w:rsidRPr="00901F6F">
        <w:rPr>
          <w:rFonts w:ascii="Times New Roman" w:hAnsi="Times New Roman" w:cs="Times New Roman"/>
          <w:sz w:val="28"/>
          <w:szCs w:val="28"/>
          <w:lang w:eastAsia="en-US"/>
        </w:rPr>
        <w:t>п</w:t>
      </w:r>
      <w:r w:rsidRPr="00330D99">
        <w:rPr>
          <w:rFonts w:ascii="Times New Roman" w:hAnsi="Times New Roman" w:cs="Times New Roman"/>
          <w:sz w:val="28"/>
          <w:szCs w:val="28"/>
          <w:lang w:eastAsia="en-US"/>
        </w:rPr>
        <w:t>еречень подконтрольных</w:t>
      </w:r>
      <w:r w:rsidRPr="00901F6F">
        <w:rPr>
          <w:rFonts w:ascii="Times New Roman" w:hAnsi="Times New Roman" w:cs="Times New Roman"/>
          <w:sz w:val="28"/>
          <w:szCs w:val="28"/>
          <w:lang w:eastAsia="en-US"/>
        </w:rPr>
        <w:t xml:space="preserve"> юридических</w:t>
      </w:r>
      <w:r w:rsidRPr="00330D99">
        <w:rPr>
          <w:rFonts w:ascii="Times New Roman" w:hAnsi="Times New Roman" w:cs="Times New Roman"/>
          <w:sz w:val="28"/>
          <w:szCs w:val="28"/>
          <w:lang w:eastAsia="en-US"/>
        </w:rPr>
        <w:t xml:space="preserve"> лиц, деятельность которых отнесена к определенным категориям риска</w:t>
      </w:r>
      <w:r w:rsidRPr="00901F6F">
        <w:rPr>
          <w:rFonts w:ascii="Times New Roman" w:hAnsi="Times New Roman" w:cs="Times New Roman"/>
          <w:sz w:val="28"/>
          <w:szCs w:val="28"/>
          <w:lang w:eastAsia="en-US"/>
        </w:rPr>
        <w:t>,</w:t>
      </w:r>
      <w:r w:rsidRPr="00330D99">
        <w:rPr>
          <w:rFonts w:ascii="Times New Roman" w:hAnsi="Times New Roman" w:cs="Times New Roman"/>
          <w:sz w:val="28"/>
          <w:szCs w:val="28"/>
          <w:lang w:eastAsia="en-US"/>
        </w:rPr>
        <w:t xml:space="preserve"> </w:t>
      </w:r>
      <w:r w:rsidRPr="00330D99">
        <w:rPr>
          <w:rFonts w:ascii="Times New Roman" w:hAnsi="Times New Roman" w:cs="Times New Roman"/>
          <w:sz w:val="28"/>
          <w:szCs w:val="28"/>
        </w:rPr>
        <w:t>размещен на официальном сайте ГЖИ НСО</w:t>
      </w:r>
      <w:r w:rsidRPr="00901F6F">
        <w:rPr>
          <w:rFonts w:ascii="Times New Roman" w:hAnsi="Times New Roman" w:cs="Times New Roman"/>
          <w:sz w:val="28"/>
          <w:szCs w:val="28"/>
        </w:rPr>
        <w:t>;</w:t>
      </w:r>
      <w:r w:rsidRPr="00330D99">
        <w:rPr>
          <w:rFonts w:ascii="Times New Roman" w:hAnsi="Times New Roman" w:cs="Times New Roman"/>
          <w:sz w:val="28"/>
          <w:szCs w:val="28"/>
        </w:rPr>
        <w:t xml:space="preserve"> информация о результатах проведенных инспекцией проверок в отношении управляющих организаций, осуществляющих деятельность по управлению многоквартирными домами</w:t>
      </w:r>
      <w:r w:rsidRPr="00901F6F">
        <w:rPr>
          <w:rFonts w:ascii="Times New Roman" w:hAnsi="Times New Roman" w:cs="Times New Roman"/>
          <w:sz w:val="28"/>
          <w:szCs w:val="28"/>
        </w:rPr>
        <w:t>,</w:t>
      </w:r>
      <w:r w:rsidRPr="00330D99">
        <w:rPr>
          <w:rFonts w:ascii="Times New Roman" w:hAnsi="Times New Roman" w:cs="Times New Roman"/>
          <w:sz w:val="28"/>
          <w:szCs w:val="28"/>
        </w:rPr>
        <w:t xml:space="preserve"> в </w:t>
      </w:r>
      <w:r w:rsidRPr="00901F6F">
        <w:rPr>
          <w:rFonts w:ascii="Times New Roman" w:hAnsi="Times New Roman" w:cs="Times New Roman"/>
          <w:sz w:val="28"/>
          <w:szCs w:val="28"/>
        </w:rPr>
        <w:t>постоянном режиме</w:t>
      </w:r>
      <w:r w:rsidRPr="00330D99">
        <w:rPr>
          <w:rFonts w:ascii="Times New Roman" w:hAnsi="Times New Roman" w:cs="Times New Roman"/>
          <w:sz w:val="28"/>
          <w:szCs w:val="28"/>
        </w:rPr>
        <w:t xml:space="preserve"> размещается в ГИС ЖКХ, в Едином реестре проверок.</w:t>
      </w:r>
      <w:r w:rsidRPr="00901F6F">
        <w:rPr>
          <w:rFonts w:ascii="Times New Roman" w:hAnsi="Times New Roman" w:cs="Times New Roman"/>
          <w:sz w:val="28"/>
          <w:szCs w:val="28"/>
        </w:rPr>
        <w:t xml:space="preserve"> </w:t>
      </w:r>
      <w:r w:rsidRPr="00330D99">
        <w:rPr>
          <w:rFonts w:ascii="Times New Roman" w:hAnsi="Times New Roman" w:cs="Times New Roman"/>
          <w:sz w:val="28"/>
          <w:szCs w:val="28"/>
          <w:lang w:eastAsia="en-US"/>
        </w:rPr>
        <w:t xml:space="preserve">Благодаря </w:t>
      </w:r>
      <w:r w:rsidRPr="00901F6F">
        <w:rPr>
          <w:rFonts w:ascii="Times New Roman" w:hAnsi="Times New Roman" w:cs="Times New Roman"/>
          <w:sz w:val="28"/>
          <w:szCs w:val="28"/>
          <w:lang w:eastAsia="en-US"/>
        </w:rPr>
        <w:t>этому</w:t>
      </w:r>
      <w:r w:rsidRPr="00330D99">
        <w:rPr>
          <w:rFonts w:ascii="Times New Roman" w:hAnsi="Times New Roman" w:cs="Times New Roman"/>
          <w:sz w:val="28"/>
          <w:szCs w:val="28"/>
          <w:lang w:eastAsia="en-US"/>
        </w:rPr>
        <w:t xml:space="preserve">, обеспечивается доступ субъектов предпринимательства к информации о состоянии рынка </w:t>
      </w:r>
      <w:r w:rsidRPr="00330D99">
        <w:rPr>
          <w:rFonts w:ascii="Times New Roman" w:hAnsi="Times New Roman" w:cs="Times New Roman"/>
          <w:sz w:val="28"/>
          <w:szCs w:val="28"/>
        </w:rPr>
        <w:t xml:space="preserve">и повышается степень прозрачности деятельности субъектов предпринимательства </w:t>
      </w:r>
      <w:r w:rsidRPr="00330D99">
        <w:rPr>
          <w:rFonts w:ascii="Times New Roman" w:hAnsi="Times New Roman" w:cs="Times New Roman"/>
          <w:sz w:val="28"/>
          <w:szCs w:val="28"/>
          <w:lang w:eastAsia="en-US"/>
        </w:rPr>
        <w:t>в сфере управления многоквартирными домами.</w:t>
      </w:r>
    </w:p>
    <w:p w14:paraId="173216F6" w14:textId="77777777" w:rsidR="003F4CFF" w:rsidRPr="00330D99" w:rsidRDefault="003F4CFF" w:rsidP="003F4CFF">
      <w:pPr>
        <w:shd w:val="clear" w:color="auto" w:fill="FFFFFF" w:themeFill="background1"/>
        <w:adjustRightInd w:val="0"/>
        <w:ind w:firstLine="567"/>
        <w:jc w:val="both"/>
        <w:rPr>
          <w:rFonts w:ascii="Times New Roman" w:eastAsia="Times New Roman" w:hAnsi="Times New Roman" w:cs="Times New Roman"/>
          <w:sz w:val="28"/>
          <w:szCs w:val="28"/>
        </w:rPr>
      </w:pPr>
      <w:r w:rsidRPr="00330D99">
        <w:rPr>
          <w:rFonts w:ascii="Times New Roman" w:hAnsi="Times New Roman" w:cs="Times New Roman"/>
          <w:sz w:val="28"/>
          <w:szCs w:val="28"/>
        </w:rPr>
        <w:t xml:space="preserve">Кроме того, </w:t>
      </w:r>
      <w:r w:rsidRPr="00901F6F">
        <w:rPr>
          <w:rFonts w:ascii="Times New Roman" w:hAnsi="Times New Roman" w:cs="Times New Roman"/>
          <w:sz w:val="28"/>
          <w:szCs w:val="28"/>
        </w:rPr>
        <w:t>ГЖИ НСО</w:t>
      </w:r>
      <w:r w:rsidRPr="00330D99">
        <w:rPr>
          <w:rFonts w:ascii="Times New Roman" w:hAnsi="Times New Roman" w:cs="Times New Roman"/>
          <w:sz w:val="28"/>
          <w:szCs w:val="28"/>
        </w:rPr>
        <w:t xml:space="preserve"> организуется и проводится информационно-разъяснительная работа для участников рынка управления многоквартирными домами на территории Новосибирской области по применению норм жилищного законодательства</w:t>
      </w:r>
      <w:r w:rsidRPr="00901F6F">
        <w:rPr>
          <w:rFonts w:ascii="Times New Roman" w:hAnsi="Times New Roman" w:cs="Times New Roman"/>
          <w:sz w:val="28"/>
          <w:szCs w:val="28"/>
        </w:rPr>
        <w:t xml:space="preserve">. Всего проведено </w:t>
      </w:r>
      <w:r w:rsidRPr="00330D99">
        <w:rPr>
          <w:rFonts w:ascii="Times New Roman" w:hAnsi="Times New Roman" w:cs="Times New Roman"/>
          <w:sz w:val="28"/>
          <w:szCs w:val="28"/>
        </w:rPr>
        <w:t xml:space="preserve">42 мероприятия информационно-разъяснительного характера в формате круглых столов, семинаров, совещаний и рабочих встреч с участием граждан, представителей управляющих организаций, общественных объединений, опубликовано 26 материалов информационно-разъяснительного характера в печатных и электронных СМИ; на официальном сайте </w:t>
      </w:r>
      <w:r w:rsidRPr="00901F6F">
        <w:rPr>
          <w:rFonts w:ascii="Times New Roman" w:hAnsi="Times New Roman" w:cs="Times New Roman"/>
          <w:sz w:val="28"/>
          <w:szCs w:val="28"/>
        </w:rPr>
        <w:t xml:space="preserve">ГЖИ НСО </w:t>
      </w:r>
      <w:r w:rsidRPr="00330D99">
        <w:rPr>
          <w:rFonts w:ascii="Times New Roman" w:hAnsi="Times New Roman" w:cs="Times New Roman"/>
          <w:sz w:val="28"/>
          <w:szCs w:val="28"/>
        </w:rPr>
        <w:t xml:space="preserve">опубликован 161 материал; на официальных страницах ГЖИ НСО в социальных сетях </w:t>
      </w:r>
      <w:r w:rsidRPr="00330D99">
        <w:rPr>
          <w:rFonts w:ascii="Times New Roman" w:hAnsi="Times New Roman" w:cs="Times New Roman"/>
          <w:sz w:val="28"/>
          <w:szCs w:val="28"/>
          <w:lang w:val="en-US"/>
        </w:rPr>
        <w:t>Facebook</w:t>
      </w:r>
      <w:r w:rsidRPr="00330D99">
        <w:rPr>
          <w:rFonts w:ascii="Times New Roman" w:hAnsi="Times New Roman" w:cs="Times New Roman"/>
          <w:sz w:val="28"/>
          <w:szCs w:val="28"/>
        </w:rPr>
        <w:t xml:space="preserve">, </w:t>
      </w:r>
      <w:r w:rsidRPr="00330D99">
        <w:rPr>
          <w:rFonts w:ascii="Times New Roman" w:hAnsi="Times New Roman" w:cs="Times New Roman"/>
          <w:sz w:val="28"/>
          <w:szCs w:val="28"/>
          <w:lang w:val="en-US"/>
        </w:rPr>
        <w:t>VK</w:t>
      </w:r>
      <w:r w:rsidRPr="00330D99">
        <w:rPr>
          <w:rFonts w:ascii="Times New Roman" w:hAnsi="Times New Roman" w:cs="Times New Roman"/>
          <w:sz w:val="28"/>
          <w:szCs w:val="28"/>
        </w:rPr>
        <w:t xml:space="preserve">, </w:t>
      </w:r>
      <w:r w:rsidRPr="00330D99">
        <w:rPr>
          <w:rFonts w:ascii="Times New Roman" w:hAnsi="Times New Roman" w:cs="Times New Roman"/>
          <w:sz w:val="28"/>
          <w:szCs w:val="28"/>
          <w:lang w:val="en-US"/>
        </w:rPr>
        <w:t>OK</w:t>
      </w:r>
      <w:r w:rsidRPr="00330D99">
        <w:rPr>
          <w:rFonts w:ascii="Times New Roman" w:hAnsi="Times New Roman" w:cs="Times New Roman"/>
          <w:sz w:val="28"/>
          <w:szCs w:val="28"/>
        </w:rPr>
        <w:t xml:space="preserve">, </w:t>
      </w:r>
      <w:r w:rsidRPr="00330D99">
        <w:rPr>
          <w:rFonts w:ascii="Times New Roman" w:hAnsi="Times New Roman" w:cs="Times New Roman"/>
          <w:sz w:val="28"/>
          <w:szCs w:val="28"/>
          <w:lang w:val="en-US"/>
        </w:rPr>
        <w:t>Instagram</w:t>
      </w:r>
      <w:r w:rsidRPr="00330D99">
        <w:rPr>
          <w:rFonts w:ascii="Times New Roman" w:hAnsi="Times New Roman" w:cs="Times New Roman"/>
          <w:sz w:val="28"/>
          <w:szCs w:val="28"/>
        </w:rPr>
        <w:t xml:space="preserve">, </w:t>
      </w:r>
      <w:r w:rsidRPr="00330D99">
        <w:rPr>
          <w:rFonts w:ascii="Times New Roman" w:hAnsi="Times New Roman" w:cs="Times New Roman"/>
          <w:sz w:val="28"/>
          <w:szCs w:val="28"/>
          <w:lang w:val="en-US"/>
        </w:rPr>
        <w:t>Twitter</w:t>
      </w:r>
      <w:r w:rsidRPr="00330D99">
        <w:rPr>
          <w:rFonts w:ascii="Times New Roman" w:hAnsi="Times New Roman" w:cs="Times New Roman"/>
          <w:sz w:val="28"/>
          <w:szCs w:val="28"/>
        </w:rPr>
        <w:t xml:space="preserve"> размещено 805 новостей, дано 549 ответов на комментарии, в том числе, посредством системы «Инцидент-Менеджмент».</w:t>
      </w:r>
    </w:p>
    <w:p w14:paraId="77A79AC1" w14:textId="77777777" w:rsidR="003F4CFF" w:rsidRPr="00330D99" w:rsidRDefault="003F4CFF" w:rsidP="003F4CFF">
      <w:pPr>
        <w:shd w:val="clear" w:color="auto" w:fill="FFFFFF" w:themeFill="background1"/>
        <w:adjustRightInd w:val="0"/>
        <w:ind w:firstLine="567"/>
        <w:jc w:val="both"/>
        <w:rPr>
          <w:rFonts w:ascii="Times New Roman" w:hAnsi="Times New Roman" w:cs="Times New Roman"/>
          <w:sz w:val="28"/>
          <w:szCs w:val="28"/>
        </w:rPr>
      </w:pPr>
      <w:r w:rsidRPr="00330D99">
        <w:rPr>
          <w:rFonts w:ascii="Times New Roman" w:hAnsi="Times New Roman" w:cs="Times New Roman"/>
          <w:sz w:val="28"/>
          <w:szCs w:val="28"/>
        </w:rPr>
        <w:t xml:space="preserve">Проведение подобных мероприятий обеспечивает создание равных условий для повышения правовой грамотности субъектов предпринимательства в сфере управления многоквартирными домами на территории Новосибирской области. </w:t>
      </w:r>
    </w:p>
    <w:p w14:paraId="73E8D193"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hAnsi="Times New Roman" w:cs="Times New Roman"/>
          <w:b/>
          <w:sz w:val="28"/>
          <w:szCs w:val="28"/>
        </w:rPr>
      </w:pPr>
      <w:r w:rsidRPr="00901F6F">
        <w:rPr>
          <w:rFonts w:ascii="Times New Roman" w:hAnsi="Times New Roman" w:cs="Times New Roman"/>
          <w:sz w:val="28"/>
          <w:szCs w:val="28"/>
        </w:rPr>
        <w:t xml:space="preserve">Помимо этого, в ГЖИ НСО организована работа круглосуточной «горячей» телефонной линии, а также, существует возможность электронной формы обратной связи в сети «Интернет» с возможностью прикрепления файлов фото- и </w:t>
      </w:r>
      <w:r w:rsidRPr="00901F6F">
        <w:rPr>
          <w:rFonts w:ascii="Times New Roman" w:hAnsi="Times New Roman" w:cs="Times New Roman"/>
          <w:sz w:val="28"/>
          <w:szCs w:val="28"/>
        </w:rPr>
        <w:lastRenderedPageBreak/>
        <w:t>видеосъемки, что дает возможность оперативного рассмотрения обращений, поступивших в адрес инспекции. В 2019 году отработано 16819 звонков, по результатам которых управляющим организациям передано 8741 информационное сообщение о необходимости соблюдения обязательных требований.</w:t>
      </w:r>
    </w:p>
    <w:p w14:paraId="45BCF128" w14:textId="77777777" w:rsidR="003F4CFF" w:rsidRPr="00EC5135"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Pr>
          <w:rFonts w:ascii="Times New Roman" w:eastAsia="Times New Roman" w:hAnsi="Times New Roman" w:cs="Times New Roman"/>
          <w:sz w:val="28"/>
          <w:szCs w:val="28"/>
        </w:rPr>
        <w:t xml:space="preserve"> за 2019 год</w:t>
      </w:r>
      <w:r w:rsidRPr="00EC5135">
        <w:rPr>
          <w:rFonts w:ascii="Times New Roman" w:hAnsi="Times New Roman" w:cs="Times New Roman"/>
          <w:sz w:val="28"/>
          <w:szCs w:val="28"/>
        </w:rPr>
        <w:t xml:space="preserve"> </w:t>
      </w:r>
      <w:r>
        <w:rPr>
          <w:rFonts w:ascii="Times New Roman" w:hAnsi="Times New Roman" w:cs="Times New Roman"/>
          <w:sz w:val="28"/>
          <w:szCs w:val="28"/>
        </w:rPr>
        <w:t>з</w:t>
      </w:r>
      <w:r w:rsidRPr="00EC5135">
        <w:rPr>
          <w:rFonts w:ascii="Times New Roman" w:hAnsi="Times New Roman" w:cs="Times New Roman"/>
          <w:sz w:val="28"/>
          <w:szCs w:val="28"/>
        </w:rPr>
        <w:t xml:space="preserve">афиксированы низкие оценки уровня конкуренции на рынке: 55% опрошенных субъектов предпринимательства отмечают слабую конкуренцию либо ее отсутствие. </w:t>
      </w:r>
    </w:p>
    <w:p w14:paraId="7C7C7600"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При этом только 5% субъектов предпринимательства отмечают наличие непреодолимых административных барьеров. Основным барьером для ведения текущей деятельности и открытия нового бизнеса считается нестабильность законодательства, регулирующего предпринимательскую деятельность (отмечают 25%). </w:t>
      </w:r>
    </w:p>
    <w:p w14:paraId="4DC7E279" w14:textId="77777777" w:rsidR="003F4CFF"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В оценке деятельности органов власти почти в равной степени выражены мнения, что органы власти помогают бизнесу своими действиями (23%) и что органы власти ничего не предпринимают</w:t>
      </w:r>
      <w:r>
        <w:rPr>
          <w:rFonts w:ascii="Times New Roman" w:hAnsi="Times New Roman" w:cs="Times New Roman"/>
          <w:sz w:val="28"/>
          <w:szCs w:val="28"/>
        </w:rPr>
        <w:t>, но их участие необходимо (25%).</w:t>
      </w:r>
    </w:p>
    <w:p w14:paraId="08481B32" w14:textId="77777777" w:rsidR="003F4CFF" w:rsidRPr="002C218F" w:rsidRDefault="003F4CFF" w:rsidP="003F4CFF">
      <w:pPr>
        <w:ind w:firstLine="567"/>
        <w:jc w:val="both"/>
        <w:rPr>
          <w:rFonts w:ascii="Times New Roman" w:eastAsia="Times New Roman" w:hAnsi="Times New Roman" w:cs="Times New Roman"/>
          <w:sz w:val="28"/>
          <w:szCs w:val="28"/>
        </w:rPr>
      </w:pPr>
      <w:r w:rsidRPr="002C218F">
        <w:rPr>
          <w:rFonts w:ascii="Times New Roman" w:hAnsi="Times New Roman" w:cs="Times New Roman"/>
          <w:sz w:val="28"/>
          <w:szCs w:val="28"/>
        </w:rPr>
        <w:t xml:space="preserve">Количество организаций на рынке оценивается как достаточное (так считают 52% потребителей), хотя распространено мнение и о нехватке организаций (38%), при этом рост числа организаций за последние 3 года отмечают 22% потребителей. </w:t>
      </w:r>
      <w:r>
        <w:rPr>
          <w:rFonts w:ascii="Times New Roman" w:hAnsi="Times New Roman" w:cs="Times New Roman"/>
          <w:sz w:val="28"/>
          <w:szCs w:val="28"/>
        </w:rPr>
        <w:t xml:space="preserve">Показатели </w:t>
      </w:r>
      <w:r>
        <w:rPr>
          <w:rFonts w:ascii="Times New Roman" w:eastAsia="Times New Roman" w:hAnsi="Times New Roman" w:cs="Times New Roman"/>
          <w:sz w:val="28"/>
          <w:szCs w:val="28"/>
        </w:rPr>
        <w:t>удовлетворенности</w:t>
      </w:r>
      <w:r w:rsidRPr="002C218F">
        <w:rPr>
          <w:rFonts w:ascii="Times New Roman" w:eastAsia="Times New Roman" w:hAnsi="Times New Roman" w:cs="Times New Roman"/>
          <w:sz w:val="28"/>
          <w:szCs w:val="28"/>
        </w:rPr>
        <w:t xml:space="preserve"> потребителей выбором услуг, их качеством и стоимостью </w:t>
      </w:r>
      <w:r>
        <w:rPr>
          <w:rFonts w:ascii="Times New Roman" w:eastAsia="Times New Roman" w:hAnsi="Times New Roman" w:cs="Times New Roman"/>
          <w:sz w:val="28"/>
          <w:szCs w:val="28"/>
        </w:rPr>
        <w:t xml:space="preserve">следующие: </w:t>
      </w:r>
      <w:r w:rsidRPr="002C218F">
        <w:rPr>
          <w:rFonts w:ascii="Times New Roman" w:eastAsia="Times New Roman" w:hAnsi="Times New Roman" w:cs="Times New Roman"/>
          <w:sz w:val="28"/>
          <w:szCs w:val="28"/>
        </w:rPr>
        <w:t>38%, 41% и 34% с</w:t>
      </w:r>
      <w:r>
        <w:rPr>
          <w:rFonts w:ascii="Times New Roman" w:eastAsia="Times New Roman" w:hAnsi="Times New Roman" w:cs="Times New Roman"/>
          <w:sz w:val="28"/>
          <w:szCs w:val="28"/>
        </w:rPr>
        <w:t>оответственно</w:t>
      </w:r>
      <w:r w:rsidRPr="002C218F">
        <w:rPr>
          <w:rFonts w:ascii="Times New Roman" w:eastAsia="Times New Roman" w:hAnsi="Times New Roman" w:cs="Times New Roman"/>
          <w:sz w:val="28"/>
          <w:szCs w:val="28"/>
        </w:rPr>
        <w:t>.</w:t>
      </w:r>
      <w:r w:rsidRPr="002C218F">
        <w:rPr>
          <w:rFonts w:ascii="Times New Roman" w:hAnsi="Times New Roman" w:cs="Times New Roman"/>
          <w:sz w:val="28"/>
          <w:szCs w:val="28"/>
        </w:rPr>
        <w:t xml:space="preserve"> Рост цен за последние 3 года отмечают 74% потребителей, при этом наблюдается отрицательная динамика по качеству услуг: повышение качества услуг отмечают только 13% потребителей, а снижение – 26%</w:t>
      </w:r>
      <w:r>
        <w:rPr>
          <w:rFonts w:ascii="Times New Roman" w:hAnsi="Times New Roman" w:cs="Times New Roman"/>
          <w:sz w:val="28"/>
          <w:szCs w:val="28"/>
        </w:rPr>
        <w:t>.</w:t>
      </w:r>
    </w:p>
    <w:p w14:paraId="5147FB78"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поставки сжиженного газа в баллонах</w:t>
      </w:r>
    </w:p>
    <w:p w14:paraId="51870E2C" w14:textId="77777777" w:rsidR="003F4CFF" w:rsidRPr="00CC4CC2" w:rsidRDefault="003F4CFF" w:rsidP="003F4CFF">
      <w:pPr>
        <w:shd w:val="clear" w:color="auto" w:fill="FFFFFF" w:themeFill="background1"/>
        <w:autoSpaceDE w:val="0"/>
        <w:autoSpaceDN w:val="0"/>
        <w:adjustRightInd w:val="0"/>
        <w:ind w:firstLine="567"/>
        <w:jc w:val="both"/>
        <w:rPr>
          <w:rFonts w:ascii="Times New Roman" w:hAnsi="Times New Roman" w:cs="Times New Roman"/>
          <w:sz w:val="28"/>
          <w:szCs w:val="28"/>
        </w:rPr>
      </w:pPr>
      <w:r w:rsidRPr="00CC4CC2">
        <w:rPr>
          <w:rFonts w:ascii="Times New Roman" w:hAnsi="Times New Roman" w:cs="Times New Roman"/>
          <w:sz w:val="28"/>
          <w:szCs w:val="28"/>
        </w:rPr>
        <w:t>В Новосибирской области в качестве коммунальной услуги для нужд пищеприготовления, подогрева воды и отопления населени</w:t>
      </w:r>
      <w:r w:rsidR="000560A5">
        <w:rPr>
          <w:rFonts w:ascii="Times New Roman" w:hAnsi="Times New Roman" w:cs="Times New Roman"/>
          <w:sz w:val="28"/>
          <w:szCs w:val="28"/>
        </w:rPr>
        <w:t>я</w:t>
      </w:r>
      <w:r w:rsidRPr="00CC4CC2">
        <w:rPr>
          <w:rFonts w:ascii="Times New Roman" w:hAnsi="Times New Roman" w:cs="Times New Roman"/>
          <w:sz w:val="28"/>
          <w:szCs w:val="28"/>
        </w:rPr>
        <w:t xml:space="preserve"> активно используется сжиженный углеводородный газ. Основные потребители сжиженного углеводородного газа – население, преимущественно проживающее в сельской местности, где отсутствует природный газ, а также пенсионеры и многодетные семьи.</w:t>
      </w:r>
    </w:p>
    <w:p w14:paraId="4537972F" w14:textId="77777777" w:rsidR="003F4CFF" w:rsidRPr="00CC4CC2" w:rsidRDefault="003F4CFF" w:rsidP="003F4CFF">
      <w:pPr>
        <w:shd w:val="clear" w:color="auto" w:fill="FFFFFF" w:themeFill="background1"/>
        <w:autoSpaceDE w:val="0"/>
        <w:autoSpaceDN w:val="0"/>
        <w:adjustRightInd w:val="0"/>
        <w:ind w:firstLine="567"/>
        <w:jc w:val="both"/>
        <w:rPr>
          <w:rFonts w:ascii="Times New Roman" w:hAnsi="Times New Roman" w:cs="Times New Roman"/>
          <w:sz w:val="28"/>
          <w:szCs w:val="28"/>
        </w:rPr>
      </w:pPr>
      <w:r w:rsidRPr="00CC4CC2">
        <w:rPr>
          <w:rFonts w:ascii="Times New Roman" w:hAnsi="Times New Roman" w:cs="Times New Roman"/>
          <w:sz w:val="28"/>
          <w:szCs w:val="28"/>
        </w:rPr>
        <w:t>Постановлением Правительства Российской Федерации от 06.05.2011 № 354 «О предоставлении комм</w:t>
      </w:r>
      <w:r>
        <w:rPr>
          <w:rFonts w:ascii="Times New Roman" w:hAnsi="Times New Roman" w:cs="Times New Roman"/>
          <w:sz w:val="28"/>
          <w:szCs w:val="28"/>
        </w:rPr>
        <w:t xml:space="preserve">унальных услуг собственникам и </w:t>
      </w:r>
      <w:r w:rsidRPr="00CC4CC2">
        <w:rPr>
          <w:rFonts w:ascii="Times New Roman" w:hAnsi="Times New Roman" w:cs="Times New Roman"/>
          <w:sz w:val="28"/>
          <w:szCs w:val="28"/>
        </w:rPr>
        <w:t>пользователям помещений в многоквартирных домах и жилых домов» утверждены Правила предоставления коммунальных услуг собственникам и пользователям помещений в многоквартирных домах и жилых домов, которые не применяются к отношениям, которые возникают при поставке газа для обеспечения коммунально-бытовых нужд граждан и регулирование которых осуществляется в соответствии с Правилами поставки газа для обеспечения коммунально-бытовых нужд граждан, утвержденными постановлением Правительства Российской Федерации от 21.07.2008 № 549</w:t>
      </w:r>
      <w:r w:rsidRPr="00CC4CC2">
        <w:t xml:space="preserve"> </w:t>
      </w:r>
      <w:r w:rsidRPr="00CC4CC2">
        <w:rPr>
          <w:rFonts w:ascii="Times New Roman" w:hAnsi="Times New Roman" w:cs="Times New Roman"/>
          <w:sz w:val="28"/>
          <w:szCs w:val="28"/>
        </w:rPr>
        <w:t xml:space="preserve">«О порядке поставки газа для обеспечения коммунально-бытовых нужд граждан», а именно продаже подлежат наполненные сжиженным углеводородным газом баллоны, прошедшие предварительное техническое освидетельствование и находящиеся в исправном состоянии, срок службы которых </w:t>
      </w:r>
      <w:r w:rsidRPr="00CC4CC2">
        <w:rPr>
          <w:rFonts w:ascii="Times New Roman" w:hAnsi="Times New Roman" w:cs="Times New Roman"/>
          <w:sz w:val="28"/>
          <w:szCs w:val="28"/>
        </w:rPr>
        <w:lastRenderedPageBreak/>
        <w:t>не истек. Потребитель до момента передачи ему продавцом газовых баллонов (или одновременно с ним) обязан передать на обмен равное количество порожних газовых баллонов, находящихся в исправном состоянии, срок службы которых не истек.</w:t>
      </w:r>
    </w:p>
    <w:p w14:paraId="00AFC0D1" w14:textId="77777777" w:rsidR="003F4CFF" w:rsidRPr="00CC4CC2" w:rsidRDefault="003F4CFF" w:rsidP="003F4CFF">
      <w:pPr>
        <w:shd w:val="clear" w:color="auto" w:fill="FFFFFF" w:themeFill="background1"/>
        <w:autoSpaceDE w:val="0"/>
        <w:autoSpaceDN w:val="0"/>
        <w:adjustRightInd w:val="0"/>
        <w:ind w:firstLine="567"/>
        <w:jc w:val="both"/>
        <w:rPr>
          <w:rFonts w:ascii="Times New Roman" w:hAnsi="Times New Roman" w:cs="Times New Roman"/>
          <w:sz w:val="28"/>
          <w:szCs w:val="28"/>
        </w:rPr>
      </w:pPr>
      <w:r w:rsidRPr="00CC4CC2">
        <w:rPr>
          <w:rFonts w:ascii="Times New Roman" w:eastAsiaTheme="minorHAnsi" w:hAnsi="Times New Roman" w:cs="Times New Roman"/>
          <w:sz w:val="28"/>
          <w:szCs w:val="28"/>
          <w:lang w:eastAsia="en-US"/>
        </w:rPr>
        <w:t xml:space="preserve">Рынок поставки сжиженного газа в баллонах новых хозяйствующих субъектов характеризуется высоким уровнем концентрации и неразвитой конкуренцией. </w:t>
      </w:r>
      <w:r w:rsidRPr="00CC4CC2">
        <w:rPr>
          <w:rFonts w:ascii="Times New Roman" w:eastAsia="Times New Roman" w:hAnsi="Times New Roman" w:cs="Times New Roman"/>
          <w:sz w:val="28"/>
          <w:szCs w:val="28"/>
        </w:rPr>
        <w:t xml:space="preserve">В соответствии с постановлением Губернатора Новосибирской области от 09.10.2007 № 125-па </w:t>
      </w:r>
      <w:r w:rsidRPr="00CC4CC2">
        <w:rPr>
          <w:rFonts w:ascii="Times New Roman" w:hAnsi="Times New Roman" w:cs="Times New Roman"/>
          <w:sz w:val="28"/>
          <w:szCs w:val="28"/>
        </w:rPr>
        <w:t xml:space="preserve">«Об утверждении региональной газораспределительной организации по Новосибирской области, уполномоченной реализовывать сжиженный углеводородный газ для бытовых нужд» </w:t>
      </w:r>
      <w:r w:rsidRPr="00CC4CC2">
        <w:rPr>
          <w:rFonts w:ascii="Times New Roman" w:eastAsia="Times New Roman" w:hAnsi="Times New Roman" w:cs="Times New Roman"/>
          <w:sz w:val="28"/>
          <w:szCs w:val="28"/>
        </w:rPr>
        <w:t>ООО «Новосибирскоблгаз» является региональной газораспределительной организацией по Новосибирской области</w:t>
      </w:r>
      <w:r w:rsidR="008F0DE7">
        <w:rPr>
          <w:rFonts w:ascii="Times New Roman" w:eastAsia="Times New Roman" w:hAnsi="Times New Roman" w:cs="Times New Roman"/>
          <w:sz w:val="28"/>
          <w:szCs w:val="28"/>
        </w:rPr>
        <w:t>,</w:t>
      </w:r>
      <w:r w:rsidRPr="00CC4CC2">
        <w:rPr>
          <w:rFonts w:ascii="Times New Roman" w:eastAsia="Times New Roman" w:hAnsi="Times New Roman" w:cs="Times New Roman"/>
          <w:sz w:val="28"/>
          <w:szCs w:val="28"/>
        </w:rPr>
        <w:t xml:space="preserve"> уполномоченной реализовывать сжиженный углеводородный газ для бытовых нужд населения.</w:t>
      </w:r>
    </w:p>
    <w:p w14:paraId="7184C420" w14:textId="77777777" w:rsidR="003F4CFF" w:rsidRPr="00CC4CC2" w:rsidRDefault="003F4CFF" w:rsidP="003F4CFF">
      <w:pPr>
        <w:shd w:val="clear" w:color="auto" w:fill="FFFFFF" w:themeFill="background1"/>
        <w:adjustRightInd w:val="0"/>
        <w:ind w:firstLine="567"/>
        <w:jc w:val="both"/>
        <w:rPr>
          <w:rFonts w:ascii="Times New Roman" w:eastAsia="Times New Roman" w:hAnsi="Times New Roman" w:cs="Times New Roman"/>
          <w:sz w:val="28"/>
          <w:szCs w:val="28"/>
        </w:rPr>
      </w:pPr>
      <w:r w:rsidRPr="00CC4CC2">
        <w:rPr>
          <w:rFonts w:ascii="Times New Roman" w:eastAsia="Times New Roman" w:hAnsi="Times New Roman" w:cs="Times New Roman"/>
          <w:sz w:val="28"/>
          <w:szCs w:val="28"/>
        </w:rPr>
        <w:t>Для осуществления своей деятельности ООО «Новосибирскоблгаз» имеет аварийно-диспетчерские и ремонтно-эксплуатационные участки, 2 газонаполнительные станции в г. Новосибирске и г. Карасуке, 1 газонаполнительный пункт в г. Татарске, специализированный транспорт для перевозки сжиженного углеводородного газа в автоцистернах и баллонах, оборудованный в соответствии с требованиями безопасности. На газонаполнительных станциях осуществляется полный комплекс работ по техническому обслуживанию и ремонту баллонов.</w:t>
      </w:r>
    </w:p>
    <w:p w14:paraId="0D64F44B" w14:textId="77777777" w:rsidR="003F4CFF" w:rsidRPr="00CC4CC2" w:rsidRDefault="003F4CFF" w:rsidP="003F4CFF">
      <w:pPr>
        <w:shd w:val="clear" w:color="auto" w:fill="FFFFFF" w:themeFill="background1"/>
        <w:ind w:firstLine="567"/>
        <w:jc w:val="both"/>
        <w:rPr>
          <w:rFonts w:ascii="Times New Roman" w:hAnsi="Times New Roman" w:cs="Times New Roman"/>
          <w:sz w:val="28"/>
          <w:szCs w:val="28"/>
        </w:rPr>
      </w:pPr>
      <w:r w:rsidRPr="00CC4CC2">
        <w:rPr>
          <w:rFonts w:ascii="Times New Roman" w:hAnsi="Times New Roman" w:cs="Times New Roman"/>
          <w:sz w:val="28"/>
          <w:szCs w:val="28"/>
        </w:rPr>
        <w:t xml:space="preserve">Ожидаемым результатом по исполнению мероприятия по содействию развитию конкуренции «Ежегодный анализ данных о количестве квартир (домов), потребляющих сжиженный газ газораспределительной организацией, уполномоченной на поставку сжиженного газа» является – формирование данных по абонентам-потребителям сжиженного газа. </w:t>
      </w:r>
    </w:p>
    <w:p w14:paraId="74FC9937" w14:textId="77777777" w:rsidR="003F4CFF" w:rsidRPr="00CC4CC2" w:rsidRDefault="003F4CFF" w:rsidP="003F4CFF">
      <w:pPr>
        <w:shd w:val="clear" w:color="auto" w:fill="FFFFFF" w:themeFill="background1"/>
        <w:adjustRightInd w:val="0"/>
        <w:ind w:firstLine="567"/>
        <w:jc w:val="both"/>
        <w:rPr>
          <w:rFonts w:ascii="Times New Roman" w:eastAsia="Times New Roman" w:hAnsi="Times New Roman" w:cs="Times New Roman"/>
          <w:sz w:val="28"/>
          <w:szCs w:val="28"/>
        </w:rPr>
      </w:pPr>
      <w:r w:rsidRPr="00CC4CC2">
        <w:rPr>
          <w:rFonts w:ascii="Times New Roman" w:hAnsi="Times New Roman" w:cs="Times New Roman"/>
          <w:sz w:val="28"/>
          <w:szCs w:val="28"/>
        </w:rPr>
        <w:t>По информации ООО «Новосибирскоблгаз» к</w:t>
      </w:r>
      <w:r w:rsidRPr="00CC4CC2">
        <w:rPr>
          <w:rFonts w:ascii="Times New Roman" w:eastAsia="Times New Roman" w:hAnsi="Times New Roman" w:cs="Times New Roman"/>
          <w:sz w:val="28"/>
          <w:szCs w:val="28"/>
        </w:rPr>
        <w:t xml:space="preserve">оличество квартир (домов), потребляющих сжиженный газ, в 2019 году составило </w:t>
      </w:r>
      <w:r w:rsidRPr="00CC4CC2">
        <w:rPr>
          <w:rFonts w:ascii="Times New Roman" w:hAnsi="Times New Roman" w:cs="Times New Roman"/>
          <w:sz w:val="28"/>
          <w:szCs w:val="28"/>
        </w:rPr>
        <w:t>105</w:t>
      </w:r>
      <w:r w:rsidRPr="00901F6F">
        <w:rPr>
          <w:rFonts w:ascii="Times New Roman" w:hAnsi="Times New Roman" w:cs="Times New Roman"/>
          <w:sz w:val="28"/>
          <w:szCs w:val="28"/>
        </w:rPr>
        <w:t> </w:t>
      </w:r>
      <w:r w:rsidRPr="00CC4CC2">
        <w:rPr>
          <w:rFonts w:ascii="Times New Roman" w:hAnsi="Times New Roman" w:cs="Times New Roman"/>
          <w:sz w:val="28"/>
          <w:szCs w:val="28"/>
        </w:rPr>
        <w:t>026</w:t>
      </w:r>
      <w:r w:rsidRPr="00901F6F">
        <w:rPr>
          <w:rFonts w:ascii="Times New Roman" w:hAnsi="Times New Roman" w:cs="Times New Roman"/>
          <w:sz w:val="28"/>
          <w:szCs w:val="28"/>
        </w:rPr>
        <w:t xml:space="preserve"> ед.</w:t>
      </w:r>
      <w:r w:rsidRPr="00CC4CC2">
        <w:rPr>
          <w:rFonts w:ascii="Times New Roman" w:eastAsia="Times New Roman" w:hAnsi="Times New Roman" w:cs="Times New Roman"/>
          <w:sz w:val="28"/>
          <w:szCs w:val="28"/>
        </w:rPr>
        <w:t xml:space="preserve">, </w:t>
      </w:r>
      <w:r w:rsidRPr="00901F6F">
        <w:rPr>
          <w:rFonts w:ascii="Times New Roman" w:eastAsia="Times New Roman" w:hAnsi="Times New Roman" w:cs="Times New Roman"/>
          <w:sz w:val="28"/>
          <w:szCs w:val="28"/>
        </w:rPr>
        <w:t xml:space="preserve">в </w:t>
      </w:r>
      <w:r w:rsidRPr="00CC4CC2">
        <w:rPr>
          <w:rFonts w:ascii="Times New Roman" w:eastAsia="Times New Roman" w:hAnsi="Times New Roman" w:cs="Times New Roman"/>
          <w:sz w:val="28"/>
          <w:szCs w:val="28"/>
        </w:rPr>
        <w:t>2018 году – 109</w:t>
      </w:r>
      <w:r>
        <w:rPr>
          <w:rFonts w:ascii="Times New Roman" w:eastAsia="Times New Roman" w:hAnsi="Times New Roman" w:cs="Times New Roman"/>
          <w:sz w:val="28"/>
          <w:szCs w:val="28"/>
        </w:rPr>
        <w:t> </w:t>
      </w:r>
      <w:r w:rsidRPr="00CC4CC2">
        <w:rPr>
          <w:rFonts w:ascii="Times New Roman" w:eastAsia="Times New Roman" w:hAnsi="Times New Roman" w:cs="Times New Roman"/>
          <w:sz w:val="28"/>
          <w:szCs w:val="28"/>
        </w:rPr>
        <w:t>519</w:t>
      </w:r>
      <w:r w:rsidRPr="00901F6F">
        <w:rPr>
          <w:rFonts w:ascii="Times New Roman" w:eastAsia="Times New Roman" w:hAnsi="Times New Roman" w:cs="Times New Roman"/>
          <w:sz w:val="28"/>
          <w:szCs w:val="28"/>
        </w:rPr>
        <w:t xml:space="preserve">, </w:t>
      </w:r>
      <w:r w:rsidRPr="00CC4CC2">
        <w:rPr>
          <w:rFonts w:ascii="Times New Roman" w:eastAsia="Times New Roman" w:hAnsi="Times New Roman" w:cs="Times New Roman"/>
          <w:sz w:val="28"/>
          <w:szCs w:val="28"/>
        </w:rPr>
        <w:t xml:space="preserve">в 2017 году </w:t>
      </w:r>
      <w:r w:rsidRPr="00901F6F">
        <w:rPr>
          <w:rFonts w:ascii="Times New Roman" w:eastAsia="Times New Roman" w:hAnsi="Times New Roman" w:cs="Times New Roman"/>
          <w:sz w:val="28"/>
          <w:szCs w:val="28"/>
        </w:rPr>
        <w:t>–</w:t>
      </w:r>
      <w:r w:rsidRPr="00CC4CC2">
        <w:rPr>
          <w:rFonts w:ascii="Times New Roman" w:eastAsia="Times New Roman" w:hAnsi="Times New Roman" w:cs="Times New Roman"/>
          <w:sz w:val="28"/>
          <w:szCs w:val="28"/>
        </w:rPr>
        <w:t xml:space="preserve"> 204</w:t>
      </w:r>
      <w:r>
        <w:rPr>
          <w:rFonts w:ascii="Times New Roman" w:eastAsia="Times New Roman" w:hAnsi="Times New Roman" w:cs="Times New Roman"/>
          <w:sz w:val="28"/>
          <w:szCs w:val="28"/>
        </w:rPr>
        <w:t> </w:t>
      </w:r>
      <w:r w:rsidRPr="00CC4CC2">
        <w:rPr>
          <w:rFonts w:ascii="Times New Roman" w:eastAsia="Times New Roman" w:hAnsi="Times New Roman" w:cs="Times New Roman"/>
          <w:sz w:val="28"/>
          <w:szCs w:val="28"/>
        </w:rPr>
        <w:t>595</w:t>
      </w:r>
      <w:r w:rsidRPr="00901F6F">
        <w:rPr>
          <w:rFonts w:ascii="Times New Roman" w:eastAsia="Times New Roman" w:hAnsi="Times New Roman" w:cs="Times New Roman"/>
          <w:sz w:val="28"/>
          <w:szCs w:val="28"/>
        </w:rPr>
        <w:t>.</w:t>
      </w:r>
    </w:p>
    <w:p w14:paraId="198EC71F" w14:textId="77777777" w:rsidR="003F4CFF" w:rsidRPr="00CC4CC2" w:rsidRDefault="003F4CFF" w:rsidP="003F4CFF">
      <w:pPr>
        <w:shd w:val="clear" w:color="auto" w:fill="FFFFFF" w:themeFill="background1"/>
        <w:tabs>
          <w:tab w:val="left" w:pos="1418"/>
          <w:tab w:val="left" w:pos="1985"/>
        </w:tabs>
        <w:ind w:firstLine="567"/>
        <w:jc w:val="both"/>
        <w:rPr>
          <w:rFonts w:ascii="Times New Roman" w:hAnsi="Times New Roman" w:cs="Times New Roman"/>
          <w:sz w:val="28"/>
          <w:szCs w:val="28"/>
        </w:rPr>
      </w:pPr>
      <w:r w:rsidRPr="00CC4CC2">
        <w:rPr>
          <w:rFonts w:ascii="Times New Roman" w:hAnsi="Times New Roman" w:cs="Times New Roman"/>
          <w:sz w:val="28"/>
          <w:szCs w:val="28"/>
        </w:rPr>
        <w:t>Снижение количества потребителей сжиженного газа произошло в связи с нестабильными поставками сжиженного газа от компаний производителей, высокой биржевой стоимости сжиженного газа, с заправкой баллонов газа абонентами на АГЗС.</w:t>
      </w:r>
    </w:p>
    <w:p w14:paraId="1579B8B8" w14:textId="77777777" w:rsidR="003F4CFF" w:rsidRPr="00EC5135" w:rsidRDefault="003F4CFF" w:rsidP="003F4CFF">
      <w:pPr>
        <w:ind w:firstLine="567"/>
        <w:jc w:val="both"/>
        <w:rPr>
          <w:rFonts w:ascii="Times New Roman" w:hAnsi="Times New Roman" w:cs="Times New Roman"/>
          <w:sz w:val="28"/>
          <w:szCs w:val="28"/>
        </w:rPr>
      </w:pPr>
      <w:r w:rsidRPr="00584B4C">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sidRPr="00584B4C">
        <w:rPr>
          <w:rFonts w:ascii="Times New Roman" w:eastAsia="Times New Roman" w:hAnsi="Times New Roman" w:cs="Times New Roman"/>
          <w:sz w:val="28"/>
          <w:szCs w:val="28"/>
        </w:rPr>
        <w:t xml:space="preserve"> за 2019 год</w:t>
      </w:r>
      <w:r>
        <w:rPr>
          <w:rFonts w:ascii="Times New Roman" w:hAnsi="Times New Roman" w:cs="Times New Roman"/>
          <w:sz w:val="28"/>
          <w:szCs w:val="28"/>
        </w:rPr>
        <w:t xml:space="preserve"> б</w:t>
      </w:r>
      <w:r w:rsidRPr="00EC5135">
        <w:rPr>
          <w:rFonts w:ascii="Times New Roman" w:hAnsi="Times New Roman" w:cs="Times New Roman"/>
          <w:sz w:val="28"/>
          <w:szCs w:val="28"/>
        </w:rPr>
        <w:t>олее половины опрошенных субъектов предпринимательства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умеренную конкуренцию (59%), доля низких оценок уровня конкуренции на данном рынке (слабая конкуренция либо нет конкуренции) – 15%. Четверть субъектов предпринимательства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высокую конкуренцию (26%). </w:t>
      </w:r>
    </w:p>
    <w:p w14:paraId="79B0371E"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При этом никто из опрошенных субъектов предпринимательства не </w:t>
      </w:r>
      <w:r>
        <w:rPr>
          <w:rFonts w:ascii="Times New Roman" w:hAnsi="Times New Roman" w:cs="Times New Roman"/>
          <w:sz w:val="28"/>
          <w:szCs w:val="28"/>
        </w:rPr>
        <w:t>указал на наличие</w:t>
      </w:r>
      <w:r w:rsidRPr="00EC5135">
        <w:rPr>
          <w:rFonts w:ascii="Times New Roman" w:hAnsi="Times New Roman" w:cs="Times New Roman"/>
          <w:sz w:val="28"/>
          <w:szCs w:val="28"/>
        </w:rPr>
        <w:t xml:space="preserve"> непреодолимы</w:t>
      </w:r>
      <w:r>
        <w:rPr>
          <w:rFonts w:ascii="Times New Roman" w:hAnsi="Times New Roman" w:cs="Times New Roman"/>
          <w:sz w:val="28"/>
          <w:szCs w:val="28"/>
        </w:rPr>
        <w:t>х административных барьеров</w:t>
      </w:r>
      <w:r w:rsidRPr="00EC5135">
        <w:rPr>
          <w:rFonts w:ascii="Times New Roman" w:hAnsi="Times New Roman" w:cs="Times New Roman"/>
          <w:sz w:val="28"/>
          <w:szCs w:val="28"/>
        </w:rPr>
        <w:t xml:space="preserve">. В оценке деятельности органов власти преобладает мнение, что органы власти помогают бизнесу своими действиями (48%). </w:t>
      </w:r>
    </w:p>
    <w:p w14:paraId="783F76A7" w14:textId="77777777" w:rsidR="003F4CFF" w:rsidRPr="002C218F" w:rsidRDefault="003F4CFF" w:rsidP="003F4CFF">
      <w:pPr>
        <w:ind w:firstLine="567"/>
        <w:jc w:val="both"/>
        <w:rPr>
          <w:rFonts w:ascii="Times New Roman" w:eastAsia="Times New Roman" w:hAnsi="Times New Roman" w:cs="Times New Roman"/>
          <w:sz w:val="28"/>
          <w:szCs w:val="28"/>
        </w:rPr>
      </w:pPr>
      <w:r w:rsidRPr="002C218F">
        <w:rPr>
          <w:rFonts w:ascii="Times New Roman" w:eastAsia="Times New Roman" w:hAnsi="Times New Roman" w:cs="Times New Roman"/>
          <w:sz w:val="28"/>
          <w:szCs w:val="28"/>
          <w:shd w:val="clear" w:color="auto" w:fill="FFFFFF"/>
        </w:rPr>
        <w:lastRenderedPageBreak/>
        <w:t>По мнению 56% потребителей на этом рынке достаточное количество организаций, нехватку организаций отмечают 42%, при этом не н</w:t>
      </w:r>
      <w:r w:rsidRPr="002C218F">
        <w:rPr>
          <w:rFonts w:ascii="Times New Roman" w:eastAsia="Times New Roman" w:hAnsi="Times New Roman" w:cs="Times New Roman"/>
          <w:sz w:val="28"/>
          <w:szCs w:val="28"/>
        </w:rPr>
        <w:t xml:space="preserve">аблюдается увеличения числа организаций в течение последних трех лет (отмечают только 13% потребителей). Удовлетворенность потребителей выбором услуг, их качеством и стоимостью находится на среднем уровне (67%, 70% и 59% соответственно). Рост уровня цен за последние 3 года отмечают 68% потребителей. </w:t>
      </w:r>
      <w:r>
        <w:rPr>
          <w:rFonts w:ascii="Times New Roman" w:eastAsia="Times New Roman" w:hAnsi="Times New Roman" w:cs="Times New Roman"/>
          <w:sz w:val="28"/>
          <w:szCs w:val="28"/>
        </w:rPr>
        <w:t>З</w:t>
      </w:r>
      <w:r w:rsidRPr="002C218F">
        <w:rPr>
          <w:rFonts w:ascii="Times New Roman" w:eastAsia="Times New Roman" w:hAnsi="Times New Roman" w:cs="Times New Roman"/>
          <w:sz w:val="28"/>
          <w:szCs w:val="28"/>
        </w:rPr>
        <w:t>а последние 3 года потребители не отмечают положительной динамики ни по количеству организаций и возможности выбора услуг (повышение отмечают только 13–14% потребителей), ни по качеству услуг (повышение качества отмечают 12% потребителей, снижение – 20%)</w:t>
      </w:r>
      <w:r w:rsidRPr="002C218F">
        <w:rPr>
          <w:rFonts w:ascii="Times New Roman" w:eastAsia="Times New Roman" w:hAnsi="Times New Roman" w:cs="Times New Roman"/>
          <w:sz w:val="28"/>
          <w:szCs w:val="28"/>
          <w:shd w:val="clear" w:color="auto" w:fill="FFFFFF"/>
        </w:rPr>
        <w:t>.</w:t>
      </w:r>
    </w:p>
    <w:p w14:paraId="35B7CF24"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купли-продажи электрической энергии (мощности) на розничном рынке электрической энергии (мощности)</w:t>
      </w:r>
    </w:p>
    <w:p w14:paraId="67927643" w14:textId="77777777" w:rsidR="003F4CFF" w:rsidRPr="009D48D7" w:rsidRDefault="003F4CFF" w:rsidP="0095528A">
      <w:pPr>
        <w:shd w:val="clear" w:color="auto" w:fill="FFFFFF" w:themeFill="background1"/>
        <w:ind w:firstLine="567"/>
        <w:jc w:val="both"/>
        <w:rPr>
          <w:rFonts w:ascii="Times New Roman" w:eastAsiaTheme="minorHAnsi" w:hAnsi="Times New Roman" w:cs="Times New Roman"/>
          <w:sz w:val="28"/>
          <w:szCs w:val="28"/>
        </w:rPr>
      </w:pPr>
      <w:r w:rsidRPr="009D48D7">
        <w:rPr>
          <w:rFonts w:ascii="Times New Roman" w:hAnsi="Times New Roman" w:cs="Times New Roman"/>
          <w:sz w:val="28"/>
          <w:szCs w:val="28"/>
        </w:rPr>
        <w:t>Электроэнергетика относится к важнейшим инфраструктурным отраслям экономики. Ее устойчивое и эффективное функционирование является необходимым условием экономического роста.</w:t>
      </w:r>
    </w:p>
    <w:p w14:paraId="78CFCE8A" w14:textId="77777777" w:rsidR="003F4CFF" w:rsidRPr="009D48D7" w:rsidRDefault="003F4CFF">
      <w:pPr>
        <w:shd w:val="clear" w:color="auto" w:fill="FFFFFF" w:themeFill="background1"/>
        <w:autoSpaceDE w:val="0"/>
        <w:autoSpaceDN w:val="0"/>
        <w:adjustRightInd w:val="0"/>
        <w:ind w:firstLine="567"/>
        <w:jc w:val="both"/>
        <w:rPr>
          <w:rFonts w:ascii="Times New Roman" w:hAnsi="Times New Roman" w:cs="Times New Roman"/>
          <w:sz w:val="28"/>
          <w:szCs w:val="28"/>
        </w:rPr>
      </w:pPr>
      <w:r w:rsidRPr="009D48D7">
        <w:rPr>
          <w:rFonts w:ascii="Times New Roman" w:hAnsi="Times New Roman" w:cs="Times New Roman"/>
          <w:sz w:val="28"/>
          <w:szCs w:val="28"/>
        </w:rPr>
        <w:t>Правовые основы функционирования розничных рынков электрической энергии установлены Основными положениями функционирования розничных рынков электрической энергии, утвержденными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w:t>
      </w:r>
    </w:p>
    <w:p w14:paraId="57337B0B" w14:textId="77777777" w:rsidR="003F4CFF" w:rsidRPr="009D48D7" w:rsidRDefault="003F4CFF">
      <w:pPr>
        <w:shd w:val="clear" w:color="auto" w:fill="FFFFFF" w:themeFill="background1"/>
        <w:autoSpaceDE w:val="0"/>
        <w:autoSpaceDN w:val="0"/>
        <w:adjustRightInd w:val="0"/>
        <w:ind w:firstLine="567"/>
        <w:jc w:val="both"/>
        <w:rPr>
          <w:rFonts w:ascii="Times New Roman" w:hAnsi="Times New Roman" w:cs="Times New Roman"/>
          <w:sz w:val="28"/>
          <w:szCs w:val="28"/>
        </w:rPr>
      </w:pPr>
      <w:r w:rsidRPr="009D48D7">
        <w:rPr>
          <w:rFonts w:ascii="Times New Roman" w:hAnsi="Times New Roman" w:cs="Times New Roman"/>
          <w:sz w:val="28"/>
          <w:szCs w:val="28"/>
        </w:rPr>
        <w:t>В соответствии с Федеральным законом от 26.03.2003 № 35-ФЗ «Об электроэнергетике» электрическая энергия (нерегулируемая составляющая) с 01.01.2011 определяется конъюнктурой оптового рынка электрической энергии (мощности) с учетом существующего спроса и предложения и не подлежит государственному регулированию.</w:t>
      </w:r>
    </w:p>
    <w:p w14:paraId="6D043906" w14:textId="77777777" w:rsidR="003F4CFF" w:rsidRPr="009D48D7" w:rsidRDefault="003F4CFF">
      <w:pPr>
        <w:shd w:val="clear" w:color="auto" w:fill="FFFFFF" w:themeFill="background1"/>
        <w:ind w:firstLine="567"/>
        <w:jc w:val="both"/>
        <w:rPr>
          <w:rFonts w:ascii="Times New Roman" w:hAnsi="Times New Roman" w:cs="Times New Roman"/>
          <w:sz w:val="28"/>
          <w:szCs w:val="28"/>
        </w:rPr>
      </w:pPr>
      <w:r w:rsidRPr="009D48D7">
        <w:rPr>
          <w:rFonts w:ascii="Times New Roman" w:hAnsi="Times New Roman" w:cs="Times New Roman"/>
          <w:sz w:val="28"/>
          <w:szCs w:val="28"/>
        </w:rPr>
        <w:t xml:space="preserve">В Новосибирской области в сфере розничной купли-продажи электрической энергии (мощности) осуществляют деятельность АО «Новосибирскэнергосбыт» и ООО «Генерация Сибири». </w:t>
      </w:r>
    </w:p>
    <w:p w14:paraId="560C87D3" w14:textId="77777777" w:rsidR="003F4CFF" w:rsidRPr="009D48D7" w:rsidRDefault="003F4CFF">
      <w:pPr>
        <w:shd w:val="clear" w:color="auto" w:fill="FFFFFF" w:themeFill="background1"/>
        <w:ind w:firstLine="567"/>
        <w:jc w:val="both"/>
        <w:rPr>
          <w:rFonts w:ascii="Times New Roman" w:hAnsi="Times New Roman" w:cs="Times New Roman"/>
          <w:sz w:val="28"/>
          <w:szCs w:val="28"/>
        </w:rPr>
      </w:pPr>
      <w:r w:rsidRPr="009D48D7">
        <w:rPr>
          <w:rFonts w:ascii="Times New Roman" w:hAnsi="Times New Roman" w:cs="Times New Roman"/>
          <w:sz w:val="28"/>
          <w:szCs w:val="28"/>
        </w:rPr>
        <w:t>АО «Новосибирскэнергобыт» является единственным гарантирующим поставщиком электрический энергии на всей территории Новосибирской области.</w:t>
      </w:r>
    </w:p>
    <w:p w14:paraId="39C3922E" w14:textId="77777777" w:rsidR="003F4CFF" w:rsidRPr="009D48D7" w:rsidRDefault="003F4CFF">
      <w:pPr>
        <w:shd w:val="clear" w:color="auto" w:fill="FFFFFF" w:themeFill="background1"/>
        <w:autoSpaceDE w:val="0"/>
        <w:autoSpaceDN w:val="0"/>
        <w:adjustRightInd w:val="0"/>
        <w:ind w:firstLine="567"/>
        <w:jc w:val="both"/>
        <w:rPr>
          <w:rFonts w:ascii="Times New Roman" w:hAnsi="Times New Roman" w:cs="Times New Roman"/>
          <w:sz w:val="28"/>
          <w:szCs w:val="28"/>
        </w:rPr>
      </w:pPr>
      <w:r w:rsidRPr="009D48D7">
        <w:rPr>
          <w:rFonts w:ascii="Times New Roman" w:hAnsi="Times New Roman" w:cs="Times New Roman"/>
          <w:sz w:val="28"/>
          <w:szCs w:val="28"/>
        </w:rPr>
        <w:t>Правила деятельности гарантирующих поставщиков установлены Основными положениями.</w:t>
      </w:r>
    </w:p>
    <w:p w14:paraId="1ECBB11A" w14:textId="77777777" w:rsidR="003F4CFF" w:rsidRPr="009D48D7" w:rsidRDefault="003F4CFF">
      <w:pPr>
        <w:shd w:val="clear" w:color="auto" w:fill="FFFFFF" w:themeFill="background1"/>
        <w:ind w:firstLine="567"/>
        <w:jc w:val="both"/>
        <w:rPr>
          <w:rFonts w:ascii="Times New Roman" w:hAnsi="Times New Roman" w:cs="Times New Roman"/>
          <w:sz w:val="28"/>
          <w:szCs w:val="28"/>
        </w:rPr>
      </w:pPr>
      <w:r w:rsidRPr="009D48D7">
        <w:rPr>
          <w:rFonts w:ascii="Times New Roman" w:hAnsi="Times New Roman" w:cs="Times New Roman"/>
          <w:sz w:val="28"/>
          <w:szCs w:val="28"/>
        </w:rPr>
        <w:t>Статус гарантирующего поставщика утверждает департамент по тарифам Новосибирской области.</w:t>
      </w:r>
    </w:p>
    <w:p w14:paraId="0755E361" w14:textId="77777777" w:rsidR="003F4CFF" w:rsidRPr="009D48D7" w:rsidRDefault="003F4CFF">
      <w:pPr>
        <w:shd w:val="clear" w:color="auto" w:fill="FFFFFF" w:themeFill="background1"/>
        <w:ind w:firstLine="567"/>
        <w:jc w:val="both"/>
        <w:rPr>
          <w:rFonts w:ascii="Times New Roman" w:hAnsi="Times New Roman" w:cs="Times New Roman"/>
          <w:sz w:val="28"/>
          <w:szCs w:val="28"/>
        </w:rPr>
      </w:pPr>
      <w:r w:rsidRPr="009D48D7">
        <w:rPr>
          <w:rFonts w:ascii="Times New Roman" w:hAnsi="Times New Roman" w:cs="Times New Roman"/>
          <w:sz w:val="28"/>
          <w:szCs w:val="28"/>
        </w:rPr>
        <w:t>ООО «Генерация Сибири» осуществляет куплю-продажу электрической энергии только для своих потребителей (г. Новосибирск, микрорайон «Березовый»). Доля ООО «Генерация Сибири» в товарном рынке составляет 0,2%.</w:t>
      </w:r>
    </w:p>
    <w:p w14:paraId="0500A4CF" w14:textId="77777777" w:rsidR="003F4CFF" w:rsidRPr="009D48D7" w:rsidRDefault="003F4CFF">
      <w:pPr>
        <w:shd w:val="clear" w:color="auto" w:fill="FFFFFF" w:themeFill="background1"/>
        <w:ind w:firstLine="567"/>
        <w:jc w:val="both"/>
        <w:rPr>
          <w:rFonts w:ascii="Times New Roman" w:hAnsi="Times New Roman" w:cs="Times New Roman"/>
          <w:b/>
          <w:sz w:val="28"/>
          <w:szCs w:val="28"/>
        </w:rPr>
      </w:pPr>
      <w:r w:rsidRPr="009D48D7">
        <w:rPr>
          <w:rFonts w:ascii="Times New Roman" w:hAnsi="Times New Roman" w:cs="Times New Roman"/>
          <w:sz w:val="28"/>
          <w:szCs w:val="28"/>
        </w:rPr>
        <w:t>Таким образом, розничный рынок электрической энергии (мощности) в Новосибирской области характеризуется высоким уровнем концентрации и неразвитой конкуренцией.</w:t>
      </w:r>
    </w:p>
    <w:p w14:paraId="04BF3EE4" w14:textId="77777777" w:rsidR="003F4CFF" w:rsidRPr="009D48D7" w:rsidRDefault="003F4CFF">
      <w:pPr>
        <w:shd w:val="clear" w:color="auto" w:fill="FFFFFF" w:themeFill="background1"/>
        <w:adjustRightInd w:val="0"/>
        <w:ind w:firstLine="567"/>
        <w:jc w:val="both"/>
        <w:rPr>
          <w:rFonts w:ascii="Times New Roman" w:hAnsi="Times New Roman" w:cs="Times New Roman"/>
          <w:sz w:val="28"/>
          <w:szCs w:val="28"/>
        </w:rPr>
      </w:pPr>
      <w:r w:rsidRPr="009D48D7">
        <w:rPr>
          <w:rFonts w:ascii="Times New Roman" w:hAnsi="Times New Roman" w:cs="Times New Roman"/>
          <w:sz w:val="28"/>
          <w:szCs w:val="28"/>
        </w:rPr>
        <w:t xml:space="preserve">В течение </w:t>
      </w:r>
      <w:r w:rsidR="008F0DE7">
        <w:rPr>
          <w:rFonts w:ascii="Times New Roman" w:hAnsi="Times New Roman" w:cs="Times New Roman"/>
          <w:sz w:val="28"/>
          <w:szCs w:val="28"/>
        </w:rPr>
        <w:t xml:space="preserve">отчетного </w:t>
      </w:r>
      <w:r w:rsidRPr="009D48D7">
        <w:rPr>
          <w:rFonts w:ascii="Times New Roman" w:hAnsi="Times New Roman" w:cs="Times New Roman"/>
          <w:sz w:val="28"/>
          <w:szCs w:val="28"/>
        </w:rPr>
        <w:t xml:space="preserve">года проводился ежегодный мониторинг состояния конкуренции на рынке розничной купли-продажи электроэнергии (мощности) в </w:t>
      </w:r>
      <w:r w:rsidRPr="009D48D7">
        <w:rPr>
          <w:rFonts w:ascii="Times New Roman" w:hAnsi="Times New Roman" w:cs="Times New Roman"/>
          <w:sz w:val="28"/>
          <w:szCs w:val="28"/>
        </w:rPr>
        <w:lastRenderedPageBreak/>
        <w:t xml:space="preserve">ценовых и неценовых зонах. Результатом мероприятия явилось сохранение </w:t>
      </w:r>
      <w:r w:rsidRPr="00901F6F">
        <w:rPr>
          <w:rFonts w:ascii="Times New Roman" w:hAnsi="Times New Roman" w:cs="Times New Roman"/>
          <w:sz w:val="28"/>
          <w:szCs w:val="28"/>
        </w:rPr>
        <w:t xml:space="preserve">100% </w:t>
      </w:r>
      <w:r w:rsidRPr="009D48D7">
        <w:rPr>
          <w:rFonts w:ascii="Times New Roman" w:hAnsi="Times New Roman" w:cs="Times New Roman"/>
          <w:sz w:val="28"/>
          <w:szCs w:val="28"/>
        </w:rPr>
        <w:t>уровня присутствия организаций частной формы собственности на рынке розничной купли-продажи электроэнергии (мощности) в ценовых и неценовых зонах.</w:t>
      </w:r>
    </w:p>
    <w:p w14:paraId="37DC7251" w14:textId="77777777" w:rsidR="003F4CFF" w:rsidRPr="00EC5135" w:rsidRDefault="003F4CFF" w:rsidP="003F4CFF">
      <w:pPr>
        <w:ind w:firstLine="567"/>
        <w:jc w:val="both"/>
        <w:rPr>
          <w:rFonts w:ascii="Times New Roman" w:hAnsi="Times New Roman" w:cs="Times New Roman"/>
          <w:sz w:val="28"/>
          <w:szCs w:val="28"/>
        </w:rPr>
      </w:pPr>
      <w:r w:rsidRPr="00F674B5">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sidRPr="00F674B5">
        <w:rPr>
          <w:rFonts w:ascii="Times New Roman" w:eastAsia="Times New Roman" w:hAnsi="Times New Roman" w:cs="Times New Roman"/>
          <w:sz w:val="28"/>
          <w:szCs w:val="28"/>
        </w:rPr>
        <w:t xml:space="preserve"> за 2019 год</w:t>
      </w:r>
      <w:r>
        <w:rPr>
          <w:rFonts w:ascii="Times New Roman" w:hAnsi="Times New Roman" w:cs="Times New Roman"/>
          <w:sz w:val="28"/>
          <w:szCs w:val="28"/>
        </w:rPr>
        <w:t xml:space="preserve"> б</w:t>
      </w:r>
      <w:r w:rsidRPr="00EC5135">
        <w:rPr>
          <w:rFonts w:ascii="Times New Roman" w:hAnsi="Times New Roman" w:cs="Times New Roman"/>
          <w:sz w:val="28"/>
          <w:szCs w:val="28"/>
        </w:rPr>
        <w:t>олее трети опрошенных субъектов предпринимательства отме</w:t>
      </w:r>
      <w:r>
        <w:rPr>
          <w:rFonts w:ascii="Times New Roman" w:hAnsi="Times New Roman" w:cs="Times New Roman"/>
          <w:sz w:val="28"/>
          <w:szCs w:val="28"/>
        </w:rPr>
        <w:t xml:space="preserve">тили высокую конкуренцию (36%), при этом </w:t>
      </w:r>
      <w:r w:rsidRPr="00EC5135">
        <w:rPr>
          <w:rFonts w:ascii="Times New Roman" w:hAnsi="Times New Roman" w:cs="Times New Roman"/>
          <w:sz w:val="28"/>
          <w:szCs w:val="28"/>
        </w:rPr>
        <w:t xml:space="preserve">такая же доля </w:t>
      </w:r>
      <w:r>
        <w:rPr>
          <w:rFonts w:ascii="Times New Roman" w:hAnsi="Times New Roman" w:cs="Times New Roman"/>
          <w:sz w:val="28"/>
          <w:szCs w:val="28"/>
        </w:rPr>
        <w:t xml:space="preserve">респондентов указала на </w:t>
      </w:r>
      <w:r w:rsidRPr="00EC5135">
        <w:rPr>
          <w:rFonts w:ascii="Times New Roman" w:hAnsi="Times New Roman" w:cs="Times New Roman"/>
          <w:sz w:val="28"/>
          <w:szCs w:val="28"/>
        </w:rPr>
        <w:t xml:space="preserve">слабую конкуренцию либо ее отсутствие (36%). </w:t>
      </w:r>
    </w:p>
    <w:p w14:paraId="1F1A5DD4"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w:t>
      </w:r>
      <w:r>
        <w:rPr>
          <w:rFonts w:ascii="Times New Roman" w:hAnsi="Times New Roman" w:cs="Times New Roman"/>
          <w:sz w:val="28"/>
          <w:szCs w:val="28"/>
        </w:rPr>
        <w:t>имых административных барьеров отметили</w:t>
      </w:r>
      <w:r w:rsidRPr="00EC5135">
        <w:rPr>
          <w:rFonts w:ascii="Times New Roman" w:hAnsi="Times New Roman" w:cs="Times New Roman"/>
          <w:sz w:val="28"/>
          <w:szCs w:val="28"/>
        </w:rPr>
        <w:t xml:space="preserve"> 10% субъектов предпринимательства. Основными барьерами для ведения текущей деятельности и от</w:t>
      </w:r>
      <w:r>
        <w:rPr>
          <w:rFonts w:ascii="Times New Roman" w:hAnsi="Times New Roman" w:cs="Times New Roman"/>
          <w:sz w:val="28"/>
          <w:szCs w:val="28"/>
        </w:rPr>
        <w:t xml:space="preserve">крытия нового бизнеса являются </w:t>
      </w:r>
      <w:r w:rsidRPr="00EC5135">
        <w:rPr>
          <w:rFonts w:ascii="Times New Roman" w:hAnsi="Times New Roman" w:cs="Times New Roman"/>
          <w:sz w:val="28"/>
          <w:szCs w:val="28"/>
        </w:rPr>
        <w:t>нестабильность законодательства, регулирующего предпринимательскую деятельность (26%) и сложность процедуры получения лицензий, средств государственной поддержки,</w:t>
      </w:r>
      <w:r>
        <w:rPr>
          <w:rFonts w:ascii="Times New Roman" w:hAnsi="Times New Roman" w:cs="Times New Roman"/>
          <w:sz w:val="28"/>
          <w:szCs w:val="28"/>
        </w:rPr>
        <w:t xml:space="preserve"> разрешений, согласований</w:t>
      </w:r>
      <w:r w:rsidRPr="00EC5135">
        <w:rPr>
          <w:rFonts w:ascii="Times New Roman" w:hAnsi="Times New Roman" w:cs="Times New Roman"/>
          <w:sz w:val="28"/>
          <w:szCs w:val="28"/>
        </w:rPr>
        <w:t xml:space="preserve"> (24%). </w:t>
      </w:r>
    </w:p>
    <w:p w14:paraId="518E3DAB" w14:textId="77777777" w:rsidR="003F4CFF" w:rsidRPr="00F674B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В оценке деятельности органов власти преобладает мнение, что органы власти помогают б</w:t>
      </w:r>
      <w:r>
        <w:rPr>
          <w:rFonts w:ascii="Times New Roman" w:hAnsi="Times New Roman" w:cs="Times New Roman"/>
          <w:sz w:val="28"/>
          <w:szCs w:val="28"/>
        </w:rPr>
        <w:t>изнесу своими действиями (40%).</w:t>
      </w:r>
    </w:p>
    <w:p w14:paraId="58E0B70A" w14:textId="77777777" w:rsidR="003F4CFF" w:rsidRPr="00780E31" w:rsidRDefault="003F4CFF" w:rsidP="003F4CFF">
      <w:pPr>
        <w:ind w:firstLine="567"/>
        <w:jc w:val="both"/>
        <w:rPr>
          <w:rFonts w:ascii="Times New Roman" w:eastAsia="Times New Roman" w:hAnsi="Times New Roman" w:cs="Times New Roman"/>
          <w:sz w:val="28"/>
          <w:szCs w:val="28"/>
        </w:rPr>
      </w:pPr>
      <w:r w:rsidRPr="00780E31">
        <w:rPr>
          <w:rFonts w:ascii="Times New Roman" w:hAnsi="Times New Roman" w:cs="Times New Roman"/>
          <w:sz w:val="28"/>
          <w:szCs w:val="28"/>
        </w:rPr>
        <w:t xml:space="preserve">Количество организаций на рынке оценивается как достаточное (так считают 68% потребителей), при этом рост числа организаций за последние 3 года отмечают только 10% потребителей. </w:t>
      </w:r>
      <w:r w:rsidRPr="00780E31">
        <w:rPr>
          <w:rFonts w:ascii="Times New Roman" w:eastAsia="Times New Roman" w:hAnsi="Times New Roman" w:cs="Times New Roman"/>
          <w:sz w:val="28"/>
          <w:szCs w:val="28"/>
        </w:rPr>
        <w:t xml:space="preserve">Удовлетворенность потребителей выбором услуг и их качеством находится на среднем уровне (52% и 69% соответственно), а удовлетворенность ценами – на низком уровне (45%). Рост уровня цен за последние 3 года отмечают 82% потребителей </w:t>
      </w:r>
      <w:r w:rsidRPr="00780E31">
        <w:rPr>
          <w:rFonts w:ascii="Times New Roman" w:hAnsi="Times New Roman" w:cs="Times New Roman"/>
          <w:sz w:val="28"/>
          <w:szCs w:val="28"/>
        </w:rPr>
        <w:t>(эта доля выше, чем на большинстве исследуемых рынков), при этом не наблюдается положительной динамики ни по возможности выбора услуг (отмечают только 10%), ни по качеству услуг (повышение качества отмечают только 11% потребителей).</w:t>
      </w:r>
    </w:p>
    <w:p w14:paraId="3FDAE661"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14:paraId="4BC4F8B8" w14:textId="77777777" w:rsidR="003F4CFF" w:rsidRPr="001157AE" w:rsidRDefault="003F4CFF" w:rsidP="0095528A">
      <w:pPr>
        <w:shd w:val="clear" w:color="auto" w:fill="FFFFFF" w:themeFill="background1"/>
        <w:ind w:firstLine="567"/>
        <w:jc w:val="both"/>
        <w:rPr>
          <w:rFonts w:ascii="Times New Roman" w:eastAsiaTheme="minorHAnsi" w:hAnsi="Times New Roman" w:cs="Times New Roman"/>
          <w:sz w:val="28"/>
          <w:szCs w:val="28"/>
        </w:rPr>
      </w:pPr>
      <w:r w:rsidRPr="001157AE">
        <w:rPr>
          <w:rFonts w:ascii="Times New Roman" w:hAnsi="Times New Roman" w:cs="Times New Roman"/>
          <w:sz w:val="28"/>
          <w:szCs w:val="28"/>
        </w:rPr>
        <w:t>Основные направления развития энергетики Новосибирской области на долгосрочный период определены на основании «Энергетической стратегии России до 2030 года», утвержденной распоряжением Правительства РФ от 13.11.2009 № 1715-р «Об Энергетической стратегии России на период до 2030 года», и Схемы и программы перспективного развития электроэнергетики Новосибирской области на период 2020-2024 годов, утвержденных приказом министерства жилищно-коммунального хозяйства и энергетики Новосибирской области от 26.04.2019 № 84 «Об утверждении схемы и программы перспективного развития электроэнергетики Новосибирской области на период 2020-2024 гг.» (далее – Схема), актуальность которой поддерживается ежегодной корректировкой с учетом меняющихся в регионе электрических и тепловых нагрузок, подключения новых потребителей электрической и тепловой энергии.</w:t>
      </w:r>
    </w:p>
    <w:p w14:paraId="5E8690BF" w14:textId="77777777" w:rsidR="003F4CFF" w:rsidRPr="001157AE" w:rsidRDefault="003F4CFF">
      <w:pPr>
        <w:shd w:val="clear" w:color="auto" w:fill="FFFFFF" w:themeFill="background1"/>
        <w:ind w:firstLine="567"/>
        <w:jc w:val="both"/>
        <w:rPr>
          <w:rFonts w:ascii="Times New Roman" w:hAnsi="Times New Roman" w:cs="Times New Roman"/>
          <w:sz w:val="28"/>
          <w:szCs w:val="28"/>
        </w:rPr>
      </w:pPr>
      <w:r w:rsidRPr="001157AE">
        <w:rPr>
          <w:rFonts w:ascii="Times New Roman" w:hAnsi="Times New Roman" w:cs="Times New Roman"/>
          <w:sz w:val="28"/>
          <w:szCs w:val="28"/>
        </w:rPr>
        <w:t xml:space="preserve">Основное производство электрической энергии на территории Новосибирской области осуществляется крупнейшими организациями, относящимися к сфере естественных монополий, такими как Новосибирский филиал ООО «Сибирская </w:t>
      </w:r>
      <w:r w:rsidRPr="001157AE">
        <w:rPr>
          <w:rFonts w:ascii="Times New Roman" w:hAnsi="Times New Roman" w:cs="Times New Roman"/>
          <w:sz w:val="28"/>
          <w:szCs w:val="28"/>
        </w:rPr>
        <w:lastRenderedPageBreak/>
        <w:t>Генерирующая Компания» (Новосибирские ТЭЦ и Барабинская ТЭЦ), Филиал ПАО «РусГидро» «Новосибирская ГЭС».</w:t>
      </w:r>
    </w:p>
    <w:p w14:paraId="6B6BCA6C" w14:textId="77777777" w:rsidR="003F4CFF" w:rsidRPr="00901F6F" w:rsidRDefault="003F4CFF">
      <w:pPr>
        <w:shd w:val="clear" w:color="auto" w:fill="FFFFFF" w:themeFill="background1"/>
        <w:adjustRightInd w:val="0"/>
        <w:ind w:firstLine="567"/>
        <w:jc w:val="both"/>
        <w:rPr>
          <w:rFonts w:ascii="Times New Roman" w:hAnsi="Times New Roman" w:cs="Times New Roman"/>
          <w:sz w:val="28"/>
          <w:szCs w:val="28"/>
        </w:rPr>
      </w:pPr>
      <w:r w:rsidRPr="001157AE">
        <w:rPr>
          <w:rFonts w:ascii="Times New Roman" w:hAnsi="Times New Roman" w:cs="Times New Roman"/>
          <w:sz w:val="28"/>
          <w:szCs w:val="28"/>
        </w:rPr>
        <w:t xml:space="preserve">Выработка электрической энергии за 2019 год </w:t>
      </w:r>
      <w:r w:rsidRPr="00901F6F">
        <w:rPr>
          <w:rFonts w:ascii="Times New Roman" w:hAnsi="Times New Roman" w:cs="Times New Roman"/>
          <w:sz w:val="28"/>
          <w:szCs w:val="28"/>
        </w:rPr>
        <w:t>составила</w:t>
      </w:r>
      <w:r w:rsidRPr="001157AE">
        <w:rPr>
          <w:rFonts w:ascii="Times New Roman" w:hAnsi="Times New Roman" w:cs="Times New Roman"/>
          <w:sz w:val="28"/>
          <w:szCs w:val="28"/>
        </w:rPr>
        <w:t>: по Новосибирским ТЭЦ и Барабинской ТЭЦ – 11 млрд. кВт</w:t>
      </w:r>
      <w:r w:rsidRPr="00901F6F">
        <w:rPr>
          <w:rFonts w:ascii="Times New Roman" w:hAnsi="Times New Roman" w:cs="Times New Roman"/>
          <w:sz w:val="28"/>
          <w:szCs w:val="28"/>
        </w:rPr>
        <w:t>/</w:t>
      </w:r>
      <w:r w:rsidRPr="001157AE">
        <w:rPr>
          <w:rFonts w:ascii="Times New Roman" w:hAnsi="Times New Roman" w:cs="Times New Roman"/>
          <w:sz w:val="28"/>
          <w:szCs w:val="28"/>
        </w:rPr>
        <w:t>ч, по Новосибирской ГЭС – 2 млрд. кВт</w:t>
      </w:r>
      <w:r w:rsidRPr="00901F6F">
        <w:rPr>
          <w:rFonts w:ascii="Times New Roman" w:hAnsi="Times New Roman" w:cs="Times New Roman"/>
          <w:sz w:val="28"/>
          <w:szCs w:val="28"/>
        </w:rPr>
        <w:t>/</w:t>
      </w:r>
      <w:r w:rsidRPr="001157AE">
        <w:rPr>
          <w:rFonts w:ascii="Times New Roman" w:hAnsi="Times New Roman" w:cs="Times New Roman"/>
          <w:sz w:val="28"/>
          <w:szCs w:val="28"/>
        </w:rPr>
        <w:t xml:space="preserve">ч. </w:t>
      </w:r>
    </w:p>
    <w:p w14:paraId="214185AD" w14:textId="77777777" w:rsidR="003F4CFF" w:rsidRPr="00901F6F" w:rsidRDefault="003F4CFF">
      <w:pPr>
        <w:shd w:val="clear" w:color="auto" w:fill="FFFFFF" w:themeFill="background1"/>
        <w:adjustRightInd w:val="0"/>
        <w:ind w:firstLine="567"/>
        <w:jc w:val="both"/>
        <w:rPr>
          <w:rFonts w:ascii="Times New Roman" w:hAnsi="Times New Roman" w:cs="Times New Roman"/>
          <w:sz w:val="28"/>
          <w:szCs w:val="28"/>
        </w:rPr>
      </w:pPr>
      <w:r w:rsidRPr="001157AE">
        <w:rPr>
          <w:rFonts w:ascii="Times New Roman" w:hAnsi="Times New Roman" w:cs="Times New Roman"/>
          <w:sz w:val="28"/>
          <w:szCs w:val="28"/>
        </w:rPr>
        <w:t>В течение 2019 года проводился</w:t>
      </w:r>
      <w:r w:rsidRPr="00901F6F">
        <w:rPr>
          <w:rFonts w:ascii="Times New Roman" w:hAnsi="Times New Roman" w:cs="Times New Roman"/>
          <w:sz w:val="28"/>
          <w:szCs w:val="28"/>
        </w:rPr>
        <w:t>:</w:t>
      </w:r>
    </w:p>
    <w:p w14:paraId="69B1FBD0" w14:textId="77777777" w:rsidR="003F4CFF" w:rsidRPr="001157AE" w:rsidRDefault="003F4CFF">
      <w:pPr>
        <w:shd w:val="clear" w:color="auto" w:fill="FFFFFF" w:themeFill="background1"/>
        <w:adjustRightInd w:val="0"/>
        <w:ind w:firstLine="567"/>
        <w:jc w:val="both"/>
        <w:rPr>
          <w:rFonts w:ascii="Times New Roman" w:hAnsi="Times New Roman" w:cs="Times New Roman"/>
          <w:sz w:val="28"/>
          <w:szCs w:val="28"/>
        </w:rPr>
      </w:pPr>
      <w:r w:rsidRPr="001157AE">
        <w:rPr>
          <w:rFonts w:ascii="Times New Roman" w:hAnsi="Times New Roman" w:cs="Times New Roman"/>
          <w:sz w:val="28"/>
          <w:szCs w:val="28"/>
        </w:rPr>
        <w:t>ежегодный мониторинг состояния конкуренции на розничном ры</w:t>
      </w:r>
      <w:r w:rsidRPr="00901F6F">
        <w:rPr>
          <w:rFonts w:ascii="Times New Roman" w:hAnsi="Times New Roman" w:cs="Times New Roman"/>
          <w:sz w:val="28"/>
          <w:szCs w:val="28"/>
        </w:rPr>
        <w:t>нке производства электроэнергии. Р</w:t>
      </w:r>
      <w:r w:rsidRPr="001157AE">
        <w:rPr>
          <w:rFonts w:ascii="Times New Roman" w:hAnsi="Times New Roman" w:cs="Times New Roman"/>
          <w:sz w:val="28"/>
          <w:szCs w:val="28"/>
        </w:rPr>
        <w:t xml:space="preserve">езультатом мероприятия явилось сохранение </w:t>
      </w:r>
      <w:r w:rsidRPr="00901F6F">
        <w:rPr>
          <w:rFonts w:ascii="Times New Roman" w:hAnsi="Times New Roman" w:cs="Times New Roman"/>
          <w:sz w:val="28"/>
          <w:szCs w:val="28"/>
        </w:rPr>
        <w:t xml:space="preserve">100% </w:t>
      </w:r>
      <w:r w:rsidRPr="001157AE">
        <w:rPr>
          <w:rFonts w:ascii="Times New Roman" w:hAnsi="Times New Roman" w:cs="Times New Roman"/>
          <w:sz w:val="28"/>
          <w:szCs w:val="28"/>
        </w:rPr>
        <w:t>уровня присутствия организаций частной формы собственности на розничном рынке производства электроэнергии;</w:t>
      </w:r>
    </w:p>
    <w:p w14:paraId="6C163CB7" w14:textId="77777777" w:rsidR="003F4CFF" w:rsidRPr="001157AE" w:rsidRDefault="003F4CFF">
      <w:pPr>
        <w:widowControl w:val="0"/>
        <w:shd w:val="clear" w:color="auto" w:fill="FFFFFF" w:themeFill="background1"/>
        <w:autoSpaceDE w:val="0"/>
        <w:autoSpaceDN w:val="0"/>
        <w:adjustRightInd w:val="0"/>
        <w:ind w:firstLine="567"/>
        <w:jc w:val="both"/>
        <w:rPr>
          <w:rFonts w:ascii="Times New Roman" w:eastAsia="Times New Roman" w:hAnsi="Times New Roman" w:cs="Times New Roman"/>
          <w:sz w:val="28"/>
          <w:szCs w:val="28"/>
        </w:rPr>
      </w:pPr>
      <w:r w:rsidRPr="001157AE">
        <w:rPr>
          <w:rFonts w:ascii="Times New Roman" w:eastAsia="Times New Roman" w:hAnsi="Times New Roman" w:cs="Times New Roman"/>
          <w:sz w:val="28"/>
          <w:szCs w:val="28"/>
        </w:rPr>
        <w:t>мониторинг хода подготовки ТЭЦ и ГЭС к осенне-зимнему периоду. Новосибирские ТЭЦ, Барабинская ТЭЦ и Новосибирская ГЭС полностью выполнили запланированные мероприятия и получили паспорта готовности от Минэнерго России в установленный срок. Результатом мероприятия явилось бесперебойное и безопасное электроснабжении потребителей на территории Новосибирской области.</w:t>
      </w:r>
    </w:p>
    <w:p w14:paraId="2C2436BC" w14:textId="77777777" w:rsidR="003F4CFF" w:rsidRPr="001157AE" w:rsidRDefault="003F4CFF">
      <w:pPr>
        <w:widowControl w:val="0"/>
        <w:shd w:val="clear" w:color="auto" w:fill="FFFFFF" w:themeFill="background1"/>
        <w:autoSpaceDE w:val="0"/>
        <w:autoSpaceDN w:val="0"/>
        <w:adjustRightInd w:val="0"/>
        <w:ind w:firstLine="567"/>
        <w:jc w:val="both"/>
        <w:rPr>
          <w:rFonts w:ascii="Times New Roman" w:eastAsia="Times New Roman" w:hAnsi="Times New Roman" w:cs="Times New Roman"/>
          <w:sz w:val="28"/>
          <w:szCs w:val="28"/>
        </w:rPr>
      </w:pPr>
      <w:r w:rsidRPr="001157AE">
        <w:rPr>
          <w:rFonts w:ascii="Times New Roman" w:eastAsia="Times New Roman" w:hAnsi="Times New Roman" w:cs="Times New Roman"/>
          <w:sz w:val="28"/>
          <w:szCs w:val="28"/>
        </w:rPr>
        <w:t>мониторинг и анализ аварийных ситуаций с рассмотрением данного вопроса на региональном штабе по обеспечению безопасности электроснабжения Новосибирской области. Вопросы аварийных ситуаций рассмотрены на заседаниях регионального штабе по обеспечению безопасности электроснабжения Новосибирской области (28.02.2019, 22.03.2019, 22.05.2019, 29.08.2019, 05.11.2019). Результатом мероприятия явилось бесперебойное и безопасное электроснабжени</w:t>
      </w:r>
      <w:r w:rsidRPr="00901F6F">
        <w:rPr>
          <w:rFonts w:ascii="Times New Roman" w:eastAsia="Times New Roman" w:hAnsi="Times New Roman" w:cs="Times New Roman"/>
          <w:sz w:val="28"/>
          <w:szCs w:val="28"/>
        </w:rPr>
        <w:t>е</w:t>
      </w:r>
      <w:r w:rsidRPr="001157AE">
        <w:rPr>
          <w:rFonts w:ascii="Times New Roman" w:eastAsia="Times New Roman" w:hAnsi="Times New Roman" w:cs="Times New Roman"/>
          <w:sz w:val="28"/>
          <w:szCs w:val="28"/>
        </w:rPr>
        <w:t xml:space="preserve"> потребителей на территории Новосибирской области.</w:t>
      </w:r>
    </w:p>
    <w:p w14:paraId="0454A6B0" w14:textId="77777777" w:rsidR="003F4CFF" w:rsidRPr="001157AE" w:rsidRDefault="003F4CFF">
      <w:pPr>
        <w:shd w:val="clear" w:color="auto" w:fill="FFFFFF" w:themeFill="background1"/>
        <w:tabs>
          <w:tab w:val="left" w:pos="1418"/>
          <w:tab w:val="left" w:pos="1985"/>
        </w:tabs>
        <w:ind w:firstLine="567"/>
        <w:jc w:val="both"/>
        <w:rPr>
          <w:rFonts w:ascii="Times New Roman" w:hAnsi="Times New Roman" w:cs="Times New Roman"/>
          <w:sz w:val="28"/>
          <w:szCs w:val="28"/>
        </w:rPr>
      </w:pPr>
      <w:r w:rsidRPr="001157AE">
        <w:rPr>
          <w:rFonts w:ascii="Times New Roman" w:hAnsi="Times New Roman" w:cs="Times New Roman"/>
          <w:sz w:val="28"/>
          <w:szCs w:val="28"/>
        </w:rPr>
        <w:t>мониторинг запасов топлива на ТЭЦ. Результатом мероприятия явилось бесперебойное и безопасное электроснабжении потребителей на территории Новосибирской области. Запасы топлива в течение 2019 года соответствовали нормативным требованиям, по состоянию на 31.12.2019 остат</w:t>
      </w:r>
      <w:r w:rsidRPr="00901F6F">
        <w:rPr>
          <w:rFonts w:ascii="Times New Roman" w:hAnsi="Times New Roman" w:cs="Times New Roman"/>
          <w:sz w:val="28"/>
          <w:szCs w:val="28"/>
        </w:rPr>
        <w:t xml:space="preserve">ок угля на складе </w:t>
      </w:r>
      <w:r w:rsidR="008F0DE7">
        <w:rPr>
          <w:rFonts w:ascii="Times New Roman" w:hAnsi="Times New Roman" w:cs="Times New Roman"/>
          <w:sz w:val="28"/>
          <w:szCs w:val="28"/>
        </w:rPr>
        <w:t>–</w:t>
      </w:r>
      <w:r w:rsidR="008F0DE7" w:rsidRPr="00901F6F">
        <w:rPr>
          <w:rFonts w:ascii="Times New Roman" w:hAnsi="Times New Roman" w:cs="Times New Roman"/>
          <w:sz w:val="28"/>
          <w:szCs w:val="28"/>
        </w:rPr>
        <w:t xml:space="preserve"> </w:t>
      </w:r>
      <w:r w:rsidRPr="00901F6F">
        <w:rPr>
          <w:rFonts w:ascii="Times New Roman" w:hAnsi="Times New Roman" w:cs="Times New Roman"/>
          <w:sz w:val="28"/>
          <w:szCs w:val="28"/>
        </w:rPr>
        <w:t>1294,9 тыс. тонн</w:t>
      </w:r>
      <w:r w:rsidRPr="001157AE">
        <w:rPr>
          <w:rFonts w:ascii="Times New Roman" w:hAnsi="Times New Roman" w:cs="Times New Roman"/>
          <w:sz w:val="28"/>
          <w:szCs w:val="28"/>
        </w:rPr>
        <w:t xml:space="preserve"> (общий нормативный запас топлива (угля) на 01.01.2020 – 371,1 тыс.</w:t>
      </w:r>
      <w:r w:rsidRPr="00901F6F">
        <w:rPr>
          <w:rFonts w:ascii="Times New Roman" w:hAnsi="Times New Roman" w:cs="Times New Roman"/>
          <w:sz w:val="28"/>
          <w:szCs w:val="28"/>
        </w:rPr>
        <w:t xml:space="preserve"> </w:t>
      </w:r>
      <w:r w:rsidRPr="001157AE">
        <w:rPr>
          <w:rFonts w:ascii="Times New Roman" w:hAnsi="Times New Roman" w:cs="Times New Roman"/>
          <w:sz w:val="28"/>
          <w:szCs w:val="28"/>
        </w:rPr>
        <w:t>т</w:t>
      </w:r>
      <w:r w:rsidRPr="00901F6F">
        <w:rPr>
          <w:rFonts w:ascii="Times New Roman" w:hAnsi="Times New Roman" w:cs="Times New Roman"/>
          <w:sz w:val="28"/>
          <w:szCs w:val="28"/>
        </w:rPr>
        <w:t>онн</w:t>
      </w:r>
      <w:r w:rsidRPr="001157AE">
        <w:rPr>
          <w:rFonts w:ascii="Times New Roman" w:hAnsi="Times New Roman" w:cs="Times New Roman"/>
          <w:sz w:val="28"/>
          <w:szCs w:val="28"/>
        </w:rPr>
        <w:t xml:space="preserve">). </w:t>
      </w:r>
    </w:p>
    <w:p w14:paraId="3E8B5FFD" w14:textId="77777777" w:rsidR="003F4CFF" w:rsidRPr="001157AE" w:rsidRDefault="003F4CFF">
      <w:pPr>
        <w:shd w:val="clear" w:color="auto" w:fill="FFFFFF" w:themeFill="background1"/>
        <w:ind w:firstLine="567"/>
        <w:jc w:val="both"/>
        <w:rPr>
          <w:rFonts w:ascii="Times New Roman" w:hAnsi="Times New Roman" w:cs="Times New Roman"/>
          <w:sz w:val="28"/>
          <w:szCs w:val="28"/>
        </w:rPr>
      </w:pPr>
      <w:r w:rsidRPr="00780E31">
        <w:rPr>
          <w:rFonts w:ascii="Times New Roman" w:hAnsi="Times New Roman" w:cs="Times New Roman"/>
          <w:sz w:val="28"/>
          <w:szCs w:val="28"/>
        </w:rPr>
        <w:t xml:space="preserve">Деятельность в сфере энергосбережения и повышения энергетической эффективности </w:t>
      </w:r>
      <w:r w:rsidRPr="001157AE">
        <w:rPr>
          <w:rFonts w:ascii="Times New Roman" w:hAnsi="Times New Roman" w:cs="Times New Roman"/>
          <w:sz w:val="28"/>
          <w:szCs w:val="28"/>
        </w:rPr>
        <w:t xml:space="preserve">осуществляется в соответствии с Федеральным законом от 23.11.2009 № 261-ФЗ «Об энергосбережении и о повышении </w:t>
      </w:r>
      <w:r w:rsidRPr="00901F6F">
        <w:rPr>
          <w:rFonts w:ascii="Times New Roman" w:hAnsi="Times New Roman" w:cs="Times New Roman"/>
          <w:sz w:val="28"/>
          <w:szCs w:val="28"/>
        </w:rPr>
        <w:t>энергетической эффективности,</w:t>
      </w:r>
      <w:r w:rsidRPr="001157AE">
        <w:rPr>
          <w:rFonts w:ascii="Times New Roman" w:hAnsi="Times New Roman" w:cs="Times New Roman"/>
          <w:sz w:val="28"/>
          <w:szCs w:val="28"/>
        </w:rPr>
        <w:t xml:space="preserve"> и о внесении изменений в отдельные законодательные акты Российской Федерации»</w:t>
      </w:r>
      <w:r w:rsidRPr="00901F6F">
        <w:rPr>
          <w:rFonts w:ascii="Times New Roman" w:hAnsi="Times New Roman" w:cs="Times New Roman"/>
          <w:sz w:val="28"/>
          <w:szCs w:val="28"/>
        </w:rPr>
        <w:t>, государственн</w:t>
      </w:r>
      <w:r>
        <w:rPr>
          <w:rFonts w:ascii="Times New Roman" w:hAnsi="Times New Roman" w:cs="Times New Roman"/>
          <w:sz w:val="28"/>
          <w:szCs w:val="28"/>
        </w:rPr>
        <w:t>ой</w:t>
      </w:r>
      <w:r w:rsidRPr="001157AE">
        <w:rPr>
          <w:rFonts w:ascii="Times New Roman" w:hAnsi="Times New Roman" w:cs="Times New Roman"/>
          <w:sz w:val="28"/>
          <w:szCs w:val="28"/>
        </w:rPr>
        <w:t xml:space="preserve"> программ</w:t>
      </w:r>
      <w:r w:rsidRPr="00901F6F">
        <w:rPr>
          <w:rFonts w:ascii="Times New Roman" w:hAnsi="Times New Roman" w:cs="Times New Roman"/>
          <w:sz w:val="28"/>
          <w:szCs w:val="28"/>
        </w:rPr>
        <w:t>ой Новосибирской области</w:t>
      </w:r>
      <w:r w:rsidRPr="001157AE">
        <w:rPr>
          <w:rFonts w:ascii="Times New Roman" w:hAnsi="Times New Roman" w:cs="Times New Roman"/>
          <w:sz w:val="28"/>
          <w:szCs w:val="28"/>
        </w:rPr>
        <w:t xml:space="preserve"> «Энергосбережение и повышение энергетической эффективности Новосибирской области», утвержденн</w:t>
      </w:r>
      <w:r w:rsidRPr="00901F6F">
        <w:rPr>
          <w:rFonts w:ascii="Times New Roman" w:hAnsi="Times New Roman" w:cs="Times New Roman"/>
          <w:sz w:val="28"/>
          <w:szCs w:val="28"/>
        </w:rPr>
        <w:t>ой</w:t>
      </w:r>
      <w:r w:rsidRPr="001157AE">
        <w:rPr>
          <w:rFonts w:ascii="Times New Roman" w:hAnsi="Times New Roman" w:cs="Times New Roman"/>
          <w:sz w:val="28"/>
          <w:szCs w:val="28"/>
        </w:rPr>
        <w:t xml:space="preserve"> постановлением Правительства Новосибирско</w:t>
      </w:r>
      <w:r>
        <w:rPr>
          <w:rFonts w:ascii="Times New Roman" w:hAnsi="Times New Roman" w:cs="Times New Roman"/>
          <w:sz w:val="28"/>
          <w:szCs w:val="28"/>
        </w:rPr>
        <w:t>й области от 16.03.2015 № 89-п</w:t>
      </w:r>
      <w:r w:rsidR="008F0DE7" w:rsidRPr="008F0DE7">
        <w:rPr>
          <w:rFonts w:ascii="Times New Roman" w:eastAsiaTheme="minorHAnsi" w:hAnsi="Times New Roman" w:cs="Times New Roman"/>
          <w:sz w:val="24"/>
          <w:szCs w:val="24"/>
        </w:rPr>
        <w:t xml:space="preserve"> </w:t>
      </w:r>
      <w:r w:rsidR="008F0DE7" w:rsidRPr="00556272">
        <w:rPr>
          <w:rFonts w:ascii="Times New Roman" w:eastAsiaTheme="minorHAnsi" w:hAnsi="Times New Roman" w:cs="Times New Roman"/>
          <w:sz w:val="28"/>
          <w:szCs w:val="28"/>
        </w:rPr>
        <w:t>«О</w:t>
      </w:r>
      <w:r w:rsidR="008F0DE7" w:rsidRPr="008F0DE7">
        <w:rPr>
          <w:rFonts w:ascii="Times New Roman" w:eastAsiaTheme="minorHAnsi" w:hAnsi="Times New Roman" w:cs="Times New Roman"/>
          <w:sz w:val="28"/>
          <w:szCs w:val="28"/>
        </w:rPr>
        <w:t>б утвержд</w:t>
      </w:r>
      <w:r w:rsidR="008F0DE7">
        <w:rPr>
          <w:rFonts w:ascii="Times New Roman" w:eastAsiaTheme="minorHAnsi" w:hAnsi="Times New Roman" w:cs="Times New Roman"/>
          <w:sz w:val="28"/>
          <w:szCs w:val="28"/>
        </w:rPr>
        <w:t>ении государственной программы Новосибирской области «Э</w:t>
      </w:r>
      <w:r w:rsidR="008F0DE7" w:rsidRPr="008F0DE7">
        <w:rPr>
          <w:rFonts w:ascii="Times New Roman" w:eastAsiaTheme="minorHAnsi" w:hAnsi="Times New Roman" w:cs="Times New Roman"/>
          <w:sz w:val="28"/>
          <w:szCs w:val="28"/>
        </w:rPr>
        <w:t>нергосбережение и повышени</w:t>
      </w:r>
      <w:r w:rsidR="008F0DE7">
        <w:rPr>
          <w:rFonts w:ascii="Times New Roman" w:eastAsiaTheme="minorHAnsi" w:hAnsi="Times New Roman" w:cs="Times New Roman"/>
          <w:sz w:val="28"/>
          <w:szCs w:val="28"/>
        </w:rPr>
        <w:t>е энергетической эффективности Н</w:t>
      </w:r>
      <w:r w:rsidR="008F0DE7" w:rsidRPr="008F0DE7">
        <w:rPr>
          <w:rFonts w:ascii="Times New Roman" w:eastAsiaTheme="minorHAnsi" w:hAnsi="Times New Roman" w:cs="Times New Roman"/>
          <w:sz w:val="28"/>
          <w:szCs w:val="28"/>
        </w:rPr>
        <w:t>овосибирской области</w:t>
      </w:r>
      <w:r w:rsidR="008F0DE7">
        <w:rPr>
          <w:rFonts w:ascii="Times New Roman" w:eastAsiaTheme="minorHAnsi" w:hAnsi="Times New Roman" w:cs="Times New Roman"/>
          <w:sz w:val="28"/>
          <w:szCs w:val="28"/>
        </w:rPr>
        <w:t>»</w:t>
      </w:r>
      <w:r w:rsidR="008F0DE7" w:rsidRPr="008F0DE7">
        <w:rPr>
          <w:rFonts w:ascii="Times New Roman" w:hAnsi="Times New Roman" w:cs="Times New Roman"/>
          <w:sz w:val="32"/>
          <w:szCs w:val="28"/>
        </w:rPr>
        <w:t xml:space="preserve"> </w:t>
      </w:r>
      <w:r>
        <w:rPr>
          <w:rFonts w:ascii="Times New Roman" w:hAnsi="Times New Roman" w:cs="Times New Roman"/>
          <w:sz w:val="28"/>
          <w:szCs w:val="28"/>
        </w:rPr>
        <w:t>.</w:t>
      </w:r>
    </w:p>
    <w:p w14:paraId="03EE53A4" w14:textId="77777777" w:rsidR="003F4CFF" w:rsidRPr="001157AE" w:rsidRDefault="003F4CFF">
      <w:pPr>
        <w:shd w:val="clear" w:color="auto" w:fill="FFFFFF" w:themeFill="background1"/>
        <w:ind w:firstLine="567"/>
        <w:jc w:val="both"/>
        <w:rPr>
          <w:rFonts w:ascii="Times New Roman" w:hAnsi="Times New Roman" w:cs="Times New Roman"/>
          <w:sz w:val="28"/>
          <w:szCs w:val="28"/>
        </w:rPr>
      </w:pPr>
      <w:r w:rsidRPr="001157AE">
        <w:rPr>
          <w:rFonts w:ascii="Times New Roman" w:hAnsi="Times New Roman" w:cs="Times New Roman"/>
          <w:sz w:val="28"/>
          <w:szCs w:val="28"/>
        </w:rPr>
        <w:t>В 2019 году объем финансирования мероприятий</w:t>
      </w:r>
      <w:r w:rsidRPr="00901F6F">
        <w:rPr>
          <w:rFonts w:ascii="Times New Roman" w:hAnsi="Times New Roman" w:cs="Times New Roman"/>
          <w:sz w:val="28"/>
          <w:szCs w:val="28"/>
        </w:rPr>
        <w:t xml:space="preserve"> данной</w:t>
      </w:r>
      <w:r w:rsidRPr="001157AE">
        <w:rPr>
          <w:rFonts w:ascii="Times New Roman" w:hAnsi="Times New Roman" w:cs="Times New Roman"/>
          <w:sz w:val="28"/>
          <w:szCs w:val="28"/>
        </w:rPr>
        <w:t xml:space="preserve"> государственной программы составил 1 463,1 млн. рублей, в том числе:</w:t>
      </w:r>
    </w:p>
    <w:p w14:paraId="690B6F2D" w14:textId="77777777" w:rsidR="003F4CFF" w:rsidRPr="001157AE" w:rsidRDefault="003F4CFF">
      <w:pPr>
        <w:shd w:val="clear" w:color="auto" w:fill="FFFFFF" w:themeFill="background1"/>
        <w:ind w:firstLine="567"/>
        <w:jc w:val="both"/>
        <w:rPr>
          <w:rFonts w:ascii="Times New Roman" w:hAnsi="Times New Roman" w:cs="Times New Roman"/>
          <w:sz w:val="28"/>
          <w:szCs w:val="28"/>
        </w:rPr>
      </w:pPr>
      <w:r w:rsidRPr="001157AE">
        <w:rPr>
          <w:rFonts w:ascii="Times New Roman" w:hAnsi="Times New Roman" w:cs="Times New Roman"/>
          <w:sz w:val="28"/>
          <w:szCs w:val="28"/>
        </w:rPr>
        <w:t>областной бюджет – 97,4 млн. рублей;</w:t>
      </w:r>
    </w:p>
    <w:p w14:paraId="76B4FED1" w14:textId="77777777" w:rsidR="003F4CFF" w:rsidRPr="001157AE" w:rsidRDefault="003F4CFF">
      <w:pPr>
        <w:shd w:val="clear" w:color="auto" w:fill="FFFFFF" w:themeFill="background1"/>
        <w:ind w:firstLine="567"/>
        <w:jc w:val="both"/>
        <w:rPr>
          <w:rFonts w:ascii="Times New Roman" w:hAnsi="Times New Roman" w:cs="Times New Roman"/>
          <w:sz w:val="28"/>
          <w:szCs w:val="28"/>
        </w:rPr>
      </w:pPr>
      <w:r w:rsidRPr="001157AE">
        <w:rPr>
          <w:rFonts w:ascii="Times New Roman" w:hAnsi="Times New Roman" w:cs="Times New Roman"/>
          <w:sz w:val="28"/>
          <w:szCs w:val="28"/>
        </w:rPr>
        <w:t>местные бюджеты – 55,1 млн. рублей;</w:t>
      </w:r>
    </w:p>
    <w:p w14:paraId="18A0803B" w14:textId="77777777" w:rsidR="003F4CFF" w:rsidRPr="001157AE" w:rsidRDefault="003F4CFF">
      <w:pPr>
        <w:shd w:val="clear" w:color="auto" w:fill="FFFFFF" w:themeFill="background1"/>
        <w:ind w:firstLine="567"/>
        <w:jc w:val="both"/>
        <w:rPr>
          <w:rFonts w:ascii="Times New Roman" w:hAnsi="Times New Roman" w:cs="Times New Roman"/>
          <w:sz w:val="28"/>
          <w:szCs w:val="28"/>
        </w:rPr>
      </w:pPr>
      <w:r w:rsidRPr="001157AE">
        <w:rPr>
          <w:rFonts w:ascii="Times New Roman" w:hAnsi="Times New Roman" w:cs="Times New Roman"/>
          <w:sz w:val="28"/>
          <w:szCs w:val="28"/>
        </w:rPr>
        <w:t>внебюджетные средства – 1 310,5 млн. рублей.</w:t>
      </w:r>
    </w:p>
    <w:p w14:paraId="606404EA" w14:textId="77777777" w:rsidR="003F4CFF" w:rsidRPr="00901F6F" w:rsidRDefault="003F4CFF">
      <w:pPr>
        <w:shd w:val="clear" w:color="auto" w:fill="FFFFFF" w:themeFill="background1"/>
        <w:ind w:firstLine="567"/>
        <w:jc w:val="both"/>
        <w:rPr>
          <w:rFonts w:ascii="Times New Roman" w:hAnsi="Times New Roman" w:cs="Times New Roman"/>
          <w:sz w:val="28"/>
          <w:szCs w:val="28"/>
        </w:rPr>
      </w:pPr>
      <w:r w:rsidRPr="001157AE">
        <w:rPr>
          <w:rFonts w:ascii="Times New Roman" w:hAnsi="Times New Roman" w:cs="Times New Roman"/>
          <w:sz w:val="28"/>
          <w:szCs w:val="28"/>
        </w:rPr>
        <w:lastRenderedPageBreak/>
        <w:t>В 2019 году средства областного бюджета</w:t>
      </w:r>
      <w:r w:rsidRPr="00901F6F">
        <w:rPr>
          <w:rFonts w:ascii="Times New Roman" w:hAnsi="Times New Roman" w:cs="Times New Roman"/>
          <w:sz w:val="28"/>
          <w:szCs w:val="28"/>
        </w:rPr>
        <w:t xml:space="preserve"> Новосибирской области в</w:t>
      </w:r>
      <w:r w:rsidRPr="001157AE">
        <w:rPr>
          <w:rFonts w:ascii="Times New Roman" w:hAnsi="Times New Roman" w:cs="Times New Roman"/>
          <w:sz w:val="28"/>
          <w:szCs w:val="28"/>
        </w:rPr>
        <w:t xml:space="preserve"> том числе были направлены:</w:t>
      </w:r>
    </w:p>
    <w:p w14:paraId="781D68A9" w14:textId="77777777" w:rsidR="003F4CFF" w:rsidRPr="00901F6F" w:rsidRDefault="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0,3 млн. рублей</w:t>
      </w:r>
      <w:r w:rsidRPr="001157AE">
        <w:rPr>
          <w:rFonts w:ascii="Times New Roman" w:hAnsi="Times New Roman" w:cs="Times New Roman"/>
          <w:sz w:val="28"/>
          <w:szCs w:val="28"/>
        </w:rPr>
        <w:t xml:space="preserve"> на мероприятие по пропаганде государственной политики энергосбережения и повышения энергетической эффективности Новосибирской области, а именно на проведение праздничного открытия фестиваля энергосбережения #ВместеЯрче-2019 в Новосибирской области</w:t>
      </w:r>
      <w:r w:rsidRPr="00901F6F">
        <w:rPr>
          <w:rFonts w:ascii="Times New Roman" w:hAnsi="Times New Roman" w:cs="Times New Roman"/>
          <w:sz w:val="28"/>
          <w:szCs w:val="28"/>
        </w:rPr>
        <w:t>;</w:t>
      </w:r>
      <w:r w:rsidRPr="001157AE">
        <w:rPr>
          <w:rFonts w:ascii="Times New Roman" w:hAnsi="Times New Roman" w:cs="Times New Roman"/>
          <w:sz w:val="28"/>
          <w:szCs w:val="28"/>
        </w:rPr>
        <w:t xml:space="preserve"> </w:t>
      </w:r>
    </w:p>
    <w:p w14:paraId="1B450B91" w14:textId="77777777" w:rsidR="003F4CFF" w:rsidRPr="001157AE" w:rsidRDefault="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 xml:space="preserve">на участие </w:t>
      </w:r>
      <w:r w:rsidRPr="001157AE">
        <w:rPr>
          <w:rFonts w:ascii="Times New Roman" w:hAnsi="Times New Roman" w:cs="Times New Roman"/>
          <w:sz w:val="28"/>
          <w:szCs w:val="28"/>
        </w:rPr>
        <w:t>в Международном форуме «Российская энергетическая неделя» и во Всероссийском конкурсе СМИ, пресс-служб компаний ТЭК и региональных администраций – «МедиаТЭК». Министерством жилищно-коммунального хозяйства и энергетики Новосибирской области был организован региональный этап конкурса. На федеральном этапе от Новосибирской области победили 3 проекта.</w:t>
      </w:r>
    </w:p>
    <w:p w14:paraId="42D96A01" w14:textId="77777777" w:rsidR="003F4CFF" w:rsidRPr="001157AE" w:rsidRDefault="003F4CFF">
      <w:pPr>
        <w:shd w:val="clear" w:color="auto" w:fill="FFFFFF" w:themeFill="background1"/>
        <w:ind w:firstLine="567"/>
        <w:jc w:val="both"/>
        <w:rPr>
          <w:rFonts w:ascii="Times New Roman" w:hAnsi="Times New Roman" w:cs="Times New Roman"/>
          <w:sz w:val="28"/>
          <w:szCs w:val="28"/>
        </w:rPr>
      </w:pPr>
      <w:r w:rsidRPr="001157AE">
        <w:rPr>
          <w:rFonts w:ascii="Times New Roman" w:hAnsi="Times New Roman" w:cs="Times New Roman"/>
          <w:sz w:val="28"/>
          <w:szCs w:val="28"/>
        </w:rPr>
        <w:t>С целью стимулирования деятельности по энергосбережению и повышению энергетической эффективности предприятий, осуществляющих свою деятельность на территории Новосибирской области, между министерством жилищно-коммунального хозяйства и энергетики Новосибирской области, промышленными предприятиями и организациями, осуществляющими регулируемые виды деятельности, заключаются соглашения о взаимодействии и сотрудничестве в сфере энергосбережения и повышения энергетической эффективности, которые включают в себя планы предприятий и организаций по выполнению мероприятий энергосбережения и повышения энергетической эффективности. На 2019</w:t>
      </w:r>
      <w:r>
        <w:rPr>
          <w:rFonts w:ascii="Times New Roman" w:hAnsi="Times New Roman" w:cs="Times New Roman"/>
          <w:sz w:val="28"/>
          <w:szCs w:val="28"/>
        </w:rPr>
        <w:t xml:space="preserve"> год соглашения заключены с 11</w:t>
      </w:r>
      <w:r w:rsidRPr="001157AE">
        <w:rPr>
          <w:rFonts w:ascii="Times New Roman" w:hAnsi="Times New Roman" w:cs="Times New Roman"/>
          <w:sz w:val="28"/>
          <w:szCs w:val="28"/>
        </w:rPr>
        <w:t xml:space="preserve"> предприятиями и организациями на сумму 1 295 млн. рублей.</w:t>
      </w:r>
    </w:p>
    <w:p w14:paraId="29C48846" w14:textId="77777777" w:rsidR="003F4CFF" w:rsidRPr="001157AE" w:rsidRDefault="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Е</w:t>
      </w:r>
      <w:r w:rsidRPr="001157AE">
        <w:rPr>
          <w:rFonts w:ascii="Times New Roman" w:hAnsi="Times New Roman" w:cs="Times New Roman"/>
          <w:sz w:val="28"/>
          <w:szCs w:val="28"/>
        </w:rPr>
        <w:t>жегодно проводится работа по выявлению бесхозяйных объектов электросетевого хозяйства на территории Новосибирской области и актуализация перечня бесхозяйных электросетевых объектов. На 01.03.2019 выявлено 484 объектов электросетевого хозяйства, и в течение</w:t>
      </w:r>
      <w:r w:rsidRPr="00901F6F">
        <w:rPr>
          <w:rFonts w:ascii="Times New Roman" w:hAnsi="Times New Roman" w:cs="Times New Roman"/>
          <w:sz w:val="28"/>
          <w:szCs w:val="28"/>
        </w:rPr>
        <w:t xml:space="preserve"> отчетного</w:t>
      </w:r>
      <w:r w:rsidRPr="001157AE">
        <w:rPr>
          <w:rFonts w:ascii="Times New Roman" w:hAnsi="Times New Roman" w:cs="Times New Roman"/>
          <w:sz w:val="28"/>
          <w:szCs w:val="28"/>
        </w:rPr>
        <w:t xml:space="preserve"> года поставлено на баланс и переданы в аренду специализированным сетевым организациям 45 объектов.</w:t>
      </w:r>
    </w:p>
    <w:p w14:paraId="73ACAC16" w14:textId="77777777" w:rsidR="003F4CFF" w:rsidRPr="00EC5135" w:rsidRDefault="003F4CFF">
      <w:pPr>
        <w:ind w:firstLine="567"/>
        <w:jc w:val="both"/>
        <w:rPr>
          <w:rFonts w:ascii="Times New Roman" w:hAnsi="Times New Roman" w:cs="Times New Roman"/>
          <w:sz w:val="28"/>
          <w:szCs w:val="28"/>
        </w:rPr>
      </w:pPr>
      <w:r w:rsidRPr="00F674B5">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sidRPr="00F674B5">
        <w:rPr>
          <w:rFonts w:ascii="Times New Roman" w:eastAsia="Times New Roman" w:hAnsi="Times New Roman" w:cs="Times New Roman"/>
          <w:sz w:val="28"/>
          <w:szCs w:val="28"/>
        </w:rPr>
        <w:t xml:space="preserve"> за 2019 год</w:t>
      </w:r>
      <w:r w:rsidRPr="00F674B5">
        <w:rPr>
          <w:rFonts w:ascii="Times New Roman" w:hAnsi="Times New Roman" w:cs="Times New Roman"/>
          <w:sz w:val="28"/>
          <w:szCs w:val="28"/>
        </w:rPr>
        <w:t xml:space="preserve"> </w:t>
      </w:r>
      <w:r>
        <w:rPr>
          <w:rFonts w:ascii="Times New Roman" w:hAnsi="Times New Roman" w:cs="Times New Roman"/>
          <w:sz w:val="28"/>
          <w:szCs w:val="28"/>
        </w:rPr>
        <w:t>на н</w:t>
      </w:r>
      <w:r w:rsidRPr="00EC5135">
        <w:rPr>
          <w:rFonts w:ascii="Times New Roman" w:hAnsi="Times New Roman" w:cs="Times New Roman"/>
          <w:sz w:val="28"/>
          <w:szCs w:val="28"/>
        </w:rPr>
        <w:t xml:space="preserve">аличие непреодолимых административных барьеров </w:t>
      </w:r>
      <w:r>
        <w:rPr>
          <w:rFonts w:ascii="Times New Roman" w:hAnsi="Times New Roman" w:cs="Times New Roman"/>
          <w:sz w:val="28"/>
          <w:szCs w:val="28"/>
        </w:rPr>
        <w:t>указали</w:t>
      </w:r>
      <w:r w:rsidRPr="00EC5135">
        <w:rPr>
          <w:rFonts w:ascii="Times New Roman" w:hAnsi="Times New Roman" w:cs="Times New Roman"/>
          <w:sz w:val="28"/>
          <w:szCs w:val="28"/>
        </w:rPr>
        <w:t xml:space="preserve"> 12% субъектов предпринимательства. Основными барьерами для ведения текущей деятельности и от</w:t>
      </w:r>
      <w:r>
        <w:rPr>
          <w:rFonts w:ascii="Times New Roman" w:hAnsi="Times New Roman" w:cs="Times New Roman"/>
          <w:sz w:val="28"/>
          <w:szCs w:val="28"/>
        </w:rPr>
        <w:t xml:space="preserve">крытия нового бизнеса являются </w:t>
      </w:r>
      <w:r w:rsidRPr="00EC5135">
        <w:rPr>
          <w:rFonts w:ascii="Times New Roman" w:hAnsi="Times New Roman" w:cs="Times New Roman"/>
          <w:sz w:val="28"/>
          <w:szCs w:val="28"/>
        </w:rPr>
        <w:t>нестабильность законодательства, регулирующего предпринимательскую дея</w:t>
      </w:r>
      <w:r>
        <w:rPr>
          <w:rFonts w:ascii="Times New Roman" w:hAnsi="Times New Roman" w:cs="Times New Roman"/>
          <w:sz w:val="28"/>
          <w:szCs w:val="28"/>
        </w:rPr>
        <w:t>тельность (</w:t>
      </w:r>
      <w:r w:rsidRPr="00EC5135">
        <w:rPr>
          <w:rFonts w:ascii="Times New Roman" w:hAnsi="Times New Roman" w:cs="Times New Roman"/>
          <w:sz w:val="28"/>
          <w:szCs w:val="28"/>
        </w:rPr>
        <w:t>30%) и сложность процедуры получения лицензий, средств государственной поддержки,</w:t>
      </w:r>
      <w:r>
        <w:rPr>
          <w:rFonts w:ascii="Times New Roman" w:hAnsi="Times New Roman" w:cs="Times New Roman"/>
          <w:sz w:val="28"/>
          <w:szCs w:val="28"/>
        </w:rPr>
        <w:t xml:space="preserve"> разрешений, согласований</w:t>
      </w:r>
      <w:r w:rsidRPr="00EC5135">
        <w:rPr>
          <w:rFonts w:ascii="Times New Roman" w:hAnsi="Times New Roman" w:cs="Times New Roman"/>
          <w:sz w:val="28"/>
          <w:szCs w:val="28"/>
        </w:rPr>
        <w:t xml:space="preserve"> (28%). </w:t>
      </w:r>
    </w:p>
    <w:p w14:paraId="4252ACD9" w14:textId="77777777" w:rsidR="003F4CFF" w:rsidRPr="00EC5135" w:rsidRDefault="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В оценке деятельности органов власти преобладает мнение, что органы власти ничего не предпринимают, и их участие не нужно (38%). При этом менее выражено, чем на большинстве рынков, мнение, что органы власти помогают бизнесу своими действиями (12%), и более выражено мнение, что органы власти мешают бизнесу своими действиями (16%). </w:t>
      </w:r>
    </w:p>
    <w:p w14:paraId="78BDC730" w14:textId="77777777" w:rsidR="003F4CFF" w:rsidRPr="00780E31" w:rsidRDefault="003F4CFF">
      <w:pPr>
        <w:ind w:firstLine="567"/>
        <w:jc w:val="both"/>
        <w:rPr>
          <w:rFonts w:ascii="Times New Roman" w:eastAsia="Times New Roman" w:hAnsi="Times New Roman" w:cs="Times New Roman"/>
          <w:sz w:val="28"/>
          <w:szCs w:val="28"/>
        </w:rPr>
      </w:pPr>
      <w:r w:rsidRPr="00780E31">
        <w:rPr>
          <w:rFonts w:ascii="Times New Roman" w:hAnsi="Times New Roman" w:cs="Times New Roman"/>
          <w:sz w:val="28"/>
          <w:szCs w:val="28"/>
        </w:rPr>
        <w:t>Количество организаций на рынке оценивается как достаточное</w:t>
      </w:r>
      <w:r>
        <w:rPr>
          <w:rFonts w:ascii="Times New Roman" w:hAnsi="Times New Roman" w:cs="Times New Roman"/>
          <w:sz w:val="28"/>
          <w:szCs w:val="28"/>
        </w:rPr>
        <w:t xml:space="preserve"> (так считают 52% потребителей).</w:t>
      </w:r>
      <w:r w:rsidRPr="00780E31">
        <w:rPr>
          <w:rFonts w:ascii="Times New Roman" w:hAnsi="Times New Roman" w:cs="Times New Roman"/>
          <w:sz w:val="28"/>
          <w:szCs w:val="28"/>
        </w:rPr>
        <w:t xml:space="preserve"> </w:t>
      </w:r>
      <w:r>
        <w:rPr>
          <w:rFonts w:ascii="Times New Roman" w:hAnsi="Times New Roman" w:cs="Times New Roman"/>
          <w:sz w:val="28"/>
          <w:szCs w:val="28"/>
        </w:rPr>
        <w:t>Р</w:t>
      </w:r>
      <w:r w:rsidRPr="00780E31">
        <w:rPr>
          <w:rFonts w:ascii="Times New Roman" w:hAnsi="Times New Roman" w:cs="Times New Roman"/>
          <w:sz w:val="28"/>
          <w:szCs w:val="28"/>
        </w:rPr>
        <w:t xml:space="preserve">ост числа организаций за последние 3 года отмечают только </w:t>
      </w:r>
      <w:r w:rsidRPr="00780E31">
        <w:rPr>
          <w:rFonts w:ascii="Times New Roman" w:hAnsi="Times New Roman" w:cs="Times New Roman"/>
          <w:sz w:val="28"/>
          <w:szCs w:val="28"/>
        </w:rPr>
        <w:lastRenderedPageBreak/>
        <w:t xml:space="preserve">7% потребителей. </w:t>
      </w:r>
      <w:r w:rsidRPr="00780E31">
        <w:rPr>
          <w:rFonts w:ascii="Times New Roman" w:eastAsia="Times New Roman" w:hAnsi="Times New Roman" w:cs="Times New Roman"/>
          <w:sz w:val="28"/>
          <w:szCs w:val="28"/>
        </w:rPr>
        <w:t>Удовлетворенность потребителей выбором услуг, их качеством и стоимостью находится на среднем уровне (53%, 65% и 50% соответственно). Рост уровня цен за последние 3 года отмечают 70% потребителей</w:t>
      </w:r>
      <w:r w:rsidRPr="00780E31">
        <w:rPr>
          <w:rFonts w:ascii="Times New Roman" w:hAnsi="Times New Roman" w:cs="Times New Roman"/>
          <w:sz w:val="28"/>
          <w:szCs w:val="28"/>
        </w:rPr>
        <w:t xml:space="preserve">, при этом не наблюдается положительной динамики ни по возможности выбора услуг (отмечают только 11%), ни по качеству услуг (повышение качества отмечают только 11% потребителей). Рынок с естественной монополией является достаточно стабильным. </w:t>
      </w:r>
    </w:p>
    <w:p w14:paraId="238F6BC8" w14:textId="77777777" w:rsidR="003F4CFF" w:rsidRDefault="003F4CFF">
      <w:pPr>
        <w:pStyle w:val="ac"/>
        <w:ind w:firstLine="567"/>
        <w:jc w:val="both"/>
        <w:rPr>
          <w:rFonts w:ascii="Times New Roman" w:hAnsi="Times New Roman"/>
          <w:b/>
        </w:rPr>
      </w:pPr>
      <w:r w:rsidRPr="00E00F38">
        <w:rPr>
          <w:rFonts w:ascii="Times New Roman" w:hAnsi="Times New Roman"/>
          <w:b/>
        </w:rPr>
        <w:t>Рынок оказания услуг по перевозке пассажиров автомобильным транспортом по муниципальным маршрутам регулярных перевозок</w:t>
      </w:r>
    </w:p>
    <w:p w14:paraId="5026AE7F" w14:textId="77777777" w:rsidR="003F4CFF" w:rsidRPr="00901F6F" w:rsidRDefault="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Транспортное обслуживание пассажиров в Новосибирской области организовано на территории всех 5 городских округов и 30 муниципальных районов.</w:t>
      </w:r>
    </w:p>
    <w:p w14:paraId="77012BFB" w14:textId="77777777" w:rsidR="003F4CFF" w:rsidRPr="00901F6F" w:rsidRDefault="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Оказание услуг по перевозке пассажиров автомобильным транспортом по муниципальным маршрутам регулярны</w:t>
      </w:r>
      <w:r>
        <w:rPr>
          <w:rFonts w:ascii="Times New Roman" w:eastAsiaTheme="minorHAnsi" w:hAnsi="Times New Roman" w:cs="Times New Roman"/>
          <w:sz w:val="28"/>
          <w:szCs w:val="28"/>
          <w:lang w:eastAsia="en-US"/>
        </w:rPr>
        <w:t>х перевозок осуществляется по 2 </w:t>
      </w:r>
      <w:r w:rsidRPr="00901F6F">
        <w:rPr>
          <w:rFonts w:ascii="Times New Roman" w:eastAsiaTheme="minorHAnsi" w:hAnsi="Times New Roman" w:cs="Times New Roman"/>
          <w:sz w:val="28"/>
          <w:szCs w:val="28"/>
          <w:lang w:eastAsia="en-US"/>
        </w:rPr>
        <w:t>направлениям:</w:t>
      </w:r>
    </w:p>
    <w:p w14:paraId="030120F7" w14:textId="77777777" w:rsidR="003F4CFF" w:rsidRPr="00901F6F" w:rsidRDefault="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по муниципальным (городским) маршрутам городских округов Новосибирской области;</w:t>
      </w:r>
    </w:p>
    <w:p w14:paraId="5D5A630B" w14:textId="77777777" w:rsidR="003F4CFF" w:rsidRPr="00901F6F" w:rsidRDefault="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по муниципальным (внутрипоселковым и внутрирайонным) маршрутам муниципальных районов Новосибирской области.</w:t>
      </w:r>
    </w:p>
    <w:p w14:paraId="6F96897E" w14:textId="77777777" w:rsidR="003F4CFF" w:rsidRPr="00901F6F" w:rsidRDefault="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В 2019 году министерством транспорта и дорожного хозяйства Новосибирской области продолжена работа по оказанию государственной поддержки организаций пассажирского автомобильного транспорта в форме создания условий для приобретения (обновления) подвижного состава общественного пассажирского транспорта для работы по регулируемым тарифам на муниципальных маршрутах регулярных перевозок в границах муниципальных районов.</w:t>
      </w:r>
    </w:p>
    <w:p w14:paraId="7D259836"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 xml:space="preserve"> В 2019 году за счет предоставленных перевозчикам субсидий из областного бюджета Новосибирской области в объеме 10,5 млн. рублей перевозчикам возмещено 30% от фактической стоимости приобретенных автобусов в количестве 17 единиц.</w:t>
      </w:r>
    </w:p>
    <w:p w14:paraId="264D501F"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 xml:space="preserve">За счет предоставленных администрациям муниципальных образований районов и городских округов </w:t>
      </w:r>
      <w:r>
        <w:rPr>
          <w:rFonts w:ascii="Times New Roman" w:eastAsiaTheme="minorHAnsi" w:hAnsi="Times New Roman" w:cs="Times New Roman"/>
          <w:sz w:val="28"/>
          <w:szCs w:val="28"/>
          <w:lang w:eastAsia="en-US"/>
        </w:rPr>
        <w:t>Новосибирской области (кроме г. </w:t>
      </w:r>
      <w:r w:rsidRPr="00901F6F">
        <w:rPr>
          <w:rFonts w:ascii="Times New Roman" w:eastAsiaTheme="minorHAnsi" w:hAnsi="Times New Roman" w:cs="Times New Roman"/>
          <w:sz w:val="28"/>
          <w:szCs w:val="28"/>
          <w:lang w:eastAsia="en-US"/>
        </w:rPr>
        <w:t>Новосибирска) субсидий в объеме 73,7 млн. рублей приобретено 60 единиц подвижного состава.</w:t>
      </w:r>
    </w:p>
    <w:p w14:paraId="7F077C84"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 xml:space="preserve">Обновление </w:t>
      </w:r>
      <w:r w:rsidRPr="00336CDA">
        <w:rPr>
          <w:rFonts w:ascii="Times New Roman" w:hAnsi="Times New Roman" w:cs="Times New Roman"/>
          <w:sz w:val="28"/>
          <w:szCs w:val="28"/>
        </w:rPr>
        <w:t>парка подвижного состава общественного пассажирского транспорта на территории муниципальных районов Новосибирской области позволила снизить процент износа с 72,4% до 71,3%, тем самым повысить качество пассажирских перевозок, комфортабельность используемого подвижного состава пассажирского</w:t>
      </w:r>
      <w:r w:rsidRPr="00901F6F">
        <w:rPr>
          <w:rFonts w:ascii="Times New Roman" w:eastAsiaTheme="minorHAnsi" w:hAnsi="Times New Roman" w:cs="Times New Roman"/>
          <w:sz w:val="28"/>
          <w:szCs w:val="28"/>
          <w:lang w:eastAsia="en-US"/>
        </w:rPr>
        <w:t xml:space="preserve"> транспорта и стабильность транспортного обслуживания населения Новосибирской области.</w:t>
      </w:r>
    </w:p>
    <w:p w14:paraId="5D40CA30"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Уровень регулярности автобусного сообщения пассажирского транспорта по муниципальным маршрутам регулярных перевозок в 2019 году составляет 93%.</w:t>
      </w:r>
    </w:p>
    <w:p w14:paraId="1999858E"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 xml:space="preserve">Проводимые конкурсы по привлечению перевозчиков для перевозки пассажиров на муниципальных маршрутах регулярных перевозок позволили </w:t>
      </w:r>
      <w:r w:rsidRPr="00901F6F">
        <w:rPr>
          <w:rFonts w:ascii="Times New Roman" w:eastAsiaTheme="minorHAnsi" w:hAnsi="Times New Roman" w:cs="Times New Roman"/>
          <w:sz w:val="28"/>
          <w:szCs w:val="28"/>
          <w:lang w:eastAsia="en-US"/>
        </w:rPr>
        <w:lastRenderedPageBreak/>
        <w:t>увеличить количество перевозчиков негосударственных форм собственности, повысить качество и эффективность транспортного обслуживания населения.</w:t>
      </w:r>
    </w:p>
    <w:p w14:paraId="31A56490"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За 2019 год общий объем перевезенных пассажиров по муниципальным маршрутам регулярных перевозок составил – 267206,4 тыс. пасс., в том организациями частной формы собственности – 239157,3 тыс. пасс.</w:t>
      </w:r>
    </w:p>
    <w:p w14:paraId="310FC932"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Доля объема перевезенных пассажиров и багажа по муниципальным маршрутам регулярных перевозок (городской транспорт) организациями частной формы собственности в общем объеме перевезенных пассажиров и багажа по данным маршрутам в 2019 году составляет 89,5%.</w:t>
      </w:r>
    </w:p>
    <w:p w14:paraId="45A657AF" w14:textId="77777777" w:rsidR="003F4CFF" w:rsidRDefault="003F4CFF" w:rsidP="003F4CFF">
      <w:pPr>
        <w:ind w:firstLine="567"/>
        <w:jc w:val="both"/>
        <w:rPr>
          <w:rFonts w:ascii="Times New Roman" w:eastAsia="Times New Roman" w:hAnsi="Times New Roman" w:cs="Times New Roman"/>
          <w:sz w:val="28"/>
          <w:szCs w:val="28"/>
        </w:rPr>
      </w:pPr>
      <w:r w:rsidRPr="00735D67">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sidRPr="00735D67">
        <w:rPr>
          <w:rFonts w:ascii="Times New Roman" w:eastAsia="Times New Roman" w:hAnsi="Times New Roman" w:cs="Times New Roman"/>
          <w:sz w:val="28"/>
          <w:szCs w:val="28"/>
        </w:rPr>
        <w:t xml:space="preserve"> за 2019 год</w:t>
      </w:r>
      <w:r>
        <w:rPr>
          <w:rFonts w:ascii="Times New Roman" w:eastAsia="Times New Roman" w:hAnsi="Times New Roman" w:cs="Times New Roman"/>
          <w:sz w:val="28"/>
          <w:szCs w:val="28"/>
        </w:rPr>
        <w:t xml:space="preserve"> установлено, что 38% респондентов оценили уровень конкуренции как высокий. </w:t>
      </w:r>
    </w:p>
    <w:p w14:paraId="197EAA38" w14:textId="77777777" w:rsidR="003F4CFF"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непреодолимых административных барьеров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8%</w:t>
      </w:r>
      <w:r>
        <w:rPr>
          <w:rFonts w:ascii="Times New Roman" w:hAnsi="Times New Roman" w:cs="Times New Roman"/>
          <w:sz w:val="28"/>
          <w:szCs w:val="28"/>
        </w:rPr>
        <w:t xml:space="preserve"> субъектов предпринимательства. </w:t>
      </w:r>
      <w:r w:rsidRPr="00EC5135">
        <w:rPr>
          <w:rFonts w:ascii="Times New Roman" w:hAnsi="Times New Roman" w:cs="Times New Roman"/>
          <w:sz w:val="28"/>
          <w:szCs w:val="28"/>
        </w:rPr>
        <w:t>В оценке деятельности органов власти преобладает мнение, что органы власти помогают б</w:t>
      </w:r>
      <w:r>
        <w:rPr>
          <w:rFonts w:ascii="Times New Roman" w:hAnsi="Times New Roman" w:cs="Times New Roman"/>
          <w:sz w:val="28"/>
          <w:szCs w:val="28"/>
        </w:rPr>
        <w:t>изнесу своими действиями (40%).</w:t>
      </w:r>
    </w:p>
    <w:p w14:paraId="2B54F16C" w14:textId="77777777" w:rsidR="003F4CFF" w:rsidRPr="00780E31" w:rsidRDefault="003F4CFF" w:rsidP="003F4CFF">
      <w:pPr>
        <w:ind w:firstLine="567"/>
        <w:jc w:val="both"/>
        <w:rPr>
          <w:rFonts w:ascii="Times New Roman" w:eastAsia="Times New Roman" w:hAnsi="Times New Roman" w:cs="Times New Roman"/>
          <w:sz w:val="28"/>
          <w:szCs w:val="28"/>
        </w:rPr>
      </w:pPr>
      <w:r w:rsidRPr="00780E31">
        <w:rPr>
          <w:rFonts w:ascii="Times New Roman" w:hAnsi="Times New Roman" w:cs="Times New Roman"/>
          <w:sz w:val="28"/>
          <w:szCs w:val="28"/>
        </w:rPr>
        <w:t xml:space="preserve">Количество организаций на рынке оценивается как достаточное (так считают 56% потребителей), хотя распространено мнение и о нехватке организаций (40%), при этом рост числа организаций за последние 3 года отмечают 19% потребителей. </w:t>
      </w:r>
      <w:r w:rsidRPr="00780E31">
        <w:rPr>
          <w:rFonts w:ascii="Times New Roman" w:eastAsia="Times New Roman" w:hAnsi="Times New Roman" w:cs="Times New Roman"/>
          <w:sz w:val="28"/>
          <w:szCs w:val="28"/>
        </w:rPr>
        <w:t>Удовлетворенность потребителей выбором услуг, их качеством и стоимостью находится на среднем уровне (60%, 54% и 60% соответственно).</w:t>
      </w:r>
      <w:r w:rsidRPr="00780E31">
        <w:rPr>
          <w:rFonts w:ascii="Times New Roman" w:hAnsi="Times New Roman" w:cs="Times New Roman"/>
          <w:sz w:val="28"/>
          <w:szCs w:val="28"/>
        </w:rPr>
        <w:t xml:space="preserve"> Рост цен за последние 3 года отмечают 78% потребителей (эта доля выше, чем на большинстве исследуемых рынков), при этом более распространено мнение об ухудшении, чем об улучшении качества услуг (20% и 14% соответственно). Хотя показатели удовлетворенности потребителей данного рынка являются относительно благоприятными, положительной динамики не наблюдается.</w:t>
      </w:r>
    </w:p>
    <w:p w14:paraId="74BE9638"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оказания услуг по перевозке пассажиров автомобильным транспортом по межмуниципальным маршрутам регулярных перевозок</w:t>
      </w:r>
    </w:p>
    <w:p w14:paraId="4E95E851"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36CDA">
        <w:rPr>
          <w:rFonts w:ascii="Times New Roman" w:eastAsiaTheme="minorHAnsi" w:hAnsi="Times New Roman" w:cs="Times New Roman"/>
          <w:sz w:val="28"/>
          <w:szCs w:val="28"/>
          <w:lang w:eastAsia="en-US"/>
        </w:rPr>
        <w:t>В Новосибирской области оказание услуг по перевозке пассажиров автомобильным транспортом по межмуниципальным маршрутам регулярных перевозок осуществляется по 2 направлениям:</w:t>
      </w:r>
    </w:p>
    <w:p w14:paraId="67FE3C92"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36CDA">
        <w:rPr>
          <w:rFonts w:ascii="Times New Roman" w:eastAsiaTheme="minorHAnsi" w:hAnsi="Times New Roman" w:cs="Times New Roman"/>
          <w:sz w:val="28"/>
          <w:szCs w:val="28"/>
          <w:lang w:eastAsia="en-US"/>
        </w:rPr>
        <w:t>по межмуниципальным (пригородным) маршрутам Новосибирской области;</w:t>
      </w:r>
    </w:p>
    <w:p w14:paraId="1F66A261"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36CDA">
        <w:rPr>
          <w:rFonts w:ascii="Times New Roman" w:eastAsiaTheme="minorHAnsi" w:hAnsi="Times New Roman" w:cs="Times New Roman"/>
          <w:sz w:val="28"/>
          <w:szCs w:val="28"/>
          <w:lang w:eastAsia="en-US"/>
        </w:rPr>
        <w:t>по межмуниципальным (внутриобластным) маршрутам Новосибирской области.</w:t>
      </w:r>
    </w:p>
    <w:p w14:paraId="3F7027F3"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36CDA">
        <w:rPr>
          <w:rFonts w:ascii="Times New Roman" w:hAnsi="Times New Roman" w:cs="Times New Roman"/>
          <w:sz w:val="28"/>
          <w:szCs w:val="28"/>
        </w:rPr>
        <w:t xml:space="preserve">В 2019 году министерством транспорта и дорожного хозяйства Новосибирской области продолжена работа по оказанию государственной поддержки организаций пассажирского автомобильного транспорта в форме создания условий для приобретения (обновления) подвижного состава общественного пассажирского транспорта для работы по регулируемым тарифам на межмуниципальных маршрутах регулярных перевозок </w:t>
      </w:r>
      <w:r w:rsidRPr="00336CDA">
        <w:rPr>
          <w:rFonts w:ascii="Times New Roman" w:eastAsiaTheme="minorHAnsi" w:hAnsi="Times New Roman" w:cs="Times New Roman"/>
          <w:sz w:val="28"/>
          <w:szCs w:val="28"/>
          <w:lang w:eastAsia="en-US"/>
        </w:rPr>
        <w:t>пригородного сообщения.</w:t>
      </w:r>
    </w:p>
    <w:p w14:paraId="4CB95E68"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36CDA">
        <w:rPr>
          <w:rFonts w:ascii="Times New Roman" w:eastAsiaTheme="minorHAnsi" w:hAnsi="Times New Roman" w:cs="Times New Roman"/>
          <w:sz w:val="28"/>
          <w:szCs w:val="28"/>
          <w:lang w:eastAsia="en-US"/>
        </w:rPr>
        <w:t>За счет предоставленных перевозчикам субсидий из областного бюджета Новосибирской области в объеме 4,3 млн. рублей возмещено 30% от фактической стоимости приобретенных автобусов в количестве 8 единиц.</w:t>
      </w:r>
    </w:p>
    <w:p w14:paraId="7E67A068"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36CDA">
        <w:rPr>
          <w:rFonts w:ascii="Times New Roman" w:eastAsiaTheme="minorHAnsi" w:hAnsi="Times New Roman" w:cs="Times New Roman"/>
          <w:sz w:val="28"/>
          <w:szCs w:val="28"/>
          <w:lang w:eastAsia="en-US"/>
        </w:rPr>
        <w:lastRenderedPageBreak/>
        <w:t>Предоставление субсидий из областного бюджета Новосибирской области создает условия перевозчикам пассажирского транспорта для безубыточной работы и обеспечивает бесперебойное транспортное обслуживание населения, в том числе инвалидов и маломобильных групп населения.</w:t>
      </w:r>
    </w:p>
    <w:p w14:paraId="6881B3CF"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Уровень регулярности транспортного сообщения пассажирского транспорта по межмуниципальным маршру</w:t>
      </w:r>
      <w:r>
        <w:rPr>
          <w:rFonts w:ascii="Times New Roman" w:eastAsiaTheme="minorHAnsi" w:hAnsi="Times New Roman" w:cs="Times New Roman"/>
          <w:sz w:val="28"/>
          <w:szCs w:val="28"/>
          <w:lang w:eastAsia="en-US"/>
        </w:rPr>
        <w:t>там регулярных перевозок в 2019 </w:t>
      </w:r>
      <w:r w:rsidRPr="00901F6F">
        <w:rPr>
          <w:rFonts w:ascii="Times New Roman" w:eastAsiaTheme="minorHAnsi" w:hAnsi="Times New Roman" w:cs="Times New Roman"/>
          <w:sz w:val="28"/>
          <w:szCs w:val="28"/>
          <w:lang w:eastAsia="en-US"/>
        </w:rPr>
        <w:t>году составил 93%.</w:t>
      </w:r>
    </w:p>
    <w:p w14:paraId="52DBFA1E"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С целью максимального привлечения перевозчиков частного бизнеса и повышения уровня качества предоставляемых услуг при перевозке пассажиров проводятся конкурсные процедуры, по результатам которых заключаются договоры и (или) выдаются свидетельства на осуществление регулярных перевозок пассажиров автомобильным транспортном по межмуниципальным маршрутам регулярных перевозок.</w:t>
      </w:r>
    </w:p>
    <w:p w14:paraId="5C173CA5"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За 2019 год общий объем перевезенных пассажиров составил – 32783,4 тыс. пассажиров, в том организациями частной формы собственности – 32027,8 тыс. пассажиров.</w:t>
      </w:r>
    </w:p>
    <w:p w14:paraId="027E676D"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 xml:space="preserve">Расписания движения автомобильного транспорта по межмуниципальным маршрутам регулярных перевозок размещены в сети «Интернет» на официальном сайте министерства транспорта и дорожного хозяйства Новосибирской области. </w:t>
      </w:r>
    </w:p>
    <w:p w14:paraId="46528023"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В целях совершенствования системы организации контроля и управления на пассажирском транспорте Новосибирской области задействована автоматизированная система контроля с использованием спутниковой навигации (ГЛОНАСС/GPS), в рамках Региональной навигационно-информационной системы Новосибирской области (РНИС НСО). Данная система позволяет осуществлять контроль за регулярностью транспортного сообщения, что позволяет повысить уровень транспортного обслуживания населения.</w:t>
      </w:r>
    </w:p>
    <w:p w14:paraId="660A99C1"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36CDA">
        <w:rPr>
          <w:rFonts w:ascii="Times New Roman" w:eastAsiaTheme="minorHAnsi" w:hAnsi="Times New Roman" w:cs="Times New Roman"/>
          <w:sz w:val="28"/>
          <w:szCs w:val="28"/>
          <w:lang w:eastAsia="en-US"/>
        </w:rPr>
        <w:t xml:space="preserve">Действующая государственная программа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 на 2014-2021 годы», утвержденная постановлением Правительства Новосибирской области от 24.02.2014 № 83-п «Об утверждении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 обеспечивает стабильное развитие транспортного обслуживания населения </w:t>
      </w:r>
      <w:r w:rsidRPr="00901F6F">
        <w:rPr>
          <w:rFonts w:ascii="Times New Roman" w:eastAsiaTheme="minorHAnsi" w:hAnsi="Times New Roman" w:cs="Times New Roman"/>
          <w:sz w:val="28"/>
          <w:szCs w:val="28"/>
          <w:lang w:eastAsia="en-US"/>
        </w:rPr>
        <w:t xml:space="preserve">по межмуниципальным маршрутам регулярных перевозок </w:t>
      </w:r>
      <w:r w:rsidRPr="00336CDA">
        <w:rPr>
          <w:rFonts w:ascii="Times New Roman" w:eastAsiaTheme="minorHAnsi" w:hAnsi="Times New Roman" w:cs="Times New Roman"/>
          <w:sz w:val="28"/>
          <w:szCs w:val="28"/>
          <w:lang w:eastAsia="en-US"/>
        </w:rPr>
        <w:t>Новосибирской области.</w:t>
      </w:r>
    </w:p>
    <w:p w14:paraId="3FB96631"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Доля объема перевезенных пассажиров и багажа по межмуниципальным маршрутам регулярных перевозок организациями частной формы собственности в общем объеме перевезенных пассажиров и багажа по данным маршрутам в 2019 году составила 98%.</w:t>
      </w:r>
    </w:p>
    <w:p w14:paraId="469240EA" w14:textId="77777777" w:rsidR="003F4CFF" w:rsidRPr="00780E31" w:rsidRDefault="003F4CFF" w:rsidP="003F4CFF">
      <w:pPr>
        <w:ind w:firstLine="567"/>
        <w:jc w:val="both"/>
        <w:rPr>
          <w:rFonts w:ascii="Times New Roman" w:hAnsi="Times New Roman" w:cs="Times New Roman"/>
          <w:sz w:val="28"/>
          <w:szCs w:val="28"/>
        </w:rPr>
      </w:pPr>
      <w:r w:rsidRPr="00780E31">
        <w:rPr>
          <w:rFonts w:ascii="Times New Roman" w:hAnsi="Times New Roman" w:cs="Times New Roman"/>
          <w:sz w:val="28"/>
          <w:szCs w:val="28"/>
        </w:rPr>
        <w:t xml:space="preserve">В ходе </w:t>
      </w:r>
      <w:r w:rsidRPr="00780E31">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 за 2019 год</w:t>
      </w:r>
      <w:r w:rsidRPr="00780E31">
        <w:rPr>
          <w:rFonts w:ascii="Times New Roman" w:hAnsi="Times New Roman" w:cs="Times New Roman"/>
          <w:sz w:val="28"/>
          <w:szCs w:val="28"/>
        </w:rPr>
        <w:t xml:space="preserve"> высокий уровень конкуренции на данном рынке отметили 62% респондентов.</w:t>
      </w:r>
    </w:p>
    <w:p w14:paraId="73D1260C" w14:textId="77777777" w:rsidR="003F4CFF" w:rsidRPr="00780E31" w:rsidRDefault="003F4CFF" w:rsidP="003F4CFF">
      <w:pPr>
        <w:ind w:firstLine="567"/>
        <w:jc w:val="both"/>
        <w:rPr>
          <w:rFonts w:ascii="Times New Roman" w:hAnsi="Times New Roman" w:cs="Times New Roman"/>
          <w:sz w:val="28"/>
          <w:szCs w:val="28"/>
        </w:rPr>
      </w:pPr>
      <w:r w:rsidRPr="00780E31">
        <w:rPr>
          <w:rFonts w:ascii="Times New Roman" w:hAnsi="Times New Roman" w:cs="Times New Roman"/>
          <w:sz w:val="28"/>
          <w:szCs w:val="28"/>
        </w:rPr>
        <w:lastRenderedPageBreak/>
        <w:t xml:space="preserve">Наличие непреодолимых административных барьеров отметили 20% субъектов предпринимательства. Наиболее существенным барьером для ведения текущей деятельности и открытия нового бизнеса является нестабильность законодательства, регулирующего предпринимательскую деятельность (отметили 50% респондентов). </w:t>
      </w:r>
    </w:p>
    <w:p w14:paraId="39ADA0C8" w14:textId="77777777" w:rsidR="003F4CFF" w:rsidRPr="00780E31" w:rsidRDefault="003F4CFF" w:rsidP="003F4CFF">
      <w:pPr>
        <w:ind w:firstLine="567"/>
        <w:jc w:val="both"/>
        <w:rPr>
          <w:rFonts w:ascii="Times New Roman" w:hAnsi="Times New Roman" w:cs="Times New Roman"/>
          <w:b/>
          <w:sz w:val="28"/>
          <w:szCs w:val="28"/>
        </w:rPr>
      </w:pPr>
      <w:r w:rsidRPr="00780E31">
        <w:rPr>
          <w:rFonts w:ascii="Times New Roman" w:hAnsi="Times New Roman" w:cs="Times New Roman"/>
          <w:sz w:val="28"/>
          <w:szCs w:val="28"/>
        </w:rPr>
        <w:t xml:space="preserve">В оценке деятельности органов власти преобладает мнение, что в чем-то органы власти помогают, в чем-то мешают (36%). </w:t>
      </w:r>
    </w:p>
    <w:p w14:paraId="54FDED66" w14:textId="77777777" w:rsidR="003F4CFF" w:rsidRPr="00780E31" w:rsidRDefault="003F4CFF" w:rsidP="003F4CFF">
      <w:pPr>
        <w:ind w:firstLine="567"/>
        <w:jc w:val="both"/>
        <w:rPr>
          <w:rFonts w:ascii="Times New Roman" w:eastAsia="Times New Roman" w:hAnsi="Times New Roman" w:cs="Times New Roman"/>
          <w:sz w:val="28"/>
          <w:szCs w:val="28"/>
        </w:rPr>
      </w:pPr>
      <w:r w:rsidRPr="00780E31">
        <w:rPr>
          <w:rFonts w:ascii="Times New Roman" w:hAnsi="Times New Roman" w:cs="Times New Roman"/>
          <w:sz w:val="28"/>
          <w:szCs w:val="28"/>
        </w:rPr>
        <w:t xml:space="preserve">Количество организаций на рынке оценивается как достаточное (так считают 55% потребителей), хотя распространено мнение и о нехватке организаций (41%), при этом рост числа организаций за последние 3 года отмечают 17% потребителей. </w:t>
      </w:r>
      <w:r w:rsidRPr="00780E31">
        <w:rPr>
          <w:rFonts w:ascii="Times New Roman" w:eastAsia="Times New Roman" w:hAnsi="Times New Roman" w:cs="Times New Roman"/>
          <w:sz w:val="28"/>
          <w:szCs w:val="28"/>
        </w:rPr>
        <w:t>Удовлетворенность потребителей выбором услуг, их качеством и стоимостью находится на среднем уровне (58%, 58% и 56% соответственно).</w:t>
      </w:r>
      <w:r w:rsidRPr="00780E31">
        <w:rPr>
          <w:rFonts w:ascii="Times New Roman" w:hAnsi="Times New Roman" w:cs="Times New Roman"/>
          <w:sz w:val="28"/>
          <w:szCs w:val="28"/>
        </w:rPr>
        <w:t xml:space="preserve"> Рост цен за последние 3 года отмечают 77% потребителей (эта доля выше, чем на большинстве исследуемых рынков), при этом более распространено мнение об ухудшении, чем об улучшении качества услуг (18% и 14% соответственно). Хотя показатели удовлетворенности потребителей данного рынка являются относительно благоприятными, положительной динамики не наблюдается.</w:t>
      </w:r>
    </w:p>
    <w:p w14:paraId="2C894C9B"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оказания услуг по перевозке пассажиров и багажа легковым такси на территории Новосибирской области</w:t>
      </w:r>
    </w:p>
    <w:p w14:paraId="2A4C9506"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Основным направлением деятельности по регулированию рынка оказания услуг по перевозке пассажиров и багажа легковым такси на территории Новосибирской области является оптимизация процедуры выдачи разрешений на осуществление деятельности по перевозке пассажиров и багажа легковым такси.</w:t>
      </w:r>
    </w:p>
    <w:p w14:paraId="56FDE24B" w14:textId="77777777" w:rsidR="003F4CFF" w:rsidRPr="00901F6F" w:rsidRDefault="003F4CFF" w:rsidP="003F4CFF">
      <w:pPr>
        <w:widowControl w:val="0"/>
        <w:shd w:val="clear" w:color="auto" w:fill="FFFFFF" w:themeFill="background1"/>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В соответствии с постановлением Правительства Новоси</w:t>
      </w:r>
      <w:r>
        <w:rPr>
          <w:rFonts w:ascii="Times New Roman" w:eastAsiaTheme="minorHAnsi" w:hAnsi="Times New Roman" w:cs="Times New Roman"/>
          <w:sz w:val="28"/>
          <w:szCs w:val="28"/>
          <w:lang w:eastAsia="en-US"/>
        </w:rPr>
        <w:t>бирской области от 25.08.2011 № </w:t>
      </w:r>
      <w:r w:rsidRPr="00901F6F">
        <w:rPr>
          <w:rFonts w:ascii="Times New Roman" w:eastAsiaTheme="minorHAnsi" w:hAnsi="Times New Roman" w:cs="Times New Roman"/>
          <w:sz w:val="28"/>
          <w:szCs w:val="28"/>
          <w:lang w:eastAsia="en-US"/>
        </w:rPr>
        <w:t xml:space="preserve">372-п </w:t>
      </w:r>
      <w:r w:rsidRPr="00901F6F">
        <w:rPr>
          <w:rFonts w:ascii="Times New Roman" w:eastAsia="Times New Roman" w:hAnsi="Times New Roman" w:cs="Times New Roman"/>
          <w:sz w:val="28"/>
          <w:szCs w:val="28"/>
        </w:rPr>
        <w:t xml:space="preserve">«О порядке выдачи разрешения на осуществление деятельности по перевозке пассажиров и багажа легковым такси на территории Новосибирской области» </w:t>
      </w:r>
      <w:r w:rsidRPr="00901F6F">
        <w:rPr>
          <w:rFonts w:ascii="Times New Roman" w:eastAsiaTheme="minorHAnsi" w:hAnsi="Times New Roman" w:cs="Times New Roman"/>
          <w:sz w:val="28"/>
          <w:szCs w:val="28"/>
          <w:lang w:eastAsia="en-US"/>
        </w:rPr>
        <w:t>выдача разрешений осуществляется двумя способами оформления документов</w:t>
      </w:r>
      <w:r>
        <w:rPr>
          <w:rFonts w:ascii="Times New Roman" w:eastAsiaTheme="minorHAnsi" w:hAnsi="Times New Roman" w:cs="Times New Roman"/>
          <w:sz w:val="28"/>
          <w:szCs w:val="28"/>
          <w:lang w:eastAsia="en-US"/>
        </w:rPr>
        <w:t xml:space="preserve">: </w:t>
      </w:r>
      <w:r w:rsidRPr="00901F6F">
        <w:rPr>
          <w:rFonts w:ascii="Times New Roman" w:eastAsiaTheme="minorHAnsi" w:hAnsi="Times New Roman" w:cs="Times New Roman"/>
          <w:sz w:val="28"/>
          <w:szCs w:val="28"/>
          <w:lang w:eastAsia="en-US"/>
        </w:rPr>
        <w:t>через единый портал государственных услуг (ЕПГУ) или ГАО НСО «МФЦ».</w:t>
      </w:r>
    </w:p>
    <w:p w14:paraId="64DF2C4A"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В 2019 году средний срок оформления и выдачи разрешения на осуществление деятельности по перевозке пассажиров и багажа легковым такси на территории Новосибирской области составил 21 день.</w:t>
      </w:r>
    </w:p>
    <w:p w14:paraId="60B2F2F0" w14:textId="77777777" w:rsidR="003F4CFF" w:rsidRPr="00901F6F" w:rsidRDefault="003F4CFF" w:rsidP="003F4CFF">
      <w:pPr>
        <w:widowControl w:val="0"/>
        <w:shd w:val="clear" w:color="auto" w:fill="FFFFFF" w:themeFill="background1"/>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В настоящее время предоставление государственной услуги происходит в новой версии модуля «Выдача разрешения на осуществление деятельности по перевозке пассажиров и багажа легковым такси» подсистемы «Минтранс» государственной информационной системы Новосибирской области МАИС. В соответствии с данной системой общее количество выданных разрешений в период с 2011 года по 2019 год составляет 17263 шт.</w:t>
      </w:r>
    </w:p>
    <w:p w14:paraId="4C1EDC25"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 xml:space="preserve">В 2019 году действующих разрешений – 3148 ед., из них: индивидуальные предприниматели – 1731 ед., юридические лица – 1417 ед. </w:t>
      </w:r>
    </w:p>
    <w:p w14:paraId="56F0540D"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Выдано разрешений в 2019 году – 1189 ед., из них 522 разрешения –юридическим лицам, 667 разрешений – индивидуальным предпринимателям. Все разрешения выданы для легковых такси, принадлежащих организациям (перевозчикам) частной формы собственности, всего 249 перевозчиков.</w:t>
      </w:r>
    </w:p>
    <w:p w14:paraId="5CD5640B" w14:textId="77777777" w:rsidR="003F4CFF" w:rsidRPr="00901F6F" w:rsidRDefault="003F4CFF" w:rsidP="003F4CFF">
      <w:pPr>
        <w:shd w:val="clear" w:color="auto" w:fill="FFFFFF" w:themeFill="background1"/>
        <w:tabs>
          <w:tab w:val="left" w:pos="993"/>
        </w:tabs>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lastRenderedPageBreak/>
        <w:t>В рамках регионального контроля министерством транспорта и дорожного хозяйства проводится активная работа, направленная на выявление нелегальных перевозчиков, предлагающих свои услуги под видом таксомоторных перевозок.</w:t>
      </w:r>
    </w:p>
    <w:p w14:paraId="016BD45D" w14:textId="77777777" w:rsidR="003F4CFF" w:rsidRPr="00901F6F" w:rsidRDefault="003F4CFF" w:rsidP="003F4CFF">
      <w:pPr>
        <w:shd w:val="clear" w:color="auto" w:fill="FFFFFF" w:themeFill="background1"/>
        <w:tabs>
          <w:tab w:val="left" w:pos="993"/>
        </w:tabs>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 xml:space="preserve">Проведение проверок по выявлению нелегальных перевозчиков носят, как правило, рейдовый характер. </w:t>
      </w:r>
    </w:p>
    <w:p w14:paraId="20BEA983" w14:textId="77777777" w:rsidR="003F4CFF" w:rsidRPr="00901F6F" w:rsidRDefault="003F4CFF" w:rsidP="003F4CFF">
      <w:pPr>
        <w:shd w:val="clear" w:color="auto" w:fill="FFFFFF" w:themeFill="background1"/>
        <w:tabs>
          <w:tab w:val="left" w:pos="993"/>
        </w:tabs>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Проверки проводятся министерством транспорта и дорожного хозяйства Новосибирской области совместно с представителями УГИБДД Новосибирской области ГУ МВД России по Новосибирской области, УЭБ и ПК ГУ МВД России по Новосибирской области и НП «Таксомоторные Перевозчики Сибири».</w:t>
      </w:r>
    </w:p>
    <w:p w14:paraId="4D79C322"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Рынок оказания услуг по перевозке пассажиров и багажа легковым такси на территории Новосибирской области характеризуется присутствием перевозчиков только частной формы собственности. Государственный и муниципальный сегмент на данном рынке отсутствует.</w:t>
      </w:r>
    </w:p>
    <w:p w14:paraId="533FCBB3"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Доля организаций частной формы собственности в сфере оказания услуг по перевозке пассажиров и багажа легковым такси на территории Новосибирской области в 2019 году составила 100%.</w:t>
      </w:r>
    </w:p>
    <w:p w14:paraId="51767A2D"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 xml:space="preserve">Реестр выданных разрешений на осуществление деятельности по перевозке пассажиров и багажа легковым такси на территории Новосибирской области организаций находится в открытом доступе, размещен на официальном сайте министерства транспорта и дорожного хозяйства Новосибирской области </w:t>
      </w:r>
      <w:hyperlink r:id="rId65" w:history="1">
        <w:r w:rsidRPr="00547020">
          <w:rPr>
            <w:rFonts w:ascii="Times New Roman" w:eastAsiaTheme="minorHAnsi" w:hAnsi="Times New Roman" w:cs="Times New Roman"/>
            <w:color w:val="0042C7" w:themeColor="text2" w:themeTint="BF"/>
            <w:sz w:val="28"/>
            <w:szCs w:val="28"/>
            <w:u w:val="single"/>
            <w:lang w:eastAsia="en-US"/>
          </w:rPr>
          <w:t>www.mintrans.nso.ru</w:t>
        </w:r>
      </w:hyperlink>
      <w:r w:rsidRPr="00901F6F">
        <w:rPr>
          <w:rFonts w:ascii="Times New Roman" w:eastAsiaTheme="minorHAnsi" w:hAnsi="Times New Roman" w:cs="Times New Roman"/>
          <w:sz w:val="28"/>
          <w:szCs w:val="28"/>
          <w:lang w:eastAsia="en-US"/>
        </w:rPr>
        <w:t>. Доступность информации и прозрачности условий получения разрешений обеспечивается в полном объеме.</w:t>
      </w:r>
    </w:p>
    <w:p w14:paraId="4939FC9E" w14:textId="77777777" w:rsidR="003F4CFF" w:rsidRPr="00EC5135" w:rsidRDefault="003F4CFF" w:rsidP="003F4CFF">
      <w:pPr>
        <w:ind w:firstLine="567"/>
        <w:jc w:val="both"/>
        <w:rPr>
          <w:rFonts w:ascii="Times New Roman" w:hAnsi="Times New Roman" w:cs="Times New Roman"/>
          <w:sz w:val="28"/>
          <w:szCs w:val="28"/>
        </w:rPr>
      </w:pPr>
      <w:r w:rsidRPr="003937BC">
        <w:rPr>
          <w:rFonts w:ascii="Times New Roman" w:hAnsi="Times New Roman" w:cs="Times New Roman"/>
          <w:sz w:val="28"/>
          <w:szCs w:val="28"/>
        </w:rPr>
        <w:t xml:space="preserve">В ходе </w:t>
      </w:r>
      <w:r w:rsidRPr="003937BC">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 за 2019 год</w:t>
      </w:r>
      <w:r>
        <w:rPr>
          <w:rFonts w:ascii="Times New Roman" w:hAnsi="Times New Roman" w:cs="Times New Roman"/>
          <w:sz w:val="28"/>
          <w:szCs w:val="28"/>
        </w:rPr>
        <w:t xml:space="preserve"> з</w:t>
      </w:r>
      <w:r w:rsidRPr="00EC5135">
        <w:rPr>
          <w:rFonts w:ascii="Times New Roman" w:hAnsi="Times New Roman" w:cs="Times New Roman"/>
          <w:sz w:val="28"/>
          <w:szCs w:val="28"/>
        </w:rPr>
        <w:t>афиксированы высокие оценки уровня конкуренции на рынке: 75% опрошенных субъектов предпринимательства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высокую конкуренцию, доля низких оценок уровня конкуренции на данном рынке (слабая конкуренция либо нет конкуренции) – 8%.</w:t>
      </w:r>
    </w:p>
    <w:p w14:paraId="509D254B"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непреодолимых административных барьеров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16%</w:t>
      </w:r>
      <w:r>
        <w:rPr>
          <w:rFonts w:ascii="Times New Roman" w:hAnsi="Times New Roman" w:cs="Times New Roman"/>
          <w:sz w:val="28"/>
          <w:szCs w:val="28"/>
        </w:rPr>
        <w:t xml:space="preserve"> субъектов предпринимательства</w:t>
      </w:r>
      <w:r w:rsidRPr="00EC5135">
        <w:rPr>
          <w:rFonts w:ascii="Times New Roman" w:hAnsi="Times New Roman" w:cs="Times New Roman"/>
          <w:sz w:val="28"/>
          <w:szCs w:val="28"/>
        </w:rPr>
        <w:t xml:space="preserve">. Основным </w:t>
      </w:r>
      <w:r>
        <w:rPr>
          <w:rFonts w:ascii="Times New Roman" w:hAnsi="Times New Roman" w:cs="Times New Roman"/>
          <w:sz w:val="28"/>
          <w:szCs w:val="28"/>
        </w:rPr>
        <w:t xml:space="preserve">административным </w:t>
      </w:r>
      <w:r w:rsidRPr="00EC5135">
        <w:rPr>
          <w:rFonts w:ascii="Times New Roman" w:hAnsi="Times New Roman" w:cs="Times New Roman"/>
          <w:sz w:val="28"/>
          <w:szCs w:val="28"/>
        </w:rPr>
        <w:t xml:space="preserve">барьером </w:t>
      </w:r>
      <w:r>
        <w:rPr>
          <w:rFonts w:ascii="Times New Roman" w:hAnsi="Times New Roman" w:cs="Times New Roman"/>
          <w:sz w:val="28"/>
          <w:szCs w:val="28"/>
        </w:rPr>
        <w:t xml:space="preserve">на этом рынке </w:t>
      </w:r>
      <w:r w:rsidRPr="00EC5135">
        <w:rPr>
          <w:rFonts w:ascii="Times New Roman" w:hAnsi="Times New Roman" w:cs="Times New Roman"/>
          <w:sz w:val="28"/>
          <w:szCs w:val="28"/>
        </w:rPr>
        <w:t>является сложность процедуры получения лицензий, средств государственной поддержки, разрешени</w:t>
      </w:r>
      <w:r>
        <w:rPr>
          <w:rFonts w:ascii="Times New Roman" w:hAnsi="Times New Roman" w:cs="Times New Roman"/>
          <w:sz w:val="28"/>
          <w:szCs w:val="28"/>
        </w:rPr>
        <w:t>й, согласований (</w:t>
      </w:r>
      <w:r w:rsidRPr="00EC5135">
        <w:rPr>
          <w:rFonts w:ascii="Times New Roman" w:hAnsi="Times New Roman" w:cs="Times New Roman"/>
          <w:sz w:val="28"/>
          <w:szCs w:val="28"/>
        </w:rPr>
        <w:t xml:space="preserve">19%). </w:t>
      </w:r>
    </w:p>
    <w:p w14:paraId="37AC9DAA" w14:textId="77777777" w:rsidR="003F4CFF" w:rsidRPr="00E00F38" w:rsidRDefault="003F4CFF" w:rsidP="003F4CFF">
      <w:pPr>
        <w:ind w:firstLine="567"/>
        <w:jc w:val="both"/>
        <w:rPr>
          <w:rFonts w:ascii="Times New Roman" w:hAnsi="Times New Roman" w:cs="Times New Roman"/>
          <w:b/>
          <w:sz w:val="28"/>
          <w:szCs w:val="28"/>
        </w:rPr>
      </w:pPr>
      <w:r w:rsidRPr="00EC5135">
        <w:rPr>
          <w:rFonts w:ascii="Times New Roman" w:hAnsi="Times New Roman" w:cs="Times New Roman"/>
          <w:sz w:val="28"/>
          <w:szCs w:val="28"/>
        </w:rPr>
        <w:t>В оценке деятельности органов власти преобладает мнение, что органы власти ничего не предпринимают, и их участие не нужно (35%). При этом менее выражено, чем на большинстве рынков, мнение, что органы власти помогают бизнесу своими действиями (14%), и несколько более выражено мнение, что органы власти мешают бизнесу своими действиями (14%).</w:t>
      </w:r>
    </w:p>
    <w:p w14:paraId="7429606A" w14:textId="77777777" w:rsidR="003F4CFF" w:rsidRPr="003937BC" w:rsidRDefault="003F4CFF" w:rsidP="003F4CFF">
      <w:pPr>
        <w:ind w:firstLine="567"/>
        <w:jc w:val="both"/>
        <w:rPr>
          <w:rFonts w:ascii="Times New Roman" w:eastAsia="Times New Roman" w:hAnsi="Times New Roman" w:cs="Times New Roman"/>
          <w:sz w:val="28"/>
          <w:szCs w:val="28"/>
        </w:rPr>
      </w:pPr>
      <w:r w:rsidRPr="003937BC">
        <w:rPr>
          <w:rFonts w:ascii="Times New Roman" w:eastAsia="Times New Roman" w:hAnsi="Times New Roman" w:cs="Times New Roman"/>
          <w:sz w:val="28"/>
          <w:szCs w:val="28"/>
        </w:rPr>
        <w:t xml:space="preserve">Удовлетворенность потребителей возможностью выбора услуг находится на высоком уровне (80%), недостатка организаций на данном рынке не наблюдается (отмечают только 15% потребителей). По этим показателям наблюдается значительная положительная динамика за последние 3 года: отмечают рост числа организаций 55% потребителей, увеличение возможности выбора услуг – 47%. Удовлетворенность качеством услуг и их стоимостью находится на среднем уровне, но близка к высокому уровню (71% и 68% соответственно). Рост уровня </w:t>
      </w:r>
      <w:r w:rsidRPr="003937BC">
        <w:rPr>
          <w:rFonts w:ascii="Times New Roman" w:eastAsia="Times New Roman" w:hAnsi="Times New Roman" w:cs="Times New Roman"/>
          <w:sz w:val="28"/>
          <w:szCs w:val="28"/>
        </w:rPr>
        <w:lastRenderedPageBreak/>
        <w:t xml:space="preserve">цен за последние 3 года (отмечают 69% потребителей) сопровождается некоторым повышением качества услуг (повышение качества отмечают 25% потребителей, снижение – 17%). </w:t>
      </w:r>
    </w:p>
    <w:p w14:paraId="7264C4A8" w14:textId="77777777" w:rsidR="003F4CFF" w:rsidRPr="00797031" w:rsidRDefault="003F4CFF" w:rsidP="003F4CFF">
      <w:pPr>
        <w:pStyle w:val="ac"/>
        <w:ind w:firstLine="567"/>
        <w:jc w:val="both"/>
        <w:rPr>
          <w:rFonts w:ascii="Times New Roman" w:hAnsi="Times New Roman"/>
          <w:b/>
        </w:rPr>
      </w:pPr>
      <w:r w:rsidRPr="00797031">
        <w:rPr>
          <w:rFonts w:ascii="Times New Roman" w:hAnsi="Times New Roman"/>
          <w:b/>
        </w:rPr>
        <w:t>Рынок услуг связи, в том числе услуг по предоставлению широкополосного доступа к информационно-телекоммуникационной сети «Интернет»</w:t>
      </w:r>
    </w:p>
    <w:p w14:paraId="1ED94E81" w14:textId="77777777" w:rsidR="003F4CFF" w:rsidRPr="006A43D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6A43DF">
        <w:rPr>
          <w:rFonts w:ascii="Times New Roman" w:eastAsiaTheme="minorHAnsi" w:hAnsi="Times New Roman" w:cs="Times New Roman"/>
          <w:sz w:val="28"/>
          <w:szCs w:val="28"/>
          <w:lang w:eastAsia="en-US"/>
        </w:rPr>
        <w:t>В Новосибирской области услуги мобильной связи предоставляют 4 крупных оператора: Сибирский регион ПАО «ВымпелКом», филиал ПАО «Мобильные ТелеСистемы» в Новосибирской области, Сибирский филиал ПАО «МегаФон», макрорегиональный филиал «Сибирь» ООО «Т2 Мобайл».</w:t>
      </w:r>
    </w:p>
    <w:p w14:paraId="11A56CE1" w14:textId="77777777" w:rsidR="003F4CFF" w:rsidRPr="006A43D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6A43DF">
        <w:rPr>
          <w:rFonts w:ascii="Times New Roman" w:eastAsiaTheme="minorHAnsi" w:hAnsi="Times New Roman" w:cs="Times New Roman"/>
          <w:sz w:val="28"/>
          <w:szCs w:val="28"/>
          <w:lang w:eastAsia="en-US"/>
        </w:rPr>
        <w:t xml:space="preserve">Проникновение подвижной радиотелефонной (сотовой) связи </w:t>
      </w:r>
      <w:r w:rsidRPr="00336CDA">
        <w:rPr>
          <w:rFonts w:ascii="Times New Roman" w:eastAsiaTheme="minorHAnsi" w:hAnsi="Times New Roman" w:cs="Times New Roman"/>
          <w:sz w:val="28"/>
          <w:szCs w:val="28"/>
          <w:lang w:eastAsia="en-US"/>
        </w:rPr>
        <w:t>(число абонентских устройств сотовой связи (сим-карт)</w:t>
      </w:r>
      <w:r w:rsidRPr="006A43DF">
        <w:rPr>
          <w:rFonts w:ascii="Times New Roman" w:eastAsiaTheme="minorHAnsi" w:hAnsi="Times New Roman" w:cs="Times New Roman"/>
          <w:sz w:val="28"/>
          <w:szCs w:val="28"/>
          <w:lang w:eastAsia="en-US"/>
        </w:rPr>
        <w:t xml:space="preserve"> на 100 человек населения Новосибирской области составляет 198,9 штук (общее число абонентов в регионе составляет более 5 млн. человек).</w:t>
      </w:r>
    </w:p>
    <w:p w14:paraId="124EA831" w14:textId="77777777" w:rsidR="003F4CFF" w:rsidRPr="006A43D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6A43DF">
        <w:rPr>
          <w:rFonts w:ascii="Times New Roman" w:eastAsiaTheme="minorHAnsi" w:hAnsi="Times New Roman" w:cs="Times New Roman"/>
          <w:sz w:val="28"/>
          <w:szCs w:val="28"/>
          <w:lang w:eastAsia="en-US"/>
        </w:rPr>
        <w:t>Зона действия базовых станций операторов сотовой связи охватывает более 90% территории Новосибирской области.</w:t>
      </w:r>
    </w:p>
    <w:p w14:paraId="6E9718F8" w14:textId="77777777" w:rsidR="003F4CFF" w:rsidRPr="003937BC"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6A43DF">
        <w:rPr>
          <w:rFonts w:ascii="Times New Roman" w:eastAsiaTheme="minorHAnsi" w:hAnsi="Times New Roman" w:cs="Times New Roman"/>
          <w:sz w:val="28"/>
          <w:szCs w:val="28"/>
          <w:lang w:eastAsia="en-US"/>
        </w:rPr>
        <w:t xml:space="preserve">В Новосибирской области насчитывается более 80 операторов связи, имеющих лицензии на предоставление широкополосного доступа </w:t>
      </w:r>
      <w:r w:rsidRPr="003937BC">
        <w:rPr>
          <w:rFonts w:ascii="Times New Roman" w:eastAsiaTheme="minorHAnsi" w:hAnsi="Times New Roman" w:cs="Times New Roman"/>
          <w:sz w:val="28"/>
          <w:szCs w:val="28"/>
          <w:lang w:eastAsia="en-US"/>
        </w:rPr>
        <w:t>к информационно-телекоммуникационной сети «Интернет».</w:t>
      </w:r>
    </w:p>
    <w:p w14:paraId="35A5D2A3" w14:textId="77777777" w:rsidR="003F4CFF" w:rsidRPr="006A43D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6A43DF">
        <w:rPr>
          <w:rFonts w:ascii="Times New Roman" w:eastAsiaTheme="minorHAnsi" w:hAnsi="Times New Roman" w:cs="Times New Roman"/>
          <w:sz w:val="28"/>
          <w:szCs w:val="28"/>
          <w:lang w:eastAsia="en-US"/>
        </w:rPr>
        <w:t xml:space="preserve">Новосибирская область является лидером среди российских регионов по числу абонентов фиксированного широкополосного доступа к сети «Интернет» на 100 чел. населения: 34,7 абонентов, что более чем в 1,7 раза превышает среднероссийский показатель. </w:t>
      </w:r>
    </w:p>
    <w:p w14:paraId="358E8A76" w14:textId="77777777" w:rsidR="003F4CFF" w:rsidRPr="006A43D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6A43DF">
        <w:rPr>
          <w:rFonts w:ascii="Times New Roman" w:eastAsiaTheme="minorHAnsi" w:hAnsi="Times New Roman" w:cs="Times New Roman"/>
          <w:sz w:val="28"/>
          <w:szCs w:val="28"/>
          <w:lang w:eastAsia="en-US"/>
        </w:rPr>
        <w:t xml:space="preserve">Доля организаций, использующих широкополосный доступ к сети «Интернет», составляет 70,3% от общего числа организаций. </w:t>
      </w:r>
    </w:p>
    <w:p w14:paraId="3862A324" w14:textId="77777777" w:rsidR="003F4CFF" w:rsidRPr="006A43D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6A43DF">
        <w:rPr>
          <w:rFonts w:ascii="Times New Roman" w:eastAsiaTheme="minorHAnsi" w:hAnsi="Times New Roman" w:cs="Times New Roman"/>
          <w:sz w:val="28"/>
          <w:szCs w:val="28"/>
          <w:lang w:eastAsia="en-US"/>
        </w:rPr>
        <w:t>Тарифы на услуги широкополосного доступа к сети «Интернет» в Новосибирской области находятся в среднеценовом сегменте по России.</w:t>
      </w:r>
    </w:p>
    <w:p w14:paraId="3B19607D" w14:textId="77777777" w:rsidR="003F4CFF" w:rsidRPr="006A43D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6A43DF">
        <w:rPr>
          <w:rFonts w:ascii="Times New Roman" w:eastAsiaTheme="minorHAnsi" w:hAnsi="Times New Roman" w:cs="Times New Roman"/>
          <w:sz w:val="28"/>
          <w:szCs w:val="28"/>
          <w:lang w:eastAsia="en-US"/>
        </w:rPr>
        <w:t>По состоянию на 01.01.</w:t>
      </w:r>
      <w:r w:rsidRPr="00901F6F">
        <w:rPr>
          <w:rFonts w:ascii="Times New Roman" w:eastAsiaTheme="minorHAnsi" w:hAnsi="Times New Roman" w:cs="Times New Roman"/>
          <w:sz w:val="28"/>
          <w:szCs w:val="28"/>
          <w:lang w:eastAsia="en-US"/>
        </w:rPr>
        <w:t>2020</w:t>
      </w:r>
      <w:r w:rsidRPr="006A43DF">
        <w:rPr>
          <w:rFonts w:ascii="Times New Roman" w:eastAsiaTheme="minorHAnsi" w:hAnsi="Times New Roman" w:cs="Times New Roman"/>
          <w:sz w:val="28"/>
          <w:szCs w:val="28"/>
          <w:lang w:eastAsia="en-US"/>
        </w:rPr>
        <w:t xml:space="preserve"> на территории Новосибирской области услуги связи по предоставлению широкополосного доступа к сети «Интернет» предоставляют:</w:t>
      </w:r>
    </w:p>
    <w:p w14:paraId="57976F07" w14:textId="77777777" w:rsidR="003F4CFF" w:rsidRPr="006A43D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6A43DF">
        <w:rPr>
          <w:rFonts w:ascii="Times New Roman" w:eastAsiaTheme="minorHAnsi" w:hAnsi="Times New Roman" w:cs="Times New Roman"/>
          <w:sz w:val="28"/>
          <w:szCs w:val="28"/>
          <w:lang w:eastAsia="en-US"/>
        </w:rPr>
        <w:t>по направлению «предоставления услуг передачи данных без голоса» – 34 юридических лица и индивидуальных предпринимателя и 1 учреждение государственной собственности (Государственное бюджетное учреждение Новосибирской области </w:t>
      </w:r>
      <w:r w:rsidRPr="00336CDA">
        <w:rPr>
          <w:rFonts w:ascii="Times New Roman" w:eastAsiaTheme="minorHAnsi" w:hAnsi="Times New Roman" w:cs="Times New Roman"/>
          <w:sz w:val="28"/>
          <w:szCs w:val="28"/>
          <w:lang w:eastAsia="en-US"/>
        </w:rPr>
        <w:t>«Центр информационных технологий Новосибирской области» (далее – ГБУ НСО «ЦИТ НСО»).</w:t>
      </w:r>
    </w:p>
    <w:p w14:paraId="678B54A7"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6A43DF">
        <w:rPr>
          <w:rFonts w:ascii="Times New Roman" w:eastAsiaTheme="minorHAnsi" w:hAnsi="Times New Roman" w:cs="Times New Roman"/>
          <w:sz w:val="28"/>
          <w:szCs w:val="28"/>
          <w:lang w:eastAsia="en-US"/>
        </w:rPr>
        <w:t>по направлению «предоставление телематических услуг» – 68 юридических лиц и индивидуальных предпринимателей и 3 учреждения государственной собственности (ГБУ НСО «ЦИТ НСО, ФГБОУ ВО «Новосибирский государственный технический университет», ФГАОУ ВО «Новосибирский национальный исследовательский государственный университет»).</w:t>
      </w:r>
      <w:r w:rsidRPr="00901F6F">
        <w:rPr>
          <w:rFonts w:ascii="Times New Roman" w:eastAsiaTheme="minorHAnsi" w:hAnsi="Times New Roman" w:cs="Times New Roman"/>
          <w:sz w:val="28"/>
          <w:szCs w:val="28"/>
          <w:lang w:eastAsia="en-US"/>
        </w:rPr>
        <w:t xml:space="preserve"> </w:t>
      </w:r>
      <w:r w:rsidRPr="00336CDA">
        <w:rPr>
          <w:rFonts w:ascii="Times New Roman" w:eastAsiaTheme="minorHAnsi" w:hAnsi="Times New Roman" w:cs="Times New Roman"/>
          <w:sz w:val="28"/>
          <w:szCs w:val="28"/>
          <w:lang w:eastAsia="en-US"/>
        </w:rPr>
        <w:t>Ключевой показатель «доля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 в 2019 году составил 98%.</w:t>
      </w:r>
    </w:p>
    <w:p w14:paraId="673B8732"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36CDA">
        <w:rPr>
          <w:rFonts w:ascii="Times New Roman" w:eastAsiaTheme="minorHAnsi" w:hAnsi="Times New Roman" w:cs="Times New Roman"/>
          <w:sz w:val="28"/>
          <w:szCs w:val="28"/>
          <w:lang w:eastAsia="en-US"/>
        </w:rPr>
        <w:lastRenderedPageBreak/>
        <w:t xml:space="preserve">В 2019 году из 286 надлежащим образом поданных операторами связи заявлений в органы местного самоуправления муниципальных образований Новосибирской области на доступ к инфраструктуре удовлетворено 260. При этом в 2018 году из поданных 387 заявлений на доступ к инфраструктуре удовлетворено 333 заявления. На территории Новосибирской области наибольшее количество заявлений на размещение объектов связи на объектах государственной и муниципальной собственности в 2018 и 2019 годах поступило в мэрию города Новосибирска – 135 и 127 заявлений соответственно. Значение показателя «увеличение количества объектов государственной и муниципальной собственности, фактически используемых операторами связи для размещения и строительства сетей и сооружений связи» возросло до 5% (увеличилось на 5%, в 2018 году - на 1,7%). </w:t>
      </w:r>
    </w:p>
    <w:p w14:paraId="71BE8505" w14:textId="77777777" w:rsidR="003F4CFF" w:rsidRPr="006A43D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6A43DF">
        <w:rPr>
          <w:rFonts w:ascii="Times New Roman" w:eastAsiaTheme="minorHAnsi" w:hAnsi="Times New Roman" w:cs="Times New Roman"/>
          <w:sz w:val="28"/>
          <w:szCs w:val="28"/>
          <w:lang w:eastAsia="en-US"/>
        </w:rPr>
        <w:t>В 2019 году начата реализация масштабного федерального проекта «Информационная Инфраструктура», в рамках которого в 2019-2021 годах будут подключены к сети «Интернет» более 1,5 тыс. социально значимых объектов в 889 населенных пунктах Новосибирской области. В числе таких объектов: школы, фельдшерско-акушерские пункты, органы местного самоуправления, пожарные части и посты.</w:t>
      </w:r>
    </w:p>
    <w:p w14:paraId="3501F452" w14:textId="77777777" w:rsidR="003F4CFF" w:rsidRPr="006A43DF" w:rsidRDefault="003F4CFF" w:rsidP="003F4CFF">
      <w:pPr>
        <w:shd w:val="clear" w:color="auto" w:fill="FFFFFF" w:themeFill="background1"/>
        <w:tabs>
          <w:tab w:val="left" w:pos="5"/>
        </w:tabs>
        <w:autoSpaceDE w:val="0"/>
        <w:autoSpaceDN w:val="0"/>
        <w:adjustRightInd w:val="0"/>
        <w:ind w:firstLine="567"/>
        <w:jc w:val="both"/>
        <w:rPr>
          <w:rFonts w:ascii="Times New Roman" w:hAnsi="Times New Roman" w:cs="Times New Roman"/>
          <w:sz w:val="28"/>
          <w:szCs w:val="28"/>
        </w:rPr>
      </w:pPr>
      <w:r w:rsidRPr="00336CDA">
        <w:rPr>
          <w:rFonts w:ascii="Times New Roman" w:eastAsiaTheme="minorHAnsi" w:hAnsi="Times New Roman" w:cs="Times New Roman"/>
          <w:sz w:val="28"/>
          <w:szCs w:val="28"/>
          <w:lang w:eastAsia="en-US"/>
        </w:rPr>
        <w:t>Вместе с тем, проблемными вопросами</w:t>
      </w:r>
      <w:r w:rsidRPr="006A43DF">
        <w:rPr>
          <w:rFonts w:ascii="Times New Roman" w:hAnsi="Times New Roman" w:cs="Times New Roman"/>
          <w:sz w:val="28"/>
          <w:szCs w:val="28"/>
        </w:rPr>
        <w:t xml:space="preserve"> остаются отсутствие возможности у жителей Новосибирской области получать услуги подвижной радиотелефонной (сотовой) связи в малочисленных населенных пунктах, а также сложность в организации размещения оборудования операторами сотовой связи на объектах государственной и муниципальной собственности.</w:t>
      </w:r>
    </w:p>
    <w:p w14:paraId="2706D006" w14:textId="77777777" w:rsidR="003F4CFF" w:rsidRPr="006A43DF" w:rsidRDefault="003F4CFF" w:rsidP="003F4CFF">
      <w:pPr>
        <w:shd w:val="clear" w:color="auto" w:fill="FFFFFF" w:themeFill="background1"/>
        <w:tabs>
          <w:tab w:val="left" w:pos="1134"/>
          <w:tab w:val="left" w:pos="1276"/>
        </w:tabs>
        <w:ind w:firstLine="567"/>
        <w:jc w:val="both"/>
        <w:rPr>
          <w:rFonts w:ascii="Times New Roman" w:hAnsi="Times New Roman" w:cs="Times New Roman"/>
          <w:sz w:val="28"/>
          <w:szCs w:val="28"/>
        </w:rPr>
      </w:pPr>
      <w:r w:rsidRPr="006A43DF">
        <w:rPr>
          <w:rFonts w:ascii="Times New Roman" w:hAnsi="Times New Roman" w:cs="Times New Roman"/>
          <w:sz w:val="28"/>
          <w:szCs w:val="28"/>
        </w:rPr>
        <w:t xml:space="preserve">Таким образом, основными направлениями деятельности органов государственной власти и местного самоуправления </w:t>
      </w:r>
      <w:r w:rsidRPr="00901F6F">
        <w:rPr>
          <w:rFonts w:ascii="Times New Roman" w:hAnsi="Times New Roman" w:cs="Times New Roman"/>
          <w:sz w:val="28"/>
          <w:szCs w:val="28"/>
        </w:rPr>
        <w:t xml:space="preserve">Новосибирской области </w:t>
      </w:r>
      <w:r w:rsidRPr="006A43DF">
        <w:rPr>
          <w:rFonts w:ascii="Times New Roman" w:hAnsi="Times New Roman" w:cs="Times New Roman"/>
          <w:sz w:val="28"/>
          <w:szCs w:val="28"/>
        </w:rPr>
        <w:t xml:space="preserve">по содействию развитию конкуренции </w:t>
      </w:r>
      <w:r w:rsidRPr="00901F6F">
        <w:rPr>
          <w:rFonts w:ascii="Times New Roman" w:hAnsi="Times New Roman" w:cs="Times New Roman"/>
          <w:sz w:val="28"/>
          <w:szCs w:val="28"/>
        </w:rPr>
        <w:t xml:space="preserve">на рынке услуг связи </w:t>
      </w:r>
      <w:r w:rsidRPr="006A43DF">
        <w:rPr>
          <w:rFonts w:ascii="Times New Roman" w:hAnsi="Times New Roman" w:cs="Times New Roman"/>
          <w:sz w:val="28"/>
          <w:szCs w:val="28"/>
        </w:rPr>
        <w:t>являются: содействие развитию практики применения механизмов государственно-частного и муниципально-частного партнерства, в том числе практики заключения концессионных соглашений в социальной сфере (развитие сетей подвижной радиотелефонной связи в сельской местности, малонаселенных и труднодоступных населенных пунктах), и обеспечение технической возможности для развития сетей операторов связи в малочисленных населенных пунктах Новосибирской области.</w:t>
      </w:r>
    </w:p>
    <w:p w14:paraId="4B672EAD" w14:textId="77777777" w:rsidR="003F4CFF" w:rsidRPr="006A43DF" w:rsidRDefault="003F4CFF" w:rsidP="003F4CFF">
      <w:pPr>
        <w:shd w:val="clear" w:color="auto" w:fill="FFFFFF" w:themeFill="background1"/>
        <w:adjustRightInd w:val="0"/>
        <w:ind w:firstLine="567"/>
        <w:jc w:val="both"/>
        <w:rPr>
          <w:rFonts w:ascii="Times New Roman" w:hAnsi="Times New Roman" w:cs="Times New Roman"/>
          <w:sz w:val="28"/>
          <w:szCs w:val="28"/>
        </w:rPr>
      </w:pPr>
      <w:r w:rsidRPr="00901F6F">
        <w:rPr>
          <w:rFonts w:ascii="Times New Roman" w:hAnsi="Times New Roman" w:cs="Times New Roman"/>
          <w:sz w:val="28"/>
          <w:szCs w:val="28"/>
        </w:rPr>
        <w:t>Г</w:t>
      </w:r>
      <w:r w:rsidRPr="006A43DF">
        <w:rPr>
          <w:rFonts w:ascii="Times New Roman" w:hAnsi="Times New Roman" w:cs="Times New Roman"/>
          <w:sz w:val="28"/>
          <w:szCs w:val="28"/>
        </w:rPr>
        <w:t>лавам муниципальных районов и городских округов Новосибирской области направлены рекомендации о публикации в открытом доступе перечня объектов государственной и/или муниципальной собственности для размещения строительства сетей и сооружений связи, в том числе порядка и условий подачи заявлений на доступ операторам связи к объектам государственной и муниципальной собственности для размещения и строительства сооружений связи.</w:t>
      </w:r>
    </w:p>
    <w:p w14:paraId="50767B0A" w14:textId="77777777" w:rsidR="003F4CFF" w:rsidRPr="00EC5135" w:rsidRDefault="003F4CFF" w:rsidP="003F4CFF">
      <w:pPr>
        <w:ind w:firstLine="567"/>
        <w:jc w:val="both"/>
        <w:rPr>
          <w:rFonts w:ascii="Times New Roman" w:hAnsi="Times New Roman" w:cs="Times New Roman"/>
          <w:sz w:val="28"/>
          <w:szCs w:val="28"/>
        </w:rPr>
      </w:pPr>
      <w:r w:rsidRPr="003937BC">
        <w:rPr>
          <w:rFonts w:ascii="Times New Roman" w:hAnsi="Times New Roman" w:cs="Times New Roman"/>
          <w:sz w:val="28"/>
          <w:szCs w:val="28"/>
        </w:rPr>
        <w:t xml:space="preserve">В ходе </w:t>
      </w:r>
      <w:r w:rsidRPr="003937BC">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 за 2019 год</w:t>
      </w:r>
      <w:r w:rsidRPr="003937BC">
        <w:rPr>
          <w:rFonts w:ascii="Times New Roman" w:hAnsi="Times New Roman" w:cs="Times New Roman"/>
          <w:sz w:val="28"/>
          <w:szCs w:val="28"/>
        </w:rPr>
        <w:t xml:space="preserve"> 60</w:t>
      </w:r>
      <w:r w:rsidRPr="00EC5135">
        <w:rPr>
          <w:rFonts w:ascii="Times New Roman" w:hAnsi="Times New Roman" w:cs="Times New Roman"/>
          <w:sz w:val="28"/>
          <w:szCs w:val="28"/>
        </w:rPr>
        <w:t>% опрошенных субъектов предпринимательства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высокую конкуренцию, доля низких оценок уровня конкуренции на данном рынке (слабая конкуренция либо нет конкуренции) – 14%.</w:t>
      </w:r>
    </w:p>
    <w:p w14:paraId="6C5B0074"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lastRenderedPageBreak/>
        <w:t xml:space="preserve">Наличие непреодолимых административных барьеров </w:t>
      </w:r>
      <w:r>
        <w:rPr>
          <w:rFonts w:ascii="Times New Roman" w:hAnsi="Times New Roman" w:cs="Times New Roman"/>
          <w:sz w:val="28"/>
          <w:szCs w:val="28"/>
        </w:rPr>
        <w:t>отметили</w:t>
      </w:r>
      <w:r w:rsidRPr="00EC5135">
        <w:rPr>
          <w:rFonts w:ascii="Times New Roman" w:hAnsi="Times New Roman" w:cs="Times New Roman"/>
          <w:sz w:val="28"/>
          <w:szCs w:val="28"/>
        </w:rPr>
        <w:t xml:space="preserve"> 20% субъектов предпринимательства. По сравнению с другими рынками, наблюдается повышенная значимость таких барьеров, как коррупция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22%</w:t>
      </w:r>
      <w:r>
        <w:rPr>
          <w:rFonts w:ascii="Times New Roman" w:hAnsi="Times New Roman" w:cs="Times New Roman"/>
          <w:sz w:val="28"/>
          <w:szCs w:val="28"/>
        </w:rPr>
        <w:t xml:space="preserve"> респондентов</w:t>
      </w:r>
      <w:r w:rsidRPr="00EC5135">
        <w:rPr>
          <w:rFonts w:ascii="Times New Roman" w:hAnsi="Times New Roman" w:cs="Times New Roman"/>
          <w:sz w:val="28"/>
          <w:szCs w:val="28"/>
        </w:rPr>
        <w:t xml:space="preserve">) и сложность доступа к закупкам компаний с госучастием и субъектов естественных монополий (18%). К основным барьерам относится также сложность процедуры получения лицензий, средств государственной поддержки, </w:t>
      </w:r>
      <w:r>
        <w:rPr>
          <w:rFonts w:ascii="Times New Roman" w:hAnsi="Times New Roman" w:cs="Times New Roman"/>
          <w:sz w:val="28"/>
          <w:szCs w:val="28"/>
        </w:rPr>
        <w:t xml:space="preserve">разрешений, согласований </w:t>
      </w:r>
      <w:r w:rsidRPr="00EC5135">
        <w:rPr>
          <w:rFonts w:ascii="Times New Roman" w:hAnsi="Times New Roman" w:cs="Times New Roman"/>
          <w:sz w:val="28"/>
          <w:szCs w:val="28"/>
        </w:rPr>
        <w:t xml:space="preserve">(23%). </w:t>
      </w:r>
    </w:p>
    <w:p w14:paraId="7A2D4977" w14:textId="77777777" w:rsidR="003F4CFF" w:rsidRPr="003937BC" w:rsidRDefault="003F4CFF" w:rsidP="003F4CFF">
      <w:pPr>
        <w:ind w:firstLine="567"/>
        <w:jc w:val="both"/>
        <w:rPr>
          <w:rFonts w:ascii="Times New Roman" w:eastAsia="Times New Roman" w:hAnsi="Times New Roman" w:cs="Times New Roman"/>
          <w:sz w:val="28"/>
          <w:szCs w:val="28"/>
          <w:lang w:eastAsia="en-US"/>
        </w:rPr>
      </w:pPr>
      <w:r w:rsidRPr="003937BC">
        <w:rPr>
          <w:rFonts w:ascii="Times New Roman" w:eastAsia="Times New Roman" w:hAnsi="Times New Roman" w:cs="Times New Roman"/>
          <w:sz w:val="28"/>
          <w:szCs w:val="28"/>
          <w:shd w:val="clear" w:color="auto" w:fill="FFFFFF"/>
        </w:rPr>
        <w:t>К</w:t>
      </w:r>
      <w:r w:rsidRPr="003937BC">
        <w:rPr>
          <w:rFonts w:ascii="Times New Roman" w:hAnsi="Times New Roman" w:cs="Times New Roman"/>
          <w:sz w:val="28"/>
          <w:szCs w:val="28"/>
        </w:rPr>
        <w:t>оличество организаций на рынке потребителями оценивается как достаточное (так считают 71% потребителей)</w:t>
      </w:r>
      <w:r w:rsidRPr="003937BC">
        <w:rPr>
          <w:rFonts w:ascii="Times New Roman" w:eastAsia="Times New Roman" w:hAnsi="Times New Roman" w:cs="Times New Roman"/>
          <w:sz w:val="28"/>
          <w:szCs w:val="28"/>
        </w:rPr>
        <w:t xml:space="preserve">, удовлетворенность потребителей возможностью выбора услуг находится на высоком уровне (77%). По этим показателям наблюдается положительная динамика за последние 3 года: отмечают рост числа организаций 50% потребителей, увеличение возможности выбора услуг – 35%. Удовлетворенность качеством услуг и их стоимостью находится на среднем уровне, но существенно выше, чем на большинстве рынков (72% и 63% соответственно). Рост уровня цен за последние 3 года (отмечают 71% потребителей) сопровождается положительной динамикой по всем остальным показателям (повышение качества услуг отмечают 29% потребителей, снижение – 14%). Вместе с тем на рынке услуг связи отмечаются проблемы с качеством обслуживания: по данным Управления Роспотребнадзора по Новосибирской области, в первом полугодии 2019 г. на нарушение прав потребителей в сфере услуг связи поступило 1280 жалоб (19,3% от общего числа жалоб). </w:t>
      </w:r>
    </w:p>
    <w:p w14:paraId="366846A7" w14:textId="77777777" w:rsidR="003F4CFF" w:rsidRPr="00797031" w:rsidRDefault="003F4CFF" w:rsidP="003F4CFF">
      <w:pPr>
        <w:pStyle w:val="ac"/>
        <w:ind w:firstLine="567"/>
        <w:jc w:val="both"/>
        <w:rPr>
          <w:rFonts w:ascii="Times New Roman" w:hAnsi="Times New Roman"/>
          <w:b/>
        </w:rPr>
      </w:pPr>
      <w:r w:rsidRPr="00797031">
        <w:rPr>
          <w:rFonts w:ascii="Times New Roman" w:hAnsi="Times New Roman"/>
          <w:b/>
        </w:rPr>
        <w:t>Рынок жилищного строительства (за исключением Московского фонда реновации жилой застройки и индивидуального жилищного строительства)</w:t>
      </w:r>
    </w:p>
    <w:p w14:paraId="596B4836" w14:textId="77777777" w:rsidR="003F4CFF" w:rsidRPr="00901F6F" w:rsidRDefault="003F4CFF" w:rsidP="003F4CFF">
      <w:pPr>
        <w:shd w:val="clear" w:color="auto" w:fill="FFFFFF" w:themeFill="background1"/>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 xml:space="preserve">В Новосибирской области ежегодно вводится большой объем нового жилья (за 2007-2019 годы введено в эксплуатацию более 20 млн. кв. м жилья), застраиваются новые микрорайоны. </w:t>
      </w:r>
    </w:p>
    <w:p w14:paraId="03BE2DC4" w14:textId="77777777" w:rsidR="003F4CFF" w:rsidRPr="00901F6F" w:rsidRDefault="003F4CFF" w:rsidP="003F4CFF">
      <w:pPr>
        <w:shd w:val="clear" w:color="auto" w:fill="FFFFFF" w:themeFill="background1"/>
        <w:ind w:firstLine="567"/>
        <w:contextualSpacing/>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Новосибирская область входит в 20 регионов-лидеров Российской Федерации по объемам вводимого жилья и на протяжении последних 5 лет стабильно занимает 8-13 места в рейтинге субъектов Российской Федерации.</w:t>
      </w:r>
    </w:p>
    <w:p w14:paraId="31EE6C21" w14:textId="77777777" w:rsidR="003F4CFF" w:rsidRPr="00901F6F" w:rsidRDefault="003F4CFF" w:rsidP="003F4CFF">
      <w:pPr>
        <w:shd w:val="clear" w:color="auto" w:fill="FFFFFF" w:themeFill="background1"/>
        <w:ind w:firstLine="567"/>
        <w:contextualSpacing/>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По масштабам жилищного строительства Новосибирская область также уверенно лидирует среди других регионов Сибири. Ежегодно в течение последних 5 лет в регионе вводится в эксплуатацию более 1 700 тыс. кв. м жилья.</w:t>
      </w:r>
    </w:p>
    <w:p w14:paraId="22B7031C" w14:textId="77777777" w:rsidR="003F4CFF" w:rsidRPr="00901F6F" w:rsidRDefault="003F4CFF" w:rsidP="003F4CFF">
      <w:pPr>
        <w:shd w:val="clear" w:color="auto" w:fill="FFFFFF" w:themeFill="background1"/>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 xml:space="preserve">В 2019 году введено в эксплуатацию 1 756,545 тыс. кв. м жилья (101% к 2018 г.), что составляет 106,5% от годового плана региона по вводу жилья. На долю введенного многоэтажного жилья в регионе приходится 65,7% (1 160,35 тыс. кв. </w:t>
      </w:r>
      <w:r>
        <w:rPr>
          <w:rFonts w:ascii="Times New Roman" w:eastAsiaTheme="minorHAnsi" w:hAnsi="Times New Roman" w:cs="Times New Roman"/>
          <w:sz w:val="28"/>
          <w:szCs w:val="28"/>
          <w:lang w:eastAsia="en-US"/>
        </w:rPr>
        <w:t xml:space="preserve">м; 108,1% к уровню 2018 года). </w:t>
      </w:r>
      <w:r w:rsidRPr="00901F6F">
        <w:rPr>
          <w:rFonts w:ascii="Times New Roman" w:eastAsiaTheme="minorHAnsi" w:hAnsi="Times New Roman" w:cs="Times New Roman"/>
          <w:sz w:val="28"/>
          <w:szCs w:val="28"/>
          <w:lang w:eastAsia="en-US"/>
        </w:rPr>
        <w:t xml:space="preserve">Объем ввода малоэтажного жилья составил 596,23 тыс. кв. м (89,7% к 2018 году) или 34% от общего объема введенного жилья. Населением за счет собственных и заемных средств построено 539,239 тыс. кв. метров индивидуального жилья (89,4% к 2018 году). </w:t>
      </w:r>
    </w:p>
    <w:p w14:paraId="61FF09D5"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 xml:space="preserve">За последние 10 лет обеспеченность жилыми помещениями в среднем на одного жителя выросла на 26,4 % к уровню 2007 года (20,1 кв. м) и составила 25,4 кв. м в 2019 году. Это один из лучших результатов среди российских регионов. Обеспеченность жильем и его доступность для населения напрямую влияют на качество жизни, сказываются на темпах прироста населения, отражаются на его </w:t>
      </w:r>
      <w:r w:rsidRPr="00901F6F">
        <w:rPr>
          <w:rFonts w:ascii="Times New Roman" w:eastAsiaTheme="minorHAnsi" w:hAnsi="Times New Roman" w:cs="Times New Roman"/>
          <w:sz w:val="28"/>
          <w:szCs w:val="28"/>
          <w:lang w:eastAsia="en-US"/>
        </w:rPr>
        <w:lastRenderedPageBreak/>
        <w:t xml:space="preserve">экономической культуре. Ввод жилья на душу населения в Новосибирской области на протяжении ряда лет составляет не менее 0,6 кв. м на человека (в 2019 году- 0,627 кв. м. на человека). </w:t>
      </w:r>
    </w:p>
    <w:p w14:paraId="10292738"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В настоящее время на территории Новосибирской области строительство жилья осуществляют 253 организации-застройщика, в том числе 193 (76,2% от общего числа) в г. Новосибирске.</w:t>
      </w:r>
    </w:p>
    <w:p w14:paraId="15D245F8" w14:textId="77777777" w:rsidR="003F4CFF" w:rsidRPr="00901F6F" w:rsidRDefault="003F4CFF" w:rsidP="003F4CFF">
      <w:pPr>
        <w:shd w:val="clear" w:color="auto" w:fill="FFFFFF" w:themeFill="background1"/>
        <w:ind w:firstLine="567"/>
        <w:contextualSpacing/>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Доля организаций частной формы собственности в сфере жилищного строительства по итогам 2019 года составила 99,8%.</w:t>
      </w:r>
    </w:p>
    <w:p w14:paraId="3ED2FE88" w14:textId="77777777" w:rsidR="003F4CFF" w:rsidRDefault="003F4CFF" w:rsidP="003F4CFF">
      <w:pPr>
        <w:ind w:firstLine="567"/>
        <w:jc w:val="both"/>
        <w:rPr>
          <w:rFonts w:ascii="Times New Roman" w:hAnsi="Times New Roman" w:cs="Times New Roman"/>
          <w:sz w:val="28"/>
          <w:szCs w:val="28"/>
        </w:rPr>
      </w:pPr>
      <w:r w:rsidRPr="003937BC">
        <w:rPr>
          <w:rFonts w:ascii="Times New Roman" w:hAnsi="Times New Roman" w:cs="Times New Roman"/>
          <w:sz w:val="28"/>
          <w:szCs w:val="28"/>
        </w:rPr>
        <w:t xml:space="preserve">В ходе </w:t>
      </w:r>
      <w:r w:rsidRPr="003937BC">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 за 2019 год</w:t>
      </w:r>
      <w:r w:rsidRPr="003937BC">
        <w:rPr>
          <w:rFonts w:ascii="Times New Roman" w:hAnsi="Times New Roman" w:cs="Times New Roman"/>
          <w:sz w:val="28"/>
          <w:szCs w:val="28"/>
        </w:rPr>
        <w:t xml:space="preserve"> высоки</w:t>
      </w:r>
      <w:r w:rsidRPr="00EC5135">
        <w:rPr>
          <w:rFonts w:ascii="Times New Roman" w:hAnsi="Times New Roman" w:cs="Times New Roman"/>
          <w:sz w:val="28"/>
          <w:szCs w:val="28"/>
        </w:rPr>
        <w:t>е оценки уровн</w:t>
      </w:r>
      <w:r>
        <w:rPr>
          <w:rFonts w:ascii="Times New Roman" w:hAnsi="Times New Roman" w:cs="Times New Roman"/>
          <w:sz w:val="28"/>
          <w:szCs w:val="28"/>
        </w:rPr>
        <w:t>я конкуренции на данном рынке дали 61% респондентов.</w:t>
      </w:r>
      <w:r w:rsidRPr="00EC5135">
        <w:rPr>
          <w:rFonts w:ascii="Times New Roman" w:hAnsi="Times New Roman" w:cs="Times New Roman"/>
          <w:sz w:val="28"/>
          <w:szCs w:val="28"/>
        </w:rPr>
        <w:t xml:space="preserve"> </w:t>
      </w:r>
    </w:p>
    <w:p w14:paraId="3F7B6D2A" w14:textId="77777777" w:rsidR="003F4CFF"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непреодолимых административных барьеров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10% субъектов предпринимательства. Наиболее существенным барьером для ведения текущей деятельности и открытия нового бизнеса является нестабильность законодательства, регулирующего предпринимательскую деятельность (отме</w:t>
      </w:r>
      <w:r>
        <w:rPr>
          <w:rFonts w:ascii="Times New Roman" w:hAnsi="Times New Roman" w:cs="Times New Roman"/>
          <w:sz w:val="28"/>
          <w:szCs w:val="28"/>
        </w:rPr>
        <w:t xml:space="preserve">тили 39% респондентов). </w:t>
      </w:r>
    </w:p>
    <w:p w14:paraId="7D17C237" w14:textId="77777777" w:rsidR="003F4CFF"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В оценке деятельности органов власти почти в равной мере представлены мнения, что в чем-то органы власти помогают, в чем-то мешают (29%) и что органы власти ничего не предпринимают, и их участие не нужно (26%). </w:t>
      </w:r>
    </w:p>
    <w:p w14:paraId="1382AFA5" w14:textId="77777777" w:rsidR="003F4CFF" w:rsidRPr="003937BC" w:rsidRDefault="003F4CFF" w:rsidP="003F4CFF">
      <w:pPr>
        <w:ind w:firstLine="567"/>
        <w:jc w:val="both"/>
        <w:rPr>
          <w:rFonts w:ascii="Times New Roman" w:eastAsia="Times New Roman" w:hAnsi="Times New Roman" w:cs="Times New Roman"/>
          <w:sz w:val="28"/>
          <w:szCs w:val="28"/>
        </w:rPr>
      </w:pPr>
      <w:r w:rsidRPr="003937BC">
        <w:rPr>
          <w:rFonts w:ascii="Times New Roman" w:hAnsi="Times New Roman" w:cs="Times New Roman"/>
          <w:sz w:val="28"/>
          <w:szCs w:val="28"/>
        </w:rPr>
        <w:t xml:space="preserve">Количество организаций на рынке оценивается как достаточное (так считают 49% потребителей), хотя распространено мнение и о нехватке организаций (37%) при выраженной тенденции к увеличению их количества (отмечают 36% потребителей). </w:t>
      </w:r>
      <w:r w:rsidRPr="003937BC">
        <w:rPr>
          <w:rFonts w:ascii="Times New Roman" w:eastAsia="Times New Roman" w:hAnsi="Times New Roman" w:cs="Times New Roman"/>
          <w:sz w:val="28"/>
          <w:szCs w:val="28"/>
        </w:rPr>
        <w:t>Удовлетворенность потребителей выбором услуг находится на среднем уровне (60%), а удовлетворенность качеством услуг и их стоимостью – на низком уровне (45% и 35% соответственно).</w:t>
      </w:r>
      <w:r w:rsidRPr="003937BC">
        <w:rPr>
          <w:rFonts w:ascii="Times New Roman" w:hAnsi="Times New Roman" w:cs="Times New Roman"/>
          <w:sz w:val="28"/>
          <w:szCs w:val="28"/>
        </w:rPr>
        <w:t xml:space="preserve"> Рост цен за последние 3 года отмечают 78% потребителей (эта доля выше, чем на большинстве исследуемых рынков). Несмотря на значительную положительную динамику возможности выбора услуг (отмечают 35% потребителей), потребители чаще отмечают снижение качества услуг, чем его повышение (28% и 17% соответственно). </w:t>
      </w:r>
    </w:p>
    <w:p w14:paraId="17990391" w14:textId="77777777" w:rsidR="003F4CFF" w:rsidRDefault="003F4CFF" w:rsidP="003F4CFF">
      <w:pPr>
        <w:pStyle w:val="ac"/>
        <w:ind w:firstLine="567"/>
        <w:jc w:val="both"/>
        <w:rPr>
          <w:rFonts w:ascii="Times New Roman" w:hAnsi="Times New Roman"/>
          <w:b/>
        </w:rPr>
      </w:pPr>
      <w:r w:rsidRPr="00797031">
        <w:rPr>
          <w:rFonts w:ascii="Times New Roman" w:hAnsi="Times New Roman"/>
          <w:b/>
        </w:rPr>
        <w:t xml:space="preserve">Рынок </w:t>
      </w:r>
      <w:r w:rsidRPr="00E00F38">
        <w:rPr>
          <w:rFonts w:ascii="Times New Roman" w:hAnsi="Times New Roman"/>
          <w:b/>
        </w:rPr>
        <w:t>строительства объектов капитального строительства, за исключением жилищного и дорожного строительства</w:t>
      </w:r>
    </w:p>
    <w:p w14:paraId="642A951C"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lang w:eastAsia="en-US"/>
        </w:rPr>
        <w:t xml:space="preserve">По состоянию на 01.01.2019 в Новосибирской области насчитывалось 8947 строительных организаций, из них 8935 организаций частной формы собственности. </w:t>
      </w:r>
    </w:p>
    <w:p w14:paraId="50A73F4B"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Среднесписочная численность работников организаций по виду экономической деятельности «строительство» в Новосибирской области за январь – ноябрь 2019 года составила 40,143 тыс. человек, что составляет 97,5% к аналогичному периоду 2018 года.</w:t>
      </w:r>
    </w:p>
    <w:p w14:paraId="3B33FE35"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Согласно данным территориального органа федеральной службы государственной статистики по Новосибирской области, за январь – декабрь 2019 года выполнено строительных работ на сумму 136 410,5 млн. рублей, что составляет 97,3% (в сопоставимых ценах) к уровню 2018 года.</w:t>
      </w:r>
    </w:p>
    <w:p w14:paraId="54AC088D"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lastRenderedPageBreak/>
        <w:t>По состоянию на 01.01.2020 инспекция государственного строительного надзора Новосибирской области осуществляет надзор в отношении 1187 объектов капитального строительства.</w:t>
      </w:r>
    </w:p>
    <w:p w14:paraId="66D0E622" w14:textId="77777777" w:rsidR="003F4CFF" w:rsidRPr="00901F6F" w:rsidRDefault="003F4CFF" w:rsidP="003F4CFF">
      <w:pPr>
        <w:shd w:val="clear" w:color="auto" w:fill="FFFFFF" w:themeFill="background1"/>
        <w:ind w:firstLine="567"/>
        <w:jc w:val="both"/>
      </w:pPr>
      <w:r w:rsidRPr="00901F6F">
        <w:rPr>
          <w:rFonts w:ascii="Times New Roman" w:hAnsi="Times New Roman" w:cs="Times New Roman"/>
          <w:sz w:val="28"/>
          <w:szCs w:val="28"/>
        </w:rPr>
        <w:t xml:space="preserve">Доля </w:t>
      </w:r>
      <w:r w:rsidRPr="00901F6F">
        <w:rPr>
          <w:rFonts w:ascii="Times New Roman" w:hAnsi="Times New Roman" w:cs="Times New Roman"/>
          <w:sz w:val="28"/>
          <w:szCs w:val="28"/>
          <w:lang w:eastAsia="en-US"/>
        </w:rPr>
        <w:t>организаций частной формы собственности на строительном рынке составляет 99,9%.</w:t>
      </w:r>
    </w:p>
    <w:p w14:paraId="7719892E"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 xml:space="preserve">Министерством строительства Новосибирской области проведен анализ допускаемых нарушений при проведении государственных и муниципальных закупок на строительство объектов капитального строительства и учет результатов данного анализа при формировании документаций на проведение закупок. </w:t>
      </w:r>
    </w:p>
    <w:p w14:paraId="29B099F5"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 xml:space="preserve">В 2019 году министерством строительства Новосибирской </w:t>
      </w:r>
      <w:r>
        <w:rPr>
          <w:rFonts w:ascii="Times New Roman" w:hAnsi="Times New Roman" w:cs="Times New Roman"/>
          <w:sz w:val="28"/>
          <w:szCs w:val="28"/>
        </w:rPr>
        <w:t xml:space="preserve">области размещено 427 закупок. </w:t>
      </w:r>
      <w:r w:rsidRPr="00901F6F">
        <w:rPr>
          <w:rFonts w:ascii="Times New Roman" w:hAnsi="Times New Roman" w:cs="Times New Roman"/>
          <w:sz w:val="28"/>
          <w:szCs w:val="28"/>
        </w:rPr>
        <w:t xml:space="preserve">При проведении анализа выявленных нарушений антимонопольного законодательства за 2019 год было рассмотрено 68 жалоб, поданных участниками закупок, из которых 3 признаны обоснованными, 13 частично обоснованными, 52 необоснованными. Контролирующим органом выдано 8 предписаний об устранении нарушений законодательства, возбуждено 5 дел об административных правонарушениях. </w:t>
      </w:r>
    </w:p>
    <w:p w14:paraId="770F035F"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 xml:space="preserve">Министерством строительства Новосибирской области выполнены мероприятия по оптимизации процедур государственных закупок: </w:t>
      </w:r>
    </w:p>
    <w:p w14:paraId="16015CA2"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 xml:space="preserve">снижен общий объем закупок с единственным участником посредством перехода к определению поставщика путем проведения конкурентных закупок в электронной форме (электронный аукцион, открытый конкурс, двухэтапный конкурс, запрос котировок и т.д.); </w:t>
      </w:r>
    </w:p>
    <w:p w14:paraId="4D4B75E9"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 xml:space="preserve">проведен анализ выявленных нарушений антимонопольного законодательства (наличие предостережений, предупреждений, жалоб, возбужденных дел); </w:t>
      </w:r>
    </w:p>
    <w:p w14:paraId="62F75B49"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 xml:space="preserve">проведен анализ действующих нормативных правовых актов. </w:t>
      </w:r>
    </w:p>
    <w:p w14:paraId="4675F216"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Вместе с тем, проведена работа по снижению административных барьеров при прохождении процедур, необходимых для получения разрешения на строительство объекта капитального строительства, до 8 процедур, 87 дней.</w:t>
      </w:r>
    </w:p>
    <w:p w14:paraId="35D5056B" w14:textId="77777777" w:rsidR="003F4CFF" w:rsidRPr="00EC5135" w:rsidRDefault="003F4CFF" w:rsidP="003F4CFF">
      <w:pPr>
        <w:ind w:firstLine="567"/>
        <w:jc w:val="both"/>
        <w:rPr>
          <w:rFonts w:ascii="Times New Roman" w:hAnsi="Times New Roman" w:cs="Times New Roman"/>
          <w:sz w:val="28"/>
          <w:szCs w:val="28"/>
        </w:rPr>
      </w:pPr>
      <w:r w:rsidRPr="003937BC">
        <w:rPr>
          <w:rFonts w:ascii="Times New Roman" w:hAnsi="Times New Roman" w:cs="Times New Roman"/>
          <w:sz w:val="28"/>
          <w:szCs w:val="28"/>
        </w:rPr>
        <w:t xml:space="preserve">В ходе </w:t>
      </w:r>
      <w:r w:rsidRPr="003937BC">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 за 2019 год</w:t>
      </w:r>
      <w:r>
        <w:rPr>
          <w:rFonts w:ascii="Times New Roman" w:hAnsi="Times New Roman" w:cs="Times New Roman"/>
          <w:sz w:val="28"/>
          <w:szCs w:val="28"/>
        </w:rPr>
        <w:t xml:space="preserve"> установлено, что п</w:t>
      </w:r>
      <w:r w:rsidRPr="00EC5135">
        <w:rPr>
          <w:rFonts w:ascii="Times New Roman" w:hAnsi="Times New Roman" w:cs="Times New Roman"/>
          <w:sz w:val="28"/>
          <w:szCs w:val="28"/>
        </w:rPr>
        <w:t xml:space="preserve">реобладают высокие оценки уровня конкуренции на данном рынке – 61%, доля низких оценок (слабая конкуренция либо нет конкуренции) – всего 7%. </w:t>
      </w:r>
    </w:p>
    <w:p w14:paraId="483DA207"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Наличие непреодолимых административных барьеров отмечают 9% субъектов предпринимательства. Наиболее существенными барьерами для ведения текущей деятельности и открытия нового бизнеса являются сложность процедуры получения лицензий, средств государственной поддержки, разрешений, согласований и т.д. (22%) и нестабильность законодательства, регулирующего предпринимательскую деятельность (21%). </w:t>
      </w:r>
    </w:p>
    <w:p w14:paraId="7F7DBD4E" w14:textId="77777777" w:rsidR="003F4CFF" w:rsidRPr="003937BC"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В оценке деятельности органов власти преобладает мнение, что органы </w:t>
      </w:r>
      <w:r w:rsidRPr="003937BC">
        <w:rPr>
          <w:rFonts w:ascii="Times New Roman" w:hAnsi="Times New Roman" w:cs="Times New Roman"/>
          <w:sz w:val="28"/>
          <w:szCs w:val="28"/>
        </w:rPr>
        <w:t xml:space="preserve">власти ничего не предпринимают, и их участие не нужно (45%). </w:t>
      </w:r>
    </w:p>
    <w:p w14:paraId="15D46694" w14:textId="77777777" w:rsidR="003F4CFF" w:rsidRPr="003937BC" w:rsidRDefault="003F4CFF" w:rsidP="003F4CFF">
      <w:pPr>
        <w:ind w:firstLine="567"/>
        <w:jc w:val="both"/>
        <w:rPr>
          <w:rFonts w:ascii="Times New Roman" w:eastAsia="Times New Roman" w:hAnsi="Times New Roman" w:cs="Times New Roman"/>
          <w:sz w:val="28"/>
          <w:szCs w:val="28"/>
        </w:rPr>
      </w:pPr>
      <w:r w:rsidRPr="003937BC">
        <w:rPr>
          <w:rFonts w:ascii="Times New Roman" w:eastAsia="Times New Roman" w:hAnsi="Times New Roman" w:cs="Times New Roman"/>
          <w:sz w:val="28"/>
          <w:szCs w:val="28"/>
        </w:rPr>
        <w:t xml:space="preserve">Более половины (58%) потребителей отмечают нехватку организаций на рынке и только 41% потребителей удовлетворены возможностью выбора услуг, положительную динамику по этим показателям за последние 3 года отмечают только около пятой части потребителей (22% и 19% соответственно). </w:t>
      </w:r>
      <w:r w:rsidRPr="003937BC">
        <w:rPr>
          <w:rFonts w:ascii="Times New Roman" w:eastAsia="Times New Roman" w:hAnsi="Times New Roman" w:cs="Times New Roman"/>
          <w:sz w:val="28"/>
          <w:szCs w:val="28"/>
        </w:rPr>
        <w:lastRenderedPageBreak/>
        <w:t xml:space="preserve">Удовлетворенность потребителей качеством услуг и уровнем цен ниже, чем на большинстве исследуемых рынков (39% и 33% соответственно). При этом выраженный рост цен (отмечают 68% потребителей) сопровождается ухудшением качества услуг за последние 3 года (повышение качества отмечают 17% потребителей, снижение – 26%). Таким образом, ситуация на рынке оценивается как неблагоприятная. </w:t>
      </w:r>
    </w:p>
    <w:p w14:paraId="106FFE61"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дорожной деятельности (за исключением проектирования)</w:t>
      </w:r>
    </w:p>
    <w:p w14:paraId="337E9513"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 xml:space="preserve">Автодорожная сеть в Новосибирской области по состоянию на конец 2019 года включает в себя 28168,3 км автодорог общего пользования, в том числе 804,4 км автодорог федерального значения, 12730,4 км автодорог регионального или межмуниципального значения, 14633,5 км автодорог местного значения. </w:t>
      </w:r>
    </w:p>
    <w:p w14:paraId="1A29B878"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Удельный вес автомобильных дорог общего пользования с твердым покрытием в общей протяженности автомобильных дорог общего пользования Новосибирской области составляет 72,0%, удельный вес автомобильных дорог общего пользования с усовершенствованным покрытием в протяженности автомобильных дорог общего пользования с твердым покрытием составляет 45,3%.</w:t>
      </w:r>
    </w:p>
    <w:p w14:paraId="4D96A0C5"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Плотность сети автомобильных дорог общего пользования с твердым покрытием по состоянию на конец отчетного периода составляет 114 километров дорог на 1000 кв. км территории Новосибирской области (57-е место по Российской Федерации), неравномерность ее развития ограничивает развитие Новосибирской области.</w:t>
      </w:r>
    </w:p>
    <w:p w14:paraId="26A282DB"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Доля протяженности автомобильных дорог общего пользования, относящихся к государственной собственности Новосибирской области, не отвечающих нормативным требованиям, в общей протяженности автомобильных дорог общего пользования, относящихся к государственной собственности Новосибирской области, составляет 62,1%.</w:t>
      </w:r>
    </w:p>
    <w:p w14:paraId="4382C481"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По результатам мониторинга министерства транспорта и дорожного хозяйства Новосибирской области в 2019 году на территории Новосибирской области дорожная деятельность осуществлялась 515 организациями, в том числе по виду деятельности «Строительство автомобильных дорог и автомагистралей» (ОКВЭД2 42.11) и «Строительство мостов и тоннелей» (ОКВЭД2 42.13) организациями частной формы собственности в количестве 107 хозяйствующих субъектов.</w:t>
      </w:r>
    </w:p>
    <w:p w14:paraId="0AB96481"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901F6F">
        <w:rPr>
          <w:rFonts w:ascii="Times New Roman" w:hAnsi="Times New Roman" w:cs="Times New Roman"/>
          <w:sz w:val="28"/>
          <w:szCs w:val="28"/>
        </w:rPr>
        <w:t>Доля организаций частной формы собственности в сфере дорожной деятельности (за исключением проектирования) по указанным ОКВЭД, рассчитанная согласно Методике по расчету ключевого показателя развития конкуренции на рынке дорожной деятельности (за исключением проектирования) в субъектах Российской Федерации, утвержденная приказом ФАС России от 29.08.2018 № 1232/18, составляет в 2019 году 100%.</w:t>
      </w:r>
    </w:p>
    <w:p w14:paraId="055161F6" w14:textId="77777777" w:rsidR="003F4CFF" w:rsidRDefault="003F4CFF" w:rsidP="003F4CFF">
      <w:pPr>
        <w:ind w:firstLine="567"/>
        <w:jc w:val="both"/>
        <w:rPr>
          <w:rFonts w:ascii="Times New Roman" w:hAnsi="Times New Roman" w:cs="Times New Roman"/>
          <w:sz w:val="28"/>
          <w:szCs w:val="28"/>
        </w:rPr>
      </w:pPr>
      <w:r w:rsidRPr="003937BC">
        <w:rPr>
          <w:rFonts w:ascii="Times New Roman" w:hAnsi="Times New Roman" w:cs="Times New Roman"/>
          <w:sz w:val="28"/>
          <w:szCs w:val="28"/>
        </w:rPr>
        <w:t xml:space="preserve">В ходе </w:t>
      </w:r>
      <w:r w:rsidRPr="003937BC">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 за 2019 год</w:t>
      </w:r>
      <w:r>
        <w:rPr>
          <w:rFonts w:ascii="Times New Roman" w:hAnsi="Times New Roman" w:cs="Times New Roman"/>
          <w:sz w:val="28"/>
          <w:szCs w:val="28"/>
        </w:rPr>
        <w:t xml:space="preserve"> установлено, что </w:t>
      </w:r>
      <w:r w:rsidRPr="00EC5135">
        <w:rPr>
          <w:rFonts w:ascii="Times New Roman" w:hAnsi="Times New Roman" w:cs="Times New Roman"/>
          <w:sz w:val="28"/>
          <w:szCs w:val="28"/>
        </w:rPr>
        <w:t>73%</w:t>
      </w:r>
      <w:r>
        <w:rPr>
          <w:rFonts w:ascii="Times New Roman" w:hAnsi="Times New Roman" w:cs="Times New Roman"/>
          <w:sz w:val="28"/>
          <w:szCs w:val="28"/>
        </w:rPr>
        <w:t xml:space="preserve"> респондентов дали высокую оценку уровню конкуренции.</w:t>
      </w:r>
    </w:p>
    <w:p w14:paraId="1E27DD95"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непреодолимых административных барьеров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8%</w:t>
      </w:r>
      <w:r>
        <w:rPr>
          <w:rFonts w:ascii="Times New Roman" w:hAnsi="Times New Roman" w:cs="Times New Roman"/>
          <w:sz w:val="28"/>
          <w:szCs w:val="28"/>
        </w:rPr>
        <w:t xml:space="preserve"> субъектов предпринимательства</w:t>
      </w:r>
      <w:r w:rsidRPr="00EC5135">
        <w:rPr>
          <w:rFonts w:ascii="Times New Roman" w:hAnsi="Times New Roman" w:cs="Times New Roman"/>
          <w:sz w:val="28"/>
          <w:szCs w:val="28"/>
        </w:rPr>
        <w:t xml:space="preserve">. Наиболее существенным барьером для ведения текущей деятельности и открытия нового бизнеса является нестабильность </w:t>
      </w:r>
      <w:r w:rsidRPr="00EC5135">
        <w:rPr>
          <w:rFonts w:ascii="Times New Roman" w:hAnsi="Times New Roman" w:cs="Times New Roman"/>
          <w:sz w:val="28"/>
          <w:szCs w:val="28"/>
        </w:rPr>
        <w:lastRenderedPageBreak/>
        <w:t xml:space="preserve">законодательства, регулирующего предпринимательскую деятельность (отмечают 35%). </w:t>
      </w:r>
    </w:p>
    <w:p w14:paraId="7A6C4DFB" w14:textId="77777777" w:rsidR="003F4CFF" w:rsidRPr="00E00F38" w:rsidRDefault="003F4CFF" w:rsidP="003F4CFF">
      <w:pPr>
        <w:ind w:firstLine="567"/>
        <w:jc w:val="both"/>
        <w:rPr>
          <w:rFonts w:ascii="Times New Roman" w:hAnsi="Times New Roman" w:cs="Times New Roman"/>
          <w:b/>
          <w:sz w:val="28"/>
          <w:szCs w:val="28"/>
        </w:rPr>
      </w:pPr>
      <w:r w:rsidRPr="00EC5135">
        <w:rPr>
          <w:rFonts w:ascii="Times New Roman" w:hAnsi="Times New Roman" w:cs="Times New Roman"/>
          <w:sz w:val="28"/>
          <w:szCs w:val="28"/>
        </w:rPr>
        <w:t>В оценке деятельности органов власти в равной мере представлены мнения, что в чем-то органы власти помогают, в чем-то мешают (29%) и что органы</w:t>
      </w:r>
      <w:r>
        <w:rPr>
          <w:rFonts w:ascii="Times New Roman" w:hAnsi="Times New Roman" w:cs="Times New Roman"/>
          <w:sz w:val="28"/>
          <w:szCs w:val="28"/>
        </w:rPr>
        <w:t xml:space="preserve"> власти ничего не предпринимают</w:t>
      </w:r>
      <w:r w:rsidRPr="00EC5135">
        <w:rPr>
          <w:rFonts w:ascii="Times New Roman" w:hAnsi="Times New Roman" w:cs="Times New Roman"/>
          <w:sz w:val="28"/>
          <w:szCs w:val="28"/>
        </w:rPr>
        <w:t xml:space="preserve"> и их участие не нужно (29%). </w:t>
      </w:r>
    </w:p>
    <w:p w14:paraId="27F88082" w14:textId="77777777" w:rsidR="003F4CFF" w:rsidRPr="003937BC" w:rsidRDefault="003F4CFF" w:rsidP="003F4CFF">
      <w:pPr>
        <w:ind w:firstLine="567"/>
        <w:jc w:val="both"/>
        <w:rPr>
          <w:rFonts w:ascii="Times New Roman" w:eastAsia="Times New Roman" w:hAnsi="Times New Roman" w:cs="Times New Roman"/>
          <w:sz w:val="28"/>
          <w:szCs w:val="28"/>
        </w:rPr>
      </w:pPr>
      <w:r w:rsidRPr="003937BC">
        <w:rPr>
          <w:rFonts w:ascii="Times New Roman" w:eastAsia="Times New Roman" w:hAnsi="Times New Roman" w:cs="Times New Roman"/>
          <w:sz w:val="28"/>
          <w:szCs w:val="28"/>
          <w:shd w:val="clear" w:color="auto" w:fill="FFFFFF"/>
        </w:rPr>
        <w:t>Наблюдается недостаточное количество организаций на данном рынке (</w:t>
      </w:r>
      <w:r w:rsidRPr="003937BC">
        <w:rPr>
          <w:rFonts w:ascii="Times New Roman" w:hAnsi="Times New Roman" w:cs="Times New Roman"/>
          <w:sz w:val="28"/>
          <w:szCs w:val="28"/>
        </w:rPr>
        <w:t>так считают 69% потребителей</w:t>
      </w:r>
      <w:r w:rsidRPr="003937BC">
        <w:rPr>
          <w:rFonts w:ascii="Times New Roman" w:eastAsia="Times New Roman" w:hAnsi="Times New Roman" w:cs="Times New Roman"/>
          <w:sz w:val="28"/>
          <w:szCs w:val="28"/>
          <w:shd w:val="clear" w:color="auto" w:fill="FFFFFF"/>
        </w:rPr>
        <w:t xml:space="preserve">), увеличение числа организаций за последние 3 года отмечают 21% потребителей. </w:t>
      </w:r>
      <w:r w:rsidRPr="003937BC">
        <w:rPr>
          <w:rFonts w:ascii="Times New Roman" w:eastAsia="Times New Roman" w:hAnsi="Times New Roman" w:cs="Times New Roman"/>
          <w:sz w:val="28"/>
          <w:szCs w:val="28"/>
        </w:rPr>
        <w:t>По показателям удовлетворенности получены самые низкие оценки в сравнении с остальными рынками: удовлетворены возможностью выбора услуг только 27% потребителей, качеством услуг – только 26%, уровнем цен – 25%. При этом выраженный рост цен (отмечают 67% потребителей) сопровождается ухудшением качества услуг за последние 3 года (повышение качества отмечают 19% потребителей, снижение – 30%). Таким образом, ситуация на рынке оценивается как крайне неблагоприятная.</w:t>
      </w:r>
    </w:p>
    <w:p w14:paraId="0366CB7B"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архитектурно-строительного проектирования</w:t>
      </w:r>
    </w:p>
    <w:p w14:paraId="1998CF67" w14:textId="77777777" w:rsidR="003F4CFF" w:rsidRPr="00B636FA" w:rsidRDefault="003F4CFF" w:rsidP="003F4CFF">
      <w:pPr>
        <w:shd w:val="clear" w:color="auto" w:fill="FFFFFF" w:themeFill="background1"/>
        <w:autoSpaceDE w:val="0"/>
        <w:autoSpaceDN w:val="0"/>
        <w:adjustRightInd w:val="0"/>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В соответствии с Градостроительным</w:t>
      </w:r>
      <w:r w:rsidRPr="00B636FA">
        <w:rPr>
          <w:rFonts w:ascii="Times New Roman" w:eastAsiaTheme="minorHAnsi" w:hAnsi="Times New Roman" w:cs="Times New Roman"/>
          <w:sz w:val="28"/>
          <w:szCs w:val="28"/>
          <w:lang w:eastAsia="en-US"/>
        </w:rPr>
        <w:t xml:space="preserve"> кодекс</w:t>
      </w:r>
      <w:r w:rsidRPr="00901F6F">
        <w:rPr>
          <w:rFonts w:ascii="Times New Roman" w:eastAsiaTheme="minorHAnsi" w:hAnsi="Times New Roman" w:cs="Times New Roman"/>
          <w:sz w:val="28"/>
          <w:szCs w:val="28"/>
          <w:lang w:eastAsia="en-US"/>
        </w:rPr>
        <w:t>ом</w:t>
      </w:r>
      <w:r w:rsidRPr="00B636FA">
        <w:rPr>
          <w:rFonts w:ascii="Times New Roman" w:eastAsiaTheme="minorHAnsi" w:hAnsi="Times New Roman" w:cs="Times New Roman"/>
          <w:sz w:val="28"/>
          <w:szCs w:val="28"/>
          <w:lang w:eastAsia="en-US"/>
        </w:rPr>
        <w:t xml:space="preserve"> Российской Федерации, архитектурно-строительное проектирование предполагает подготовку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земельного участка.</w:t>
      </w:r>
    </w:p>
    <w:p w14:paraId="16597238" w14:textId="77777777" w:rsidR="003F4CFF" w:rsidRPr="00B636FA" w:rsidRDefault="003F4CFF" w:rsidP="003F4CFF">
      <w:pPr>
        <w:shd w:val="clear" w:color="auto" w:fill="FFFFFF" w:themeFill="background1"/>
        <w:autoSpaceDE w:val="0"/>
        <w:autoSpaceDN w:val="0"/>
        <w:adjustRightInd w:val="0"/>
        <w:ind w:firstLine="567"/>
        <w:jc w:val="both"/>
        <w:rPr>
          <w:rFonts w:ascii="Times New Roman" w:eastAsiaTheme="minorHAnsi" w:hAnsi="Times New Roman" w:cs="Times New Roman"/>
          <w:sz w:val="28"/>
          <w:szCs w:val="28"/>
          <w:lang w:eastAsia="en-US"/>
        </w:rPr>
      </w:pPr>
      <w:r w:rsidRPr="00B636FA">
        <w:rPr>
          <w:rFonts w:ascii="Times New Roman" w:eastAsiaTheme="minorHAnsi" w:hAnsi="Times New Roman" w:cs="Times New Roman"/>
          <w:sz w:val="28"/>
          <w:szCs w:val="28"/>
          <w:lang w:eastAsia="en-US"/>
        </w:rPr>
        <w:t>Лицом, осуществляющим подготовку проектной документации, согласно части 5 статьи 48 Градостроительного кодекса Российской Федерации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подготовку проектной документации, вправе выполнять определенные виды работ по подготовке проектной документации самостоятельно при условии соответствия такого лица требованиям, предусмотренным частью 4 статьи 48 Градостроительного кодекса Российской Федерации, и (или) с привлечением других соответствующих указанным требованиям лиц.</w:t>
      </w:r>
    </w:p>
    <w:p w14:paraId="007F92FB" w14:textId="77777777" w:rsidR="003F4CFF" w:rsidRPr="00B636FA"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B636FA">
        <w:rPr>
          <w:rFonts w:ascii="Times New Roman" w:eastAsiaTheme="minorHAnsi" w:hAnsi="Times New Roman" w:cs="Times New Roman"/>
          <w:sz w:val="28"/>
          <w:szCs w:val="28"/>
          <w:lang w:eastAsia="en-US"/>
        </w:rPr>
        <w:t>В соответствии с пунктом 1 статьи 55.8 Градостроительного кодекса Российской Федерации индивидуальный предприниматель или юридическое лицо имеет право выполнять подготовку проектной документации по договору подряда, заключенного с застройщиком или техническим заказчиком, при условии, что такой индивидуальный предприниматель или такое юридическое лицо является членом саморегулируемой организации в области архитектурно-строительного проектирования (далее – СРО).</w:t>
      </w:r>
    </w:p>
    <w:p w14:paraId="39366959" w14:textId="77777777" w:rsidR="003F4CFF" w:rsidRPr="00B636FA"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B636FA">
        <w:rPr>
          <w:rFonts w:ascii="Times New Roman" w:eastAsiaTheme="minorHAnsi" w:hAnsi="Times New Roman" w:cs="Times New Roman"/>
          <w:sz w:val="28"/>
          <w:szCs w:val="28"/>
          <w:lang w:eastAsia="en-US"/>
        </w:rPr>
        <w:t>На территории Новосибирской области представлены следующие СРО:</w:t>
      </w:r>
    </w:p>
    <w:p w14:paraId="77743DB7" w14:textId="77777777" w:rsidR="003F4CFF" w:rsidRPr="00B636FA"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B636FA">
        <w:rPr>
          <w:rFonts w:ascii="Times New Roman" w:eastAsiaTheme="minorHAnsi" w:hAnsi="Times New Roman" w:cs="Times New Roman"/>
          <w:sz w:val="28"/>
          <w:szCs w:val="28"/>
          <w:lang w:eastAsia="en-US"/>
        </w:rPr>
        <w:t xml:space="preserve">Ассоциация «Гильдия проектировщиков Сибири»; </w:t>
      </w:r>
    </w:p>
    <w:p w14:paraId="41709E99" w14:textId="77777777" w:rsidR="003F4CFF" w:rsidRPr="00B636FA"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B636FA">
        <w:rPr>
          <w:rFonts w:ascii="Times New Roman" w:eastAsiaTheme="minorHAnsi" w:hAnsi="Times New Roman" w:cs="Times New Roman"/>
          <w:sz w:val="28"/>
          <w:szCs w:val="28"/>
          <w:lang w:eastAsia="en-US"/>
        </w:rPr>
        <w:t xml:space="preserve">Ассоциация профессиональных проектировщиков Сибири; </w:t>
      </w:r>
    </w:p>
    <w:p w14:paraId="18813D02" w14:textId="77777777" w:rsidR="003F4CFF" w:rsidRPr="00B636FA"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B636FA">
        <w:rPr>
          <w:rFonts w:ascii="Times New Roman" w:eastAsiaTheme="minorHAnsi" w:hAnsi="Times New Roman" w:cs="Times New Roman"/>
          <w:sz w:val="28"/>
          <w:szCs w:val="28"/>
          <w:lang w:eastAsia="en-US"/>
        </w:rPr>
        <w:t>Союз «Гильдия проектировщиков Сибири».</w:t>
      </w:r>
    </w:p>
    <w:p w14:paraId="310E3F02" w14:textId="77777777" w:rsidR="003F4CFF" w:rsidRPr="00B636FA"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B636FA">
        <w:rPr>
          <w:rFonts w:ascii="Times New Roman" w:eastAsiaTheme="minorHAnsi" w:hAnsi="Times New Roman" w:cs="Times New Roman"/>
          <w:sz w:val="28"/>
          <w:szCs w:val="28"/>
          <w:lang w:eastAsia="en-US"/>
        </w:rPr>
        <w:t>Саморегулируемая организация Союз проектировщиков Сибири (в настоящее время исключена из Реестра).</w:t>
      </w:r>
    </w:p>
    <w:p w14:paraId="0A93FBEF" w14:textId="77777777" w:rsidR="003F4CFF" w:rsidRPr="00B636FA"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B636FA">
        <w:rPr>
          <w:rFonts w:ascii="Times New Roman" w:eastAsiaTheme="minorHAnsi" w:hAnsi="Times New Roman" w:cs="Times New Roman"/>
          <w:sz w:val="28"/>
          <w:szCs w:val="28"/>
          <w:lang w:eastAsia="en-US"/>
        </w:rPr>
        <w:t xml:space="preserve">Данные СРО являются некоммерческими организациями, основанными на членстве индивидуальных предпринимателей и юридических лиц, </w:t>
      </w:r>
      <w:r w:rsidRPr="00B636FA">
        <w:rPr>
          <w:rFonts w:ascii="Times New Roman" w:eastAsiaTheme="minorHAnsi" w:hAnsi="Times New Roman" w:cs="Times New Roman"/>
          <w:sz w:val="28"/>
          <w:szCs w:val="28"/>
          <w:lang w:eastAsia="en-US"/>
        </w:rPr>
        <w:lastRenderedPageBreak/>
        <w:t>осуществляющих подготовку проектной документации по договорам о подготовке проектной документации (далее – члены СРО).</w:t>
      </w:r>
    </w:p>
    <w:p w14:paraId="6A34A8E2" w14:textId="77777777" w:rsidR="003F4CFF" w:rsidRPr="00B636FA"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B636FA">
        <w:rPr>
          <w:rFonts w:ascii="Times New Roman" w:eastAsiaTheme="minorHAnsi" w:hAnsi="Times New Roman" w:cs="Times New Roman"/>
          <w:sz w:val="28"/>
          <w:szCs w:val="28"/>
          <w:lang w:eastAsia="en-US"/>
        </w:rPr>
        <w:t xml:space="preserve">В состав вышеперечисленных СРО вошли 474 хозяйствующих субъекта (члена СРО), оказывающих услуги на рынке </w:t>
      </w:r>
      <w:r w:rsidRPr="00B636FA">
        <w:rPr>
          <w:rFonts w:ascii="Times New Roman" w:eastAsiaTheme="majorEastAsia" w:hAnsi="Times New Roman" w:cs="Times New Roman"/>
          <w:sz w:val="28"/>
          <w:szCs w:val="28"/>
          <w:lang w:eastAsia="en-US"/>
        </w:rPr>
        <w:t>архитектурно-строительного проектирования.</w:t>
      </w:r>
      <w:r w:rsidRPr="00B636FA">
        <w:rPr>
          <w:rFonts w:ascii="Times New Roman" w:eastAsiaTheme="minorHAnsi" w:hAnsi="Times New Roman" w:cs="Times New Roman"/>
          <w:sz w:val="28"/>
          <w:szCs w:val="28"/>
          <w:lang w:eastAsia="en-US"/>
        </w:rPr>
        <w:t xml:space="preserve"> Доля организаций, имеющих частную форму собственности, составляет на рынке архитектурно-строительного проектирования 98%.</w:t>
      </w:r>
    </w:p>
    <w:p w14:paraId="013FD4A0"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B636FA">
        <w:rPr>
          <w:rFonts w:ascii="Times New Roman" w:eastAsiaTheme="minorHAnsi" w:hAnsi="Times New Roman" w:cs="Times New Roman"/>
          <w:sz w:val="28"/>
          <w:szCs w:val="28"/>
          <w:lang w:eastAsia="en-US"/>
        </w:rPr>
        <w:t>Вместе с тем, в соответствии с действующим законодательством, на территории Новосибирской области осуществляют свою деятельность проектные организации, зарегистрированные в других регионах России.</w:t>
      </w:r>
    </w:p>
    <w:p w14:paraId="08CCAE88"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Доля организаций частной формы собственности в сфере архитектурно - строительного проектирования составила 98,7%, что на 0,2% процентных пункта выше установленного показателя на 2019 год.</w:t>
      </w:r>
    </w:p>
    <w:p w14:paraId="2F5057EC"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Использование экономически эффективной проектной документации повторного использования (школы, детские сады и т.д.) составило 60%. Всего на экспертизу проектной документации представлен 91 проект социально значи</w:t>
      </w:r>
      <w:r>
        <w:rPr>
          <w:rFonts w:ascii="Times New Roman" w:eastAsiaTheme="minorHAnsi" w:hAnsi="Times New Roman" w:cs="Times New Roman"/>
          <w:sz w:val="28"/>
          <w:szCs w:val="28"/>
          <w:lang w:eastAsia="en-US"/>
        </w:rPr>
        <w:t xml:space="preserve">мых объектов, 55 из которых - </w:t>
      </w:r>
      <w:r w:rsidRPr="00901F6F">
        <w:rPr>
          <w:rFonts w:ascii="Times New Roman" w:eastAsiaTheme="minorHAnsi" w:hAnsi="Times New Roman" w:cs="Times New Roman"/>
          <w:sz w:val="28"/>
          <w:szCs w:val="28"/>
          <w:lang w:eastAsia="en-US"/>
        </w:rPr>
        <w:t xml:space="preserve">повторного применения. </w:t>
      </w:r>
    </w:p>
    <w:p w14:paraId="3849C6C6"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901F6F">
        <w:rPr>
          <w:rFonts w:ascii="Times New Roman" w:eastAsiaTheme="minorHAnsi" w:hAnsi="Times New Roman" w:cs="Times New Roman"/>
          <w:sz w:val="28"/>
          <w:szCs w:val="28"/>
          <w:lang w:eastAsia="en-US"/>
        </w:rPr>
        <w:t>Министерством строительства Новосибирской области проведен ежегодных областной конкурс на лучшую проектную организацию в Новосибирской области 2018 года; на официальном сайте министерства строительства Новосибирской области проведена актуализация перечня наиболее часто встречающихся в проектной документации несоответствий проектных решений требованиям технических регламентов. Проводились мероприятия по оптимизации процедур государственных закупок, а также закупок товаров, работ и услуг в сфере бюджетного строительства (при выполнении проектных и строительно-монтажных работ). Осуществлялось постоянное информирование предприятий и организаций строительного комплекса Новосибирской обла</w:t>
      </w:r>
      <w:r w:rsidR="00BE25BE">
        <w:rPr>
          <w:rFonts w:ascii="Times New Roman" w:eastAsiaTheme="minorHAnsi" w:hAnsi="Times New Roman" w:cs="Times New Roman"/>
          <w:sz w:val="28"/>
          <w:szCs w:val="28"/>
          <w:lang w:eastAsia="en-US"/>
        </w:rPr>
        <w:t>сти о намечающихся выставочно-</w:t>
      </w:r>
      <w:r w:rsidRPr="00901F6F">
        <w:rPr>
          <w:rFonts w:ascii="Times New Roman" w:eastAsiaTheme="minorHAnsi" w:hAnsi="Times New Roman" w:cs="Times New Roman"/>
          <w:sz w:val="28"/>
          <w:szCs w:val="28"/>
          <w:lang w:eastAsia="en-US"/>
        </w:rPr>
        <w:t>ярмарочных мероприятиях по внедрению современн</w:t>
      </w:r>
      <w:r w:rsidR="00BE25BE">
        <w:rPr>
          <w:rFonts w:ascii="Times New Roman" w:eastAsiaTheme="minorHAnsi" w:hAnsi="Times New Roman" w:cs="Times New Roman"/>
          <w:sz w:val="28"/>
          <w:szCs w:val="28"/>
          <w:lang w:eastAsia="en-US"/>
        </w:rPr>
        <w:t xml:space="preserve">ых технологий проектирования, в </w:t>
      </w:r>
      <w:r w:rsidRPr="00901F6F">
        <w:rPr>
          <w:rFonts w:ascii="Times New Roman" w:eastAsiaTheme="minorHAnsi" w:hAnsi="Times New Roman" w:cs="Times New Roman"/>
          <w:sz w:val="28"/>
          <w:szCs w:val="28"/>
          <w:lang w:eastAsia="en-US"/>
        </w:rPr>
        <w:t>т.ч. BIM, и семинарах по повышению квалификации.</w:t>
      </w:r>
    </w:p>
    <w:p w14:paraId="015B6772" w14:textId="77777777" w:rsidR="003F4CFF" w:rsidRDefault="003F4CFF" w:rsidP="003F4CFF">
      <w:pPr>
        <w:ind w:firstLine="567"/>
        <w:jc w:val="both"/>
        <w:rPr>
          <w:rFonts w:ascii="Times New Roman" w:hAnsi="Times New Roman" w:cs="Times New Roman"/>
          <w:sz w:val="28"/>
          <w:szCs w:val="28"/>
        </w:rPr>
      </w:pPr>
      <w:r w:rsidRPr="00DE0A70">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sidRPr="00DE0A70">
        <w:rPr>
          <w:rFonts w:ascii="Times New Roman" w:eastAsia="Times New Roman" w:hAnsi="Times New Roman" w:cs="Times New Roman"/>
          <w:sz w:val="28"/>
          <w:szCs w:val="28"/>
        </w:rPr>
        <w:t xml:space="preserve"> за 2019 год</w:t>
      </w:r>
      <w:r>
        <w:rPr>
          <w:rFonts w:ascii="Times New Roman" w:hAnsi="Times New Roman" w:cs="Times New Roman"/>
          <w:sz w:val="28"/>
          <w:szCs w:val="28"/>
        </w:rPr>
        <w:t xml:space="preserve"> установлено, что 66% респондентов отметили высокую конкуренцию на рынке.</w:t>
      </w:r>
    </w:p>
    <w:p w14:paraId="2A9C438D" w14:textId="77777777" w:rsidR="003F4CFF" w:rsidRPr="003937BC" w:rsidRDefault="003F4CFF" w:rsidP="003F4CFF">
      <w:pPr>
        <w:ind w:firstLine="567"/>
        <w:jc w:val="both"/>
        <w:rPr>
          <w:rFonts w:ascii="Times New Roman" w:hAnsi="Times New Roman" w:cs="Times New Roman"/>
          <w:b/>
          <w:sz w:val="28"/>
          <w:szCs w:val="28"/>
        </w:rPr>
      </w:pPr>
      <w:r w:rsidRPr="00EC5135">
        <w:rPr>
          <w:rFonts w:ascii="Times New Roman" w:hAnsi="Times New Roman" w:cs="Times New Roman"/>
          <w:sz w:val="28"/>
          <w:szCs w:val="28"/>
        </w:rPr>
        <w:t xml:space="preserve">Наличие непреодолимых административных барьеров отмечают 16% субъектов </w:t>
      </w:r>
      <w:r w:rsidRPr="00DE0A70">
        <w:rPr>
          <w:rFonts w:ascii="Times New Roman" w:hAnsi="Times New Roman" w:cs="Times New Roman"/>
          <w:sz w:val="28"/>
          <w:szCs w:val="28"/>
        </w:rPr>
        <w:t>предпринимательства</w:t>
      </w:r>
      <w:r w:rsidRPr="00EC5135">
        <w:rPr>
          <w:rFonts w:ascii="Times New Roman" w:hAnsi="Times New Roman" w:cs="Times New Roman"/>
          <w:sz w:val="28"/>
          <w:szCs w:val="28"/>
        </w:rPr>
        <w:t xml:space="preserve"> (незначительно выше среднего значения по всем рынкам). </w:t>
      </w:r>
      <w:r w:rsidRPr="00DE0A70">
        <w:rPr>
          <w:rFonts w:ascii="Times New Roman" w:hAnsi="Times New Roman" w:cs="Times New Roman"/>
          <w:sz w:val="28"/>
          <w:szCs w:val="28"/>
        </w:rPr>
        <w:t>Наиболее</w:t>
      </w:r>
      <w:r w:rsidRPr="00EC5135">
        <w:rPr>
          <w:rFonts w:ascii="Times New Roman" w:hAnsi="Times New Roman" w:cs="Times New Roman"/>
          <w:sz w:val="28"/>
          <w:szCs w:val="28"/>
        </w:rPr>
        <w:t xml:space="preserve"> существенными барьерами для ведения текущей деятельности и открытия нового бизнеса являются сложность процедуры получения лицензий, средств государственной подд</w:t>
      </w:r>
      <w:r>
        <w:rPr>
          <w:rFonts w:ascii="Times New Roman" w:hAnsi="Times New Roman" w:cs="Times New Roman"/>
          <w:sz w:val="28"/>
          <w:szCs w:val="28"/>
        </w:rPr>
        <w:t>ержки, разрешений, согласований</w:t>
      </w:r>
      <w:r w:rsidRPr="00EC5135">
        <w:rPr>
          <w:rFonts w:ascii="Times New Roman" w:hAnsi="Times New Roman" w:cs="Times New Roman"/>
          <w:sz w:val="28"/>
          <w:szCs w:val="28"/>
        </w:rPr>
        <w:t xml:space="preserve"> и нестабильность законодательства, регулирующего </w:t>
      </w:r>
      <w:r w:rsidRPr="003937BC">
        <w:rPr>
          <w:rFonts w:ascii="Times New Roman" w:hAnsi="Times New Roman" w:cs="Times New Roman"/>
          <w:sz w:val="28"/>
          <w:szCs w:val="28"/>
        </w:rPr>
        <w:t xml:space="preserve">предпринимательскую деятельность (отметили 40% респондентов). В оценке деятельности органов власти преобладает мнение, что органы власти ничего не предпринимают, но их участие необходимо (36%). </w:t>
      </w:r>
    </w:p>
    <w:p w14:paraId="47D84879" w14:textId="77777777" w:rsidR="003F4CFF" w:rsidRPr="003937BC" w:rsidRDefault="003F4CFF" w:rsidP="003F4CFF">
      <w:pPr>
        <w:ind w:firstLine="567"/>
        <w:jc w:val="both"/>
        <w:rPr>
          <w:rFonts w:ascii="Times New Roman" w:eastAsia="Times New Roman" w:hAnsi="Times New Roman" w:cs="Times New Roman"/>
          <w:sz w:val="28"/>
          <w:szCs w:val="28"/>
        </w:rPr>
      </w:pPr>
      <w:r w:rsidRPr="003937BC">
        <w:rPr>
          <w:rFonts w:ascii="Times New Roman" w:eastAsia="Times New Roman" w:hAnsi="Times New Roman" w:cs="Times New Roman"/>
          <w:sz w:val="28"/>
          <w:szCs w:val="28"/>
          <w:shd w:val="clear" w:color="auto" w:fill="FFFFFF"/>
        </w:rPr>
        <w:t>Наблюдается недостаточное количество организаций на данном рынке (</w:t>
      </w:r>
      <w:r w:rsidRPr="003937BC">
        <w:rPr>
          <w:rFonts w:ascii="Times New Roman" w:hAnsi="Times New Roman" w:cs="Times New Roman"/>
          <w:sz w:val="28"/>
          <w:szCs w:val="28"/>
        </w:rPr>
        <w:t>так считают 66% потребителей</w:t>
      </w:r>
      <w:r w:rsidRPr="003937BC">
        <w:rPr>
          <w:rFonts w:ascii="Times New Roman" w:eastAsia="Times New Roman" w:hAnsi="Times New Roman" w:cs="Times New Roman"/>
          <w:sz w:val="28"/>
          <w:szCs w:val="28"/>
          <w:shd w:val="clear" w:color="auto" w:fill="FFFFFF"/>
        </w:rPr>
        <w:t xml:space="preserve">), увеличение числа организаций за последние 3 года отмечают 16% потребителей. </w:t>
      </w:r>
      <w:r w:rsidRPr="003937BC">
        <w:rPr>
          <w:rFonts w:ascii="Times New Roman" w:eastAsia="Times New Roman" w:hAnsi="Times New Roman" w:cs="Times New Roman"/>
          <w:sz w:val="28"/>
          <w:szCs w:val="28"/>
        </w:rPr>
        <w:t xml:space="preserve">Удовлетворенность потребителей выбором услуг, их качеством и стоимостью находится на низком уровне (42%, 42% и 37% соответственно). </w:t>
      </w:r>
      <w:r w:rsidRPr="003937BC">
        <w:rPr>
          <w:rFonts w:ascii="Times New Roman" w:hAnsi="Times New Roman" w:cs="Times New Roman"/>
          <w:sz w:val="28"/>
          <w:szCs w:val="28"/>
        </w:rPr>
        <w:t xml:space="preserve">Рост цен за последние 3 года менее выражен, чем на большинстве </w:t>
      </w:r>
      <w:r w:rsidRPr="003937BC">
        <w:rPr>
          <w:rFonts w:ascii="Times New Roman" w:hAnsi="Times New Roman" w:cs="Times New Roman"/>
          <w:sz w:val="28"/>
          <w:szCs w:val="28"/>
        </w:rPr>
        <w:lastRenderedPageBreak/>
        <w:t xml:space="preserve">исследуемых рынков (отмечают 59% потребителей), при этом мнения о динамике качества услуг разделились: </w:t>
      </w:r>
      <w:r w:rsidRPr="003937BC">
        <w:rPr>
          <w:rFonts w:ascii="Times New Roman" w:eastAsia="Times New Roman" w:hAnsi="Times New Roman" w:cs="Times New Roman"/>
          <w:sz w:val="28"/>
          <w:szCs w:val="28"/>
        </w:rPr>
        <w:t>повышение качества отмечают 19% потребителей, снижение – 22%</w:t>
      </w:r>
      <w:r w:rsidRPr="003937BC">
        <w:rPr>
          <w:rFonts w:ascii="Times New Roman" w:hAnsi="Times New Roman" w:cs="Times New Roman"/>
          <w:sz w:val="28"/>
          <w:szCs w:val="28"/>
        </w:rPr>
        <w:t xml:space="preserve">. </w:t>
      </w:r>
    </w:p>
    <w:p w14:paraId="4F611D8A"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племенного животноводства</w:t>
      </w:r>
    </w:p>
    <w:p w14:paraId="5BB7158B" w14:textId="77777777" w:rsidR="003F4CFF" w:rsidRPr="00B73F78" w:rsidRDefault="003F4CFF" w:rsidP="003F4CFF">
      <w:pPr>
        <w:shd w:val="clear" w:color="auto" w:fill="FFFFFF" w:themeFill="background1"/>
        <w:ind w:firstLine="567"/>
        <w:jc w:val="both"/>
        <w:rPr>
          <w:rFonts w:ascii="Times New Roman" w:eastAsiaTheme="minorHAnsi" w:hAnsi="Times New Roman" w:cs="Times New Roman"/>
          <w:sz w:val="28"/>
          <w:szCs w:val="28"/>
        </w:rPr>
      </w:pPr>
      <w:r w:rsidRPr="00B73F78">
        <w:rPr>
          <w:rFonts w:ascii="Times New Roman" w:hAnsi="Times New Roman" w:cs="Times New Roman"/>
          <w:sz w:val="28"/>
          <w:szCs w:val="28"/>
        </w:rPr>
        <w:t>Разведением и реализацией племенного скота и птицы в Новосибирской области занимаются 26 организаций, из них 24 предприятия частной формы собственности</w:t>
      </w:r>
      <w:r w:rsidRPr="00901F6F">
        <w:rPr>
          <w:rFonts w:ascii="Times New Roman" w:hAnsi="Times New Roman" w:cs="Times New Roman"/>
          <w:sz w:val="28"/>
          <w:szCs w:val="28"/>
        </w:rPr>
        <w:t xml:space="preserve">. </w:t>
      </w:r>
    </w:p>
    <w:p w14:paraId="19C24A3E" w14:textId="77777777" w:rsidR="003F4CFF" w:rsidRPr="00B73F78" w:rsidRDefault="003F4CFF" w:rsidP="003F4CFF">
      <w:pPr>
        <w:shd w:val="clear" w:color="auto" w:fill="FFFFFF" w:themeFill="background1"/>
        <w:ind w:firstLine="567"/>
        <w:jc w:val="both"/>
        <w:rPr>
          <w:rFonts w:ascii="Times New Roman" w:hAnsi="Times New Roman" w:cs="Times New Roman"/>
          <w:sz w:val="28"/>
          <w:szCs w:val="28"/>
        </w:rPr>
      </w:pPr>
      <w:r w:rsidRPr="00B73F78">
        <w:rPr>
          <w:rFonts w:ascii="Times New Roman" w:hAnsi="Times New Roman" w:cs="Times New Roman"/>
          <w:sz w:val="28"/>
          <w:szCs w:val="28"/>
        </w:rPr>
        <w:t>В племенных организациях по разведению сельскохозяйственных животных содержится 36,5 тыс. условных голов маточ</w:t>
      </w:r>
      <w:r w:rsidRPr="00901F6F">
        <w:rPr>
          <w:rFonts w:ascii="Times New Roman" w:hAnsi="Times New Roman" w:cs="Times New Roman"/>
          <w:sz w:val="28"/>
          <w:szCs w:val="28"/>
        </w:rPr>
        <w:t>ного поголовья, что на 6% выше показателя</w:t>
      </w:r>
      <w:r w:rsidRPr="00B73F78">
        <w:rPr>
          <w:rFonts w:ascii="Times New Roman" w:hAnsi="Times New Roman" w:cs="Times New Roman"/>
          <w:sz w:val="28"/>
          <w:szCs w:val="28"/>
        </w:rPr>
        <w:t xml:space="preserve"> 2018 года. Маточное поголовье в организациях частной формы собственности увеличилось к уровню 2018 года на 10% и составило 36,2 тыс. условных голов. Племенные ресурсы молочного скотоводства имеют высокий генетический потенциал по молочной продуктивности. По итогам 2019 года продуктивность коров в племенных организациях составила 9021 кг молока.</w:t>
      </w:r>
    </w:p>
    <w:p w14:paraId="4DA6F0B5" w14:textId="77777777" w:rsidR="003F4CFF" w:rsidRPr="00B73F78" w:rsidRDefault="003F4CFF" w:rsidP="003F4CFF">
      <w:pPr>
        <w:shd w:val="clear" w:color="auto" w:fill="FFFFFF" w:themeFill="background1"/>
        <w:ind w:firstLine="567"/>
        <w:jc w:val="both"/>
        <w:rPr>
          <w:rFonts w:ascii="Times New Roman" w:hAnsi="Times New Roman" w:cs="Times New Roman"/>
          <w:sz w:val="28"/>
          <w:szCs w:val="28"/>
        </w:rPr>
      </w:pPr>
      <w:r w:rsidRPr="00B73F78">
        <w:rPr>
          <w:rFonts w:ascii="Times New Roman" w:hAnsi="Times New Roman" w:cs="Times New Roman"/>
          <w:sz w:val="28"/>
          <w:szCs w:val="28"/>
        </w:rPr>
        <w:t>В 2019 году по итогам выездных проверок экспертной комиссии министерства сельского хозяйства</w:t>
      </w:r>
      <w:r w:rsidRPr="00901F6F">
        <w:rPr>
          <w:rFonts w:ascii="Times New Roman" w:hAnsi="Times New Roman" w:cs="Times New Roman"/>
          <w:sz w:val="28"/>
          <w:szCs w:val="28"/>
        </w:rPr>
        <w:t xml:space="preserve"> Новосибирской области</w:t>
      </w:r>
      <w:r w:rsidRPr="00B73F78">
        <w:rPr>
          <w:rFonts w:ascii="Times New Roman" w:hAnsi="Times New Roman" w:cs="Times New Roman"/>
          <w:sz w:val="28"/>
          <w:szCs w:val="28"/>
        </w:rPr>
        <w:t xml:space="preserve"> на соответствие требованиям, предъявляемым к определенным видам организаций по племенному животноводству, оказано содействие в регистрации в государственном племенном регистре Российской Федерации 4 предприятиям Новосибирской области. Расширилось видовое и породное разнообразие племенных животных, увеличился спрос на племенную продукцию, производимую на территории региона.</w:t>
      </w:r>
    </w:p>
    <w:p w14:paraId="186D34D6" w14:textId="77777777" w:rsidR="003F4CFF" w:rsidRPr="00B73F78" w:rsidRDefault="003F4CFF" w:rsidP="003F4CFF">
      <w:pPr>
        <w:shd w:val="clear" w:color="auto" w:fill="FFFFFF" w:themeFill="background1"/>
        <w:ind w:firstLine="567"/>
        <w:jc w:val="both"/>
        <w:rPr>
          <w:rFonts w:ascii="Times New Roman" w:hAnsi="Times New Roman" w:cs="Times New Roman"/>
          <w:sz w:val="28"/>
          <w:szCs w:val="28"/>
        </w:rPr>
      </w:pPr>
      <w:r w:rsidRPr="00B73F78">
        <w:rPr>
          <w:rFonts w:ascii="Times New Roman" w:hAnsi="Times New Roman" w:cs="Times New Roman"/>
          <w:sz w:val="28"/>
          <w:szCs w:val="28"/>
        </w:rPr>
        <w:t>Министерство сельского хозяйства</w:t>
      </w:r>
      <w:r w:rsidRPr="00901F6F">
        <w:rPr>
          <w:rFonts w:ascii="Times New Roman" w:hAnsi="Times New Roman" w:cs="Times New Roman"/>
          <w:sz w:val="28"/>
          <w:szCs w:val="28"/>
        </w:rPr>
        <w:t xml:space="preserve"> Новосибирской области</w:t>
      </w:r>
      <w:r w:rsidRPr="00B73F78">
        <w:rPr>
          <w:rFonts w:ascii="Times New Roman" w:hAnsi="Times New Roman" w:cs="Times New Roman"/>
          <w:sz w:val="28"/>
          <w:szCs w:val="28"/>
        </w:rPr>
        <w:t xml:space="preserve"> ведет работу еще с 6 товарными сельскохозяйственными предприятиями по получению статуса племенной организации, маточное поголовье в которых составляет 3,5 тыс. голов. </w:t>
      </w:r>
    </w:p>
    <w:p w14:paraId="3090AA7E" w14:textId="77777777" w:rsidR="003F4CFF" w:rsidRPr="00901F6F" w:rsidRDefault="003F4CFF" w:rsidP="003F4CFF">
      <w:pPr>
        <w:shd w:val="clear" w:color="auto" w:fill="FFFFFF" w:themeFill="background1"/>
        <w:ind w:firstLine="567"/>
        <w:jc w:val="both"/>
        <w:rPr>
          <w:rFonts w:ascii="Times New Roman" w:hAnsi="Times New Roman" w:cs="Times New Roman"/>
          <w:sz w:val="28"/>
          <w:szCs w:val="28"/>
        </w:rPr>
      </w:pPr>
      <w:r w:rsidRPr="00B73F78">
        <w:rPr>
          <w:rFonts w:ascii="Times New Roman" w:hAnsi="Times New Roman" w:cs="Times New Roman"/>
          <w:sz w:val="28"/>
          <w:szCs w:val="28"/>
        </w:rPr>
        <w:t xml:space="preserve">В рамках </w:t>
      </w:r>
      <w:r w:rsidRPr="00B73F78">
        <w:rPr>
          <w:rFonts w:ascii="Times New Roman" w:hAnsi="Times New Roman" w:cs="Times New Roman"/>
          <w:sz w:val="28"/>
          <w:szCs w:val="28"/>
          <w:lang w:val="en-US"/>
        </w:rPr>
        <w:t>IV</w:t>
      </w:r>
      <w:r w:rsidRPr="00B73F78">
        <w:rPr>
          <w:rFonts w:ascii="Times New Roman" w:hAnsi="Times New Roman" w:cs="Times New Roman"/>
          <w:sz w:val="28"/>
          <w:szCs w:val="28"/>
        </w:rPr>
        <w:t xml:space="preserve"> Новосибирского агропродовольственного форума организована выставка-выводка племенных животных «Сила Сибири 2019». Результатом проведения выставки стало достижение договоренностей между сельскохозяйственными товаропроизводителями по приобретению высокопродуктивных племенных животных. </w:t>
      </w:r>
    </w:p>
    <w:p w14:paraId="38E978D1" w14:textId="77777777" w:rsidR="003F4CFF" w:rsidRPr="00B73F78"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B73F78">
        <w:rPr>
          <w:rFonts w:ascii="Times New Roman" w:eastAsiaTheme="minorHAnsi" w:hAnsi="Times New Roman" w:cs="Times New Roman"/>
          <w:sz w:val="28"/>
          <w:szCs w:val="28"/>
          <w:lang w:eastAsia="en-US"/>
        </w:rPr>
        <w:t>Наиболее крупными предприятиями по разведению племенного молочного крупного рогатого скота являются ООО «Сибирская Нива», ООО «КФХ Русское поле», ЗАО племзавод «Ирмень»; по разведению мясного крупного рогатого скота – ООО «Сибирская Нива» и ОАО «Северо-Кулундинское», по разведению свиней – АО «Кудряшовское»; в птицеводстве – АО «Новосибирская птицефабрика», АО «ПРОДО Птицефабрика Чикская», ЗАО Птицефабрика «Ново-Барышевская».</w:t>
      </w:r>
    </w:p>
    <w:p w14:paraId="6FCCC9FB" w14:textId="77777777" w:rsidR="003F4CFF" w:rsidRPr="00B73F78" w:rsidRDefault="003F4CFF" w:rsidP="003F4CFF">
      <w:pPr>
        <w:shd w:val="clear" w:color="auto" w:fill="FFFFFF" w:themeFill="background1"/>
        <w:ind w:firstLine="567"/>
        <w:jc w:val="both"/>
        <w:rPr>
          <w:rFonts w:ascii="Times New Roman" w:hAnsi="Times New Roman" w:cs="Times New Roman"/>
          <w:sz w:val="28"/>
          <w:szCs w:val="28"/>
        </w:rPr>
      </w:pPr>
      <w:r w:rsidRPr="00B73F78">
        <w:rPr>
          <w:rFonts w:ascii="Times New Roman" w:hAnsi="Times New Roman" w:cs="Times New Roman"/>
          <w:sz w:val="28"/>
          <w:szCs w:val="28"/>
        </w:rPr>
        <w:t xml:space="preserve">В 2019 году племенными организациями Новосибирской области реализовано 2669 условных голов скота, в том числе организациями частной формы собственности – 2454 условных голов скота. Рост к уровню 2018 года составил 37%, в том числе по организациям частной формы собственности – 43%. За пределы Новосибирской области реализовано 819 голов племенного молодняка крупного рогатого скота. </w:t>
      </w:r>
    </w:p>
    <w:p w14:paraId="1E6D9D25" w14:textId="77777777" w:rsidR="003F4CFF" w:rsidRPr="00B73F78" w:rsidRDefault="003F4CFF" w:rsidP="003F4CFF">
      <w:pPr>
        <w:shd w:val="clear" w:color="auto" w:fill="FFFFFF" w:themeFill="background1"/>
        <w:ind w:firstLine="567"/>
        <w:jc w:val="both"/>
        <w:rPr>
          <w:rFonts w:ascii="Times New Roman" w:hAnsi="Times New Roman" w:cs="Times New Roman"/>
          <w:sz w:val="28"/>
          <w:szCs w:val="28"/>
        </w:rPr>
      </w:pPr>
      <w:r w:rsidRPr="00B73F78">
        <w:rPr>
          <w:rFonts w:ascii="Times New Roman" w:hAnsi="Times New Roman" w:cs="Times New Roman"/>
          <w:sz w:val="28"/>
          <w:szCs w:val="28"/>
        </w:rPr>
        <w:t xml:space="preserve">В общем объеме рынка доля организаций частной формы собственности на рынке </w:t>
      </w:r>
      <w:r w:rsidRPr="00901F6F">
        <w:rPr>
          <w:rFonts w:ascii="Times New Roman" w:hAnsi="Times New Roman" w:cs="Times New Roman"/>
          <w:sz w:val="28"/>
          <w:szCs w:val="28"/>
        </w:rPr>
        <w:t xml:space="preserve">племенного животноводства </w:t>
      </w:r>
      <w:r w:rsidRPr="00B73F78">
        <w:rPr>
          <w:rFonts w:ascii="Times New Roman" w:hAnsi="Times New Roman" w:cs="Times New Roman"/>
          <w:sz w:val="28"/>
          <w:szCs w:val="28"/>
        </w:rPr>
        <w:t xml:space="preserve">составила 92%, что значительно превышает </w:t>
      </w:r>
      <w:r w:rsidRPr="00901F6F">
        <w:rPr>
          <w:rFonts w:ascii="Times New Roman" w:hAnsi="Times New Roman" w:cs="Times New Roman"/>
          <w:sz w:val="28"/>
          <w:szCs w:val="28"/>
        </w:rPr>
        <w:t>плановое з</w:t>
      </w:r>
      <w:r>
        <w:rPr>
          <w:rFonts w:ascii="Times New Roman" w:hAnsi="Times New Roman" w:cs="Times New Roman"/>
          <w:sz w:val="28"/>
          <w:szCs w:val="28"/>
        </w:rPr>
        <w:t>начение показателя на 2019 год.</w:t>
      </w:r>
    </w:p>
    <w:p w14:paraId="6E324AC3" w14:textId="77777777" w:rsidR="003F4CFF" w:rsidRPr="00B73F78" w:rsidRDefault="003F4CFF" w:rsidP="003F4CFF">
      <w:pPr>
        <w:shd w:val="clear" w:color="auto" w:fill="FFFFFF" w:themeFill="background1"/>
        <w:ind w:firstLine="567"/>
        <w:jc w:val="both"/>
        <w:rPr>
          <w:rFonts w:ascii="Times New Roman" w:hAnsi="Times New Roman" w:cs="Times New Roman"/>
          <w:sz w:val="28"/>
          <w:szCs w:val="28"/>
        </w:rPr>
      </w:pPr>
      <w:r w:rsidRPr="00B73F78">
        <w:rPr>
          <w:rFonts w:ascii="Times New Roman" w:hAnsi="Times New Roman" w:cs="Times New Roman"/>
          <w:sz w:val="28"/>
          <w:szCs w:val="28"/>
        </w:rPr>
        <w:lastRenderedPageBreak/>
        <w:t>В целях развития рынка племенного животноводства и повышения его конкурентоспособности в 2019 году в постановление Правительства Новосибирской области от 02.02.2015 № 37-п «О государственной программе Новосибирской области «Развитие сельского хозяйства и регулирование рынков сельскохозяйственной продукции, сырья и продовольствия в Новосибирской области» внесено изменение в части увеличения с 2020 года размера государственной поддержки по направлению компенсация части затрат на покупку племенного молодняка крупного рогатого скота молочного и мясного направления продуктивности, приобретенного в племенных сельскохозяйственных предприятиях Новосибирской области, до 30%.</w:t>
      </w:r>
    </w:p>
    <w:p w14:paraId="1A6B0F22" w14:textId="77777777" w:rsidR="003F4CFF" w:rsidRPr="00EC5135" w:rsidRDefault="003F4CFF" w:rsidP="003F4CFF">
      <w:pPr>
        <w:ind w:firstLine="567"/>
        <w:jc w:val="both"/>
        <w:rPr>
          <w:rFonts w:ascii="Times New Roman" w:hAnsi="Times New Roman" w:cs="Times New Roman"/>
          <w:sz w:val="28"/>
          <w:szCs w:val="28"/>
        </w:rPr>
      </w:pPr>
      <w:r w:rsidRPr="00DE0A70">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sidRPr="00DE0A70">
        <w:rPr>
          <w:rFonts w:ascii="Times New Roman" w:eastAsia="Times New Roman" w:hAnsi="Times New Roman" w:cs="Times New Roman"/>
          <w:sz w:val="28"/>
          <w:szCs w:val="28"/>
        </w:rPr>
        <w:t xml:space="preserve"> за 2019 год</w:t>
      </w:r>
      <w:r>
        <w:rPr>
          <w:rFonts w:ascii="Times New Roman" w:hAnsi="Times New Roman" w:cs="Times New Roman"/>
          <w:sz w:val="28"/>
          <w:szCs w:val="28"/>
        </w:rPr>
        <w:t xml:space="preserve"> установлено, что п</w:t>
      </w:r>
      <w:r w:rsidRPr="00EC5135">
        <w:rPr>
          <w:rFonts w:ascii="Times New Roman" w:hAnsi="Times New Roman" w:cs="Times New Roman"/>
          <w:sz w:val="28"/>
          <w:szCs w:val="28"/>
        </w:rPr>
        <w:t>оловина опрошенных субъектов предпринимательства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высокую конкуренцию (49%), доля низких оценок уровня конкуренции на данном рынке (слабая конкуренция либо нет конкуренции) – 26%.</w:t>
      </w:r>
    </w:p>
    <w:p w14:paraId="18303B3C" w14:textId="77777777" w:rsidR="003F4CFF"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непреодолимых административных барьеров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9%</w:t>
      </w:r>
      <w:r>
        <w:rPr>
          <w:rFonts w:ascii="Times New Roman" w:hAnsi="Times New Roman" w:cs="Times New Roman"/>
          <w:sz w:val="28"/>
          <w:szCs w:val="28"/>
        </w:rPr>
        <w:t xml:space="preserve"> субъектов предпринимательства. </w:t>
      </w:r>
      <w:r w:rsidRPr="00EC5135">
        <w:rPr>
          <w:rFonts w:ascii="Times New Roman" w:hAnsi="Times New Roman" w:cs="Times New Roman"/>
          <w:sz w:val="28"/>
          <w:szCs w:val="28"/>
        </w:rPr>
        <w:t>Наиболее существенным барьером для ведения текущей деятельности и открытия нового бизнеса является нестабильность законодательства, регулирующего пре</w:t>
      </w:r>
      <w:r>
        <w:rPr>
          <w:rFonts w:ascii="Times New Roman" w:hAnsi="Times New Roman" w:cs="Times New Roman"/>
          <w:sz w:val="28"/>
          <w:szCs w:val="28"/>
        </w:rPr>
        <w:t>дпринимательскую деятельность (</w:t>
      </w:r>
      <w:r w:rsidRPr="00EC5135">
        <w:rPr>
          <w:rFonts w:ascii="Times New Roman" w:hAnsi="Times New Roman" w:cs="Times New Roman"/>
          <w:sz w:val="28"/>
          <w:szCs w:val="28"/>
        </w:rPr>
        <w:t>46%</w:t>
      </w:r>
      <w:r>
        <w:rPr>
          <w:rFonts w:ascii="Times New Roman" w:hAnsi="Times New Roman" w:cs="Times New Roman"/>
          <w:sz w:val="28"/>
          <w:szCs w:val="28"/>
        </w:rPr>
        <w:t>).</w:t>
      </w:r>
    </w:p>
    <w:p w14:paraId="0D5D22E6"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В оценке деятельности органов власти преобладает мнение, что в чем-то органы власти п</w:t>
      </w:r>
      <w:r>
        <w:rPr>
          <w:rFonts w:ascii="Times New Roman" w:hAnsi="Times New Roman" w:cs="Times New Roman"/>
          <w:sz w:val="28"/>
          <w:szCs w:val="28"/>
        </w:rPr>
        <w:t>омогают, в чем-то мешают (34%).</w:t>
      </w:r>
    </w:p>
    <w:p w14:paraId="49108A93" w14:textId="77777777" w:rsidR="003F4CFF" w:rsidRPr="003D02AE" w:rsidRDefault="003F4CFF" w:rsidP="003F4CFF">
      <w:pPr>
        <w:ind w:firstLine="567"/>
        <w:jc w:val="both"/>
        <w:rPr>
          <w:rFonts w:ascii="Times New Roman" w:eastAsia="Times New Roman" w:hAnsi="Times New Roman" w:cs="Times New Roman"/>
          <w:sz w:val="28"/>
          <w:szCs w:val="28"/>
        </w:rPr>
      </w:pPr>
      <w:r w:rsidRPr="003D02AE">
        <w:rPr>
          <w:rFonts w:ascii="Times New Roman" w:eastAsia="Times New Roman" w:hAnsi="Times New Roman" w:cs="Times New Roman"/>
          <w:sz w:val="28"/>
          <w:szCs w:val="28"/>
          <w:shd w:val="clear" w:color="auto" w:fill="FFFFFF"/>
        </w:rPr>
        <w:t xml:space="preserve">Большинство </w:t>
      </w:r>
      <w:r w:rsidRPr="003D02AE">
        <w:rPr>
          <w:rFonts w:ascii="Times New Roman" w:eastAsia="Times New Roman" w:hAnsi="Times New Roman" w:cs="Times New Roman"/>
          <w:sz w:val="28"/>
          <w:szCs w:val="28"/>
        </w:rPr>
        <w:t>(77%) потребителей отмечают нехватку организаций на рынке и только 10% потребителей отмечают рост числа организаций за последние 3 года. Удовлетворенность потребителей выбором услуг, их качеством и стоимостью находится на низком уровне (44%, 49,5% и 39% соответственно). Положительная динамика по этим показателям практически не выражена: рост возможности выбора услуг отмечают 16% потребителей, повышение качества – 15%, а снижение качества услуг за последние 3 года – 25% потребителей. Рост цен на данном рынке отмечают 66% потребителей, 8% отмечают снижение уровня цен за последние 3 года. В целом ситуация на рынке оценивается как неблагоприятная, главным образом по причине недостаточного количества организаций и отсутствия положительной динамики.</w:t>
      </w:r>
    </w:p>
    <w:p w14:paraId="1AA10C03"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семеноводства</w:t>
      </w:r>
    </w:p>
    <w:p w14:paraId="2F568411"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355CDE">
        <w:rPr>
          <w:rFonts w:ascii="Times New Roman" w:eastAsiaTheme="minorHAnsi" w:hAnsi="Times New Roman" w:cs="Times New Roman"/>
          <w:sz w:val="28"/>
          <w:szCs w:val="28"/>
          <w:lang w:eastAsia="en-US"/>
        </w:rPr>
        <w:t>В Новосибирской области в реестр семеноводческих хозяйств Российской Федерации включено 19 предприятий, осуществляющих производство (выращивание), комплексную доработку (подготовку), фасовку и реализацию семян сельскохозяйственных культур высших категорий,</w:t>
      </w:r>
      <w:r w:rsidRPr="00355CDE">
        <w:rPr>
          <w:rFonts w:ascii="Times New Roman" w:hAnsi="Times New Roman" w:cs="Times New Roman"/>
          <w:sz w:val="28"/>
          <w:szCs w:val="28"/>
          <w:lang w:eastAsia="en-US"/>
        </w:rPr>
        <w:t xml:space="preserve"> из них 15 организаций, имеющих частную форму собственности</w:t>
      </w:r>
      <w:r w:rsidRPr="00355CDE">
        <w:rPr>
          <w:rFonts w:ascii="Times New Roman" w:eastAsiaTheme="minorHAnsi" w:hAnsi="Times New Roman" w:cs="Times New Roman"/>
          <w:sz w:val="28"/>
          <w:szCs w:val="28"/>
          <w:lang w:eastAsia="en-US"/>
        </w:rPr>
        <w:t>.</w:t>
      </w:r>
    </w:p>
    <w:p w14:paraId="251543C3" w14:textId="77777777" w:rsidR="003F4CFF" w:rsidRPr="00355CDE" w:rsidRDefault="003F4CFF" w:rsidP="003F4CFF">
      <w:pPr>
        <w:shd w:val="clear" w:color="auto" w:fill="FFFFFF" w:themeFill="background1"/>
        <w:ind w:firstLine="567"/>
        <w:jc w:val="both"/>
        <w:rPr>
          <w:rFonts w:ascii="Times New Roman" w:eastAsiaTheme="minorHAnsi" w:hAnsi="Times New Roman" w:cs="Times New Roman"/>
          <w:sz w:val="28"/>
          <w:szCs w:val="28"/>
        </w:rPr>
      </w:pPr>
      <w:r w:rsidRPr="00355CDE">
        <w:rPr>
          <w:rFonts w:ascii="Times New Roman" w:hAnsi="Times New Roman" w:cs="Times New Roman"/>
          <w:sz w:val="28"/>
          <w:szCs w:val="28"/>
        </w:rPr>
        <w:t>В общем объеме рынка доля организаций частной формы собственности составила 83,3%, что значительно превышает значение ключевого показателя, установленного стандартом развития конкуренции в субъектах Российской Федерации, и на 3,3 процентных пункта превысило значение ключевого показателя, установленного «дорожной картой» по содействию развитию конкуренции в Новосибирской области на 2019 год.</w:t>
      </w:r>
    </w:p>
    <w:p w14:paraId="3BD56389" w14:textId="77777777" w:rsidR="003F4CFF" w:rsidRPr="00355CDE" w:rsidRDefault="003F4CFF" w:rsidP="003F4CFF">
      <w:pPr>
        <w:shd w:val="clear" w:color="auto" w:fill="FFFFFF" w:themeFill="background1"/>
        <w:ind w:firstLine="567"/>
        <w:jc w:val="both"/>
        <w:rPr>
          <w:rFonts w:ascii="Times New Roman" w:hAnsi="Times New Roman" w:cs="Times New Roman"/>
          <w:sz w:val="28"/>
          <w:szCs w:val="28"/>
        </w:rPr>
      </w:pPr>
      <w:r w:rsidRPr="00355CDE">
        <w:rPr>
          <w:rFonts w:ascii="Times New Roman" w:hAnsi="Times New Roman" w:cs="Times New Roman"/>
          <w:sz w:val="28"/>
          <w:szCs w:val="28"/>
        </w:rPr>
        <w:lastRenderedPageBreak/>
        <w:t xml:space="preserve">Селекция сельскохозяйственных культур в Новосибирской области осуществляется с учетом местных агроклиматических условий. Сорта и гибриды адаптированы к зоне возделывания. </w:t>
      </w:r>
    </w:p>
    <w:p w14:paraId="0458547E" w14:textId="77777777" w:rsidR="003F4CFF" w:rsidRPr="00355CDE"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55CDE">
        <w:rPr>
          <w:rFonts w:ascii="Times New Roman" w:eastAsiaTheme="minorHAnsi" w:hAnsi="Times New Roman" w:cs="Times New Roman"/>
          <w:sz w:val="28"/>
          <w:szCs w:val="28"/>
          <w:lang w:eastAsia="en-US"/>
        </w:rPr>
        <w:t>Основной вклад в развитие селекции и семеноводства зерновых, зернофуражных, зернобобовых, кормовых, технических культур в Новосибирской области внесли ФГБНУ «Федеральный исследовательский центр Институт цитологии и генетики СО РАН» (СибНИИРС – филиал ИЦиГ СО РАН) и ФГБУН «Сибирский федеральный научный центр агробиотехнологий РАН» (СибНИИ кормов СФНЦА РАН), результат работы которых оценивается по количеству сортов, гибридов, включенных в Государственный реестр Российской Федерации по использованию селекционных достижений в сельскохозяйственном производстве Новосибирской области.</w:t>
      </w:r>
    </w:p>
    <w:p w14:paraId="4BAE1175" w14:textId="77777777" w:rsidR="003F4CFF" w:rsidRPr="00355CDE" w:rsidRDefault="003F4CFF" w:rsidP="003F4CFF">
      <w:pPr>
        <w:shd w:val="clear" w:color="auto" w:fill="FFFFFF" w:themeFill="background1"/>
        <w:tabs>
          <w:tab w:val="left" w:pos="5"/>
        </w:tabs>
        <w:autoSpaceDE w:val="0"/>
        <w:autoSpaceDN w:val="0"/>
        <w:adjustRightInd w:val="0"/>
        <w:ind w:firstLine="567"/>
        <w:jc w:val="both"/>
        <w:rPr>
          <w:rFonts w:ascii="Times New Roman" w:hAnsi="Times New Roman" w:cs="Times New Roman"/>
          <w:sz w:val="28"/>
          <w:szCs w:val="28"/>
        </w:rPr>
      </w:pPr>
      <w:r w:rsidRPr="00336CDA">
        <w:rPr>
          <w:rFonts w:ascii="Times New Roman" w:eastAsiaTheme="minorHAnsi" w:hAnsi="Times New Roman" w:cs="Times New Roman"/>
          <w:sz w:val="28"/>
          <w:szCs w:val="28"/>
          <w:lang w:eastAsia="en-US"/>
        </w:rPr>
        <w:t>В 2019 году сельхозтоваропроизводителями Новосибирской области высеяно 278,16 тыс. тонн семян зерновых</w:t>
      </w:r>
      <w:r w:rsidRPr="00355CDE">
        <w:rPr>
          <w:rFonts w:ascii="Times New Roman" w:hAnsi="Times New Roman" w:cs="Times New Roman"/>
          <w:sz w:val="28"/>
          <w:szCs w:val="28"/>
        </w:rPr>
        <w:t xml:space="preserve"> и зернобобовых культур, в том числе 10,4% оригинальных и элитных семян, 47,5% - репродукционных. В посевной кампании 2019 года аграриями региона использовалось свыше 90% сортовых семян зерновых и зернобобовых культур отечественной селекции, в том числе Новосибирской.</w:t>
      </w:r>
    </w:p>
    <w:p w14:paraId="6FE08B5E" w14:textId="77777777" w:rsidR="003F4CFF" w:rsidRPr="00355CDE" w:rsidRDefault="003F4CFF" w:rsidP="003F4CFF">
      <w:pPr>
        <w:shd w:val="clear" w:color="auto" w:fill="FFFFFF" w:themeFill="background1"/>
        <w:ind w:firstLine="567"/>
        <w:jc w:val="both"/>
        <w:rPr>
          <w:rFonts w:ascii="Times New Roman" w:hAnsi="Times New Roman" w:cs="Times New Roman"/>
          <w:sz w:val="28"/>
          <w:szCs w:val="28"/>
        </w:rPr>
      </w:pPr>
      <w:r w:rsidRPr="00355CDE">
        <w:rPr>
          <w:rFonts w:ascii="Times New Roman" w:hAnsi="Times New Roman" w:cs="Times New Roman"/>
          <w:sz w:val="28"/>
          <w:szCs w:val="28"/>
        </w:rPr>
        <w:t>Под урожай 2020 года семеноводческими предприятиями области для сортосмены и сортообновления подготовлено 51,6 тыс. тонн семян зерновых и зернобобовых культур, в том числе по категориям: 7,1 тыс. тонн (13,7%) оригинальных</w:t>
      </w:r>
      <w:r w:rsidRPr="00901F6F">
        <w:rPr>
          <w:rFonts w:ascii="Times New Roman" w:hAnsi="Times New Roman" w:cs="Times New Roman"/>
          <w:sz w:val="28"/>
          <w:szCs w:val="28"/>
        </w:rPr>
        <w:t>, 23 тыс. тонн (44,6%) элитных</w:t>
      </w:r>
      <w:r w:rsidRPr="00355CDE">
        <w:rPr>
          <w:rFonts w:ascii="Times New Roman" w:hAnsi="Times New Roman" w:cs="Times New Roman"/>
          <w:sz w:val="28"/>
          <w:szCs w:val="28"/>
        </w:rPr>
        <w:t xml:space="preserve">, 21,5 тыс. </w:t>
      </w:r>
      <w:r w:rsidRPr="00901F6F">
        <w:rPr>
          <w:rFonts w:ascii="Times New Roman" w:hAnsi="Times New Roman" w:cs="Times New Roman"/>
          <w:sz w:val="28"/>
          <w:szCs w:val="28"/>
        </w:rPr>
        <w:t>тонн (41,7%) – репродукционных</w:t>
      </w:r>
      <w:r w:rsidRPr="00355CDE">
        <w:rPr>
          <w:rFonts w:ascii="Times New Roman" w:hAnsi="Times New Roman" w:cs="Times New Roman"/>
          <w:sz w:val="28"/>
          <w:szCs w:val="28"/>
        </w:rPr>
        <w:t>.</w:t>
      </w:r>
    </w:p>
    <w:p w14:paraId="144F9B7F" w14:textId="77777777" w:rsidR="003F4CFF" w:rsidRPr="00355CDE" w:rsidRDefault="003F4CFF" w:rsidP="003F4CFF">
      <w:pPr>
        <w:shd w:val="clear" w:color="auto" w:fill="FFFFFF" w:themeFill="background1"/>
        <w:ind w:firstLine="567"/>
        <w:jc w:val="both"/>
        <w:rPr>
          <w:rFonts w:ascii="Times New Roman" w:hAnsi="Times New Roman" w:cs="Times New Roman"/>
          <w:sz w:val="28"/>
          <w:szCs w:val="28"/>
        </w:rPr>
      </w:pPr>
      <w:r w:rsidRPr="00355CDE">
        <w:rPr>
          <w:rFonts w:ascii="Times New Roman" w:eastAsia="Times New Roman" w:hAnsi="Times New Roman" w:cs="Times New Roman"/>
          <w:sz w:val="28"/>
          <w:szCs w:val="28"/>
        </w:rPr>
        <w:t>В целях совершенствования системы селекции и семеноводства 21</w:t>
      </w:r>
      <w:r>
        <w:rPr>
          <w:rFonts w:ascii="Times New Roman" w:eastAsia="Times New Roman" w:hAnsi="Times New Roman" w:cs="Times New Roman"/>
          <w:sz w:val="28"/>
          <w:szCs w:val="28"/>
        </w:rPr>
        <w:t>.11</w:t>
      </w:r>
      <w:r>
        <w:rPr>
          <w:rFonts w:ascii="Times New Roman" w:hAnsi="Times New Roman" w:cs="Times New Roman"/>
          <w:sz w:val="28"/>
          <w:szCs w:val="28"/>
        </w:rPr>
        <w:t>.2019</w:t>
      </w:r>
      <w:r w:rsidRPr="00355CDE">
        <w:rPr>
          <w:rFonts w:ascii="Times New Roman" w:hAnsi="Times New Roman" w:cs="Times New Roman"/>
          <w:sz w:val="28"/>
          <w:szCs w:val="28"/>
        </w:rPr>
        <w:t xml:space="preserve"> проведено заседание областной комиссии по сортовому районированию сельскохозяйственных культур. С учетом предложений агрономических советов при госсортоучастках и областной комиссии по сортовому районированию перспективных сельскохозяйственных культур внесены изменения в сортовое районирование Новосибирской области на 2020 год.</w:t>
      </w:r>
    </w:p>
    <w:p w14:paraId="4D0D24D6" w14:textId="77777777" w:rsidR="003F4CFF" w:rsidRPr="00355CDE" w:rsidRDefault="003F4CFF" w:rsidP="003F4CFF">
      <w:pPr>
        <w:shd w:val="clear" w:color="auto" w:fill="FFFFFF" w:themeFill="background1"/>
        <w:ind w:firstLine="567"/>
        <w:jc w:val="both"/>
        <w:rPr>
          <w:rFonts w:ascii="Times New Roman" w:hAnsi="Times New Roman" w:cs="Times New Roman"/>
          <w:sz w:val="28"/>
          <w:szCs w:val="28"/>
        </w:rPr>
      </w:pPr>
      <w:r w:rsidRPr="00355CDE">
        <w:rPr>
          <w:rFonts w:ascii="Times New Roman" w:hAnsi="Times New Roman" w:cs="Times New Roman"/>
          <w:sz w:val="28"/>
          <w:szCs w:val="28"/>
        </w:rPr>
        <w:t xml:space="preserve">В целях содействия развитию конкуренции на рынке семеноводства в течение года министерством сельского хозяйства Новосибирской области осуществлялся сбор и обобщение информации о наличии семян высоких репродукций для реализации в регионе и доведение ее до заинтересованных организаций. </w:t>
      </w:r>
    </w:p>
    <w:p w14:paraId="0C4B0D72" w14:textId="77777777" w:rsidR="003F4CFF" w:rsidRPr="00355CDE"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355CDE">
        <w:rPr>
          <w:rFonts w:ascii="Times New Roman" w:hAnsi="Times New Roman" w:cs="Times New Roman"/>
          <w:sz w:val="28"/>
          <w:szCs w:val="28"/>
        </w:rPr>
        <w:t>В рамках проведения мероприятия «День поля Новосибирской области – 2019» демонстрировались участки с посевами районированных, перспективных отечественных сортов и гибридов зерновых, зернобобовых, технических и кормовых культур с высокими хозяйственно ценными признаками продуктивности.</w:t>
      </w:r>
    </w:p>
    <w:p w14:paraId="364F90E0" w14:textId="77777777" w:rsidR="003F4CFF" w:rsidRPr="00355CDE" w:rsidRDefault="003F4CFF" w:rsidP="003F4CFF">
      <w:pPr>
        <w:widowControl w:val="0"/>
        <w:shd w:val="clear" w:color="auto" w:fill="FFFFFF" w:themeFill="background1"/>
        <w:autoSpaceDE w:val="0"/>
        <w:autoSpaceDN w:val="0"/>
        <w:adjustRightInd w:val="0"/>
        <w:ind w:firstLine="567"/>
        <w:jc w:val="both"/>
        <w:rPr>
          <w:rFonts w:ascii="Times New Roman" w:eastAsia="Times New Roman" w:hAnsi="Times New Roman" w:cs="Times New Roman"/>
          <w:sz w:val="28"/>
          <w:szCs w:val="28"/>
        </w:rPr>
      </w:pPr>
      <w:r w:rsidRPr="00355CDE">
        <w:rPr>
          <w:rFonts w:ascii="Times New Roman" w:eastAsia="Times New Roman" w:hAnsi="Times New Roman" w:cs="Times New Roman"/>
          <w:sz w:val="28"/>
          <w:szCs w:val="28"/>
        </w:rPr>
        <w:t xml:space="preserve">В период работы </w:t>
      </w:r>
      <w:r w:rsidRPr="00355CDE">
        <w:rPr>
          <w:rFonts w:ascii="Times New Roman" w:eastAsia="Times New Roman" w:hAnsi="Times New Roman" w:cs="Times New Roman"/>
          <w:sz w:val="28"/>
          <w:szCs w:val="28"/>
          <w:lang w:val="en-US"/>
        </w:rPr>
        <w:t>IV</w:t>
      </w:r>
      <w:r w:rsidRPr="00355CDE">
        <w:rPr>
          <w:rFonts w:ascii="Times New Roman" w:eastAsia="Times New Roman" w:hAnsi="Times New Roman" w:cs="Times New Roman"/>
          <w:sz w:val="28"/>
          <w:szCs w:val="28"/>
        </w:rPr>
        <w:t xml:space="preserve"> Новосибирского агропродовольственного форума организована международная агропромышленная выставка «Сибирская аграрная неделя», в рамках которой были представлены 12 экспозиций частных селекционеров, семеноводческих предприятий и компаний, реализующих семенной материал.</w:t>
      </w:r>
    </w:p>
    <w:p w14:paraId="2575BFA3" w14:textId="77777777" w:rsidR="003F4CFF" w:rsidRPr="00355CDE" w:rsidRDefault="003F4CFF" w:rsidP="003F4CFF">
      <w:pPr>
        <w:widowControl w:val="0"/>
        <w:shd w:val="clear" w:color="auto" w:fill="FFFFFF" w:themeFill="background1"/>
        <w:autoSpaceDE w:val="0"/>
        <w:autoSpaceDN w:val="0"/>
        <w:adjustRightInd w:val="0"/>
        <w:ind w:firstLine="567"/>
        <w:jc w:val="both"/>
        <w:rPr>
          <w:rFonts w:ascii="Times New Roman" w:eastAsia="Times New Roman" w:hAnsi="Times New Roman" w:cs="Times New Roman"/>
          <w:sz w:val="28"/>
          <w:szCs w:val="28"/>
        </w:rPr>
      </w:pPr>
      <w:r w:rsidRPr="00355CDE">
        <w:rPr>
          <w:rFonts w:ascii="Times New Roman" w:eastAsia="Times New Roman" w:hAnsi="Times New Roman" w:cs="Times New Roman"/>
          <w:sz w:val="28"/>
          <w:szCs w:val="28"/>
        </w:rPr>
        <w:t xml:space="preserve">В 2019 году в постановление Правительства Новосибирской области от 02.02.2015 № 37-п «О государственной программе Новосибирской области </w:t>
      </w:r>
      <w:r w:rsidRPr="00355CDE">
        <w:rPr>
          <w:rFonts w:ascii="Times New Roman" w:eastAsia="Times New Roman" w:hAnsi="Times New Roman" w:cs="Times New Roman"/>
          <w:sz w:val="28"/>
          <w:szCs w:val="28"/>
        </w:rPr>
        <w:lastRenderedPageBreak/>
        <w:t>«Развитие сельского хозяйства и регулирование рынков сельскохозяйственной продукции, сырья и продовольствия в Новосибирской области» внесено изменение в части введения с 2020 года дополнительной меры государственной поддержки в виде возмещения части затрат на приобретение не только элитных, но и оригинальных семян.</w:t>
      </w:r>
    </w:p>
    <w:p w14:paraId="31459706" w14:textId="77777777" w:rsidR="003F4CFF" w:rsidRPr="00EC5135" w:rsidRDefault="003F4CFF" w:rsidP="003F4CFF">
      <w:pPr>
        <w:ind w:firstLine="567"/>
        <w:jc w:val="both"/>
        <w:rPr>
          <w:rFonts w:ascii="Times New Roman" w:hAnsi="Times New Roman" w:cs="Times New Roman"/>
          <w:sz w:val="28"/>
          <w:szCs w:val="28"/>
        </w:rPr>
      </w:pPr>
      <w:r w:rsidRPr="00DE0A70">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sidRPr="00DE0A70">
        <w:rPr>
          <w:rFonts w:ascii="Times New Roman" w:eastAsia="Times New Roman" w:hAnsi="Times New Roman" w:cs="Times New Roman"/>
          <w:sz w:val="28"/>
          <w:szCs w:val="28"/>
        </w:rPr>
        <w:t xml:space="preserve"> за 2019 год</w:t>
      </w:r>
      <w:r>
        <w:rPr>
          <w:rFonts w:ascii="Times New Roman" w:hAnsi="Times New Roman" w:cs="Times New Roman"/>
          <w:sz w:val="28"/>
          <w:szCs w:val="28"/>
        </w:rPr>
        <w:t xml:space="preserve"> установлено, что б</w:t>
      </w:r>
      <w:r w:rsidRPr="00EC5135">
        <w:rPr>
          <w:rFonts w:ascii="Times New Roman" w:hAnsi="Times New Roman" w:cs="Times New Roman"/>
          <w:sz w:val="28"/>
          <w:szCs w:val="28"/>
        </w:rPr>
        <w:t>олее половины опрошенных субъектов предпринимательства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умеренную конкуренцию (60%), доля низких оценок уровня конкуренции на данном рынке (слабая конкуренция либо нет конкуренции) – 9%, доля высоких оценок – 31%.</w:t>
      </w:r>
    </w:p>
    <w:p w14:paraId="55BF8D9B"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непреодолимых административных барьеров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11% субъектов предпринимательства. Наиболее существенным барьером для ведения текущей деятельности и открытия нового бизнеса является нестабильность законодательства, регулирующего предпринимательскую деятельность (43%</w:t>
      </w:r>
      <w:r>
        <w:rPr>
          <w:rFonts w:ascii="Times New Roman" w:hAnsi="Times New Roman" w:cs="Times New Roman"/>
          <w:sz w:val="28"/>
          <w:szCs w:val="28"/>
        </w:rPr>
        <w:t xml:space="preserve">). </w:t>
      </w:r>
    </w:p>
    <w:p w14:paraId="30A857A4" w14:textId="77777777" w:rsidR="003F4CFF" w:rsidRPr="0080248D"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В оценке деятельности органов власти мнения субъектов предпринимательства разделились, незначительно преобладает мнение, что органы власти ничего не предпринимают, и их участие не нужно (29%). При этом</w:t>
      </w:r>
      <w:r>
        <w:rPr>
          <w:rFonts w:ascii="Times New Roman" w:hAnsi="Times New Roman" w:cs="Times New Roman"/>
          <w:sz w:val="28"/>
          <w:szCs w:val="28"/>
        </w:rPr>
        <w:t>26% респондентов указали</w:t>
      </w:r>
      <w:r w:rsidRPr="00EC5135">
        <w:rPr>
          <w:rFonts w:ascii="Times New Roman" w:hAnsi="Times New Roman" w:cs="Times New Roman"/>
          <w:sz w:val="28"/>
          <w:szCs w:val="28"/>
        </w:rPr>
        <w:t>, что органы власти ничего не предпринимают, н</w:t>
      </w:r>
      <w:r>
        <w:rPr>
          <w:rFonts w:ascii="Times New Roman" w:hAnsi="Times New Roman" w:cs="Times New Roman"/>
          <w:sz w:val="28"/>
          <w:szCs w:val="28"/>
        </w:rPr>
        <w:t xml:space="preserve">о их участие необходимо (26%). </w:t>
      </w:r>
    </w:p>
    <w:p w14:paraId="4536EA5F" w14:textId="77777777" w:rsidR="003F4CFF" w:rsidRPr="003D02AE" w:rsidRDefault="003F4CFF" w:rsidP="003F4CFF">
      <w:pPr>
        <w:ind w:firstLine="567"/>
        <w:jc w:val="both"/>
        <w:rPr>
          <w:rFonts w:ascii="Times New Roman" w:eastAsia="Times New Roman" w:hAnsi="Times New Roman" w:cs="Times New Roman"/>
          <w:sz w:val="28"/>
          <w:szCs w:val="28"/>
        </w:rPr>
      </w:pPr>
      <w:r w:rsidRPr="003D02AE">
        <w:rPr>
          <w:rFonts w:ascii="Times New Roman" w:eastAsia="Times New Roman" w:hAnsi="Times New Roman" w:cs="Times New Roman"/>
          <w:sz w:val="28"/>
          <w:szCs w:val="28"/>
          <w:shd w:val="clear" w:color="auto" w:fill="FFFFFF"/>
        </w:rPr>
        <w:t xml:space="preserve">Большинство </w:t>
      </w:r>
      <w:r w:rsidRPr="003D02AE">
        <w:rPr>
          <w:rFonts w:ascii="Times New Roman" w:eastAsia="Times New Roman" w:hAnsi="Times New Roman" w:cs="Times New Roman"/>
          <w:sz w:val="28"/>
          <w:szCs w:val="28"/>
        </w:rPr>
        <w:t xml:space="preserve">(74%) потребителей отмечают нехватку организаций на рынке и только 11% потребителей отмечают рост числа организаций за последние 3 года. Удовлетворенность потребителей качеством услуг находится на среднем уровне (52%), удовлетворенность выбором услуг и их стоимостью – на низком уровне, но близка к среднему уровню (49% и 47% соответственно). Положительная динамика по этим показателям слабо выражена: рост возможности выбора услуг отмечают 19% потребителей, повышение качества – 16%, а снижение качества услуг за последние 3 года – 26% потребителей. Рост цен на данном рынке отмечают 62% потребителей </w:t>
      </w:r>
      <w:r w:rsidRPr="003D02AE">
        <w:rPr>
          <w:rFonts w:ascii="Times New Roman" w:hAnsi="Times New Roman" w:cs="Times New Roman"/>
          <w:sz w:val="28"/>
          <w:szCs w:val="28"/>
        </w:rPr>
        <w:t>(меньше, чем на большинстве исследуемых рынков)</w:t>
      </w:r>
      <w:r w:rsidRPr="003D02AE">
        <w:rPr>
          <w:rFonts w:ascii="Times New Roman" w:eastAsia="Times New Roman" w:hAnsi="Times New Roman" w:cs="Times New Roman"/>
          <w:sz w:val="28"/>
          <w:szCs w:val="28"/>
        </w:rPr>
        <w:t>, 8% потребителей отмечают снижение уровня цен за последние 3 года. В целом ситуация на рынке оценивается как неблагоприятная, главным образом по причине недостаточного количества организаций и отсутствия положительной динамики.</w:t>
      </w:r>
    </w:p>
    <w:p w14:paraId="66CA1667"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вылова водных биоресурсов</w:t>
      </w:r>
    </w:p>
    <w:p w14:paraId="71CA49BA" w14:textId="77777777" w:rsidR="003F4CFF" w:rsidRPr="00F90B6B" w:rsidRDefault="003F4CFF" w:rsidP="003F4CFF">
      <w:pPr>
        <w:tabs>
          <w:tab w:val="left" w:pos="5"/>
        </w:tabs>
        <w:autoSpaceDE w:val="0"/>
        <w:autoSpaceDN w:val="0"/>
        <w:adjustRightInd w:val="0"/>
        <w:ind w:firstLine="567"/>
        <w:jc w:val="both"/>
        <w:rPr>
          <w:rFonts w:ascii="Times New Roman" w:hAnsi="Times New Roman" w:cs="Times New Roman"/>
          <w:sz w:val="28"/>
          <w:szCs w:val="28"/>
        </w:rPr>
      </w:pPr>
      <w:r w:rsidRPr="00F90B6B">
        <w:rPr>
          <w:rFonts w:ascii="Times New Roman" w:hAnsi="Times New Roman" w:cs="Times New Roman"/>
          <w:sz w:val="28"/>
          <w:szCs w:val="28"/>
        </w:rPr>
        <w:t>Вылов водных биоресурсов в промышленных целях на территории Новосибирской области осуществляет 41 рыбодобывающая организация. Все хозяйствующие субъекты частной формы собственности.</w:t>
      </w:r>
    </w:p>
    <w:p w14:paraId="787B5C61" w14:textId="77777777" w:rsidR="003F4CFF" w:rsidRPr="00780FAB" w:rsidRDefault="003F4CFF" w:rsidP="003F4CFF">
      <w:pPr>
        <w:tabs>
          <w:tab w:val="left" w:pos="5"/>
        </w:tabs>
        <w:ind w:firstLine="567"/>
        <w:jc w:val="both"/>
        <w:rPr>
          <w:rFonts w:ascii="Times New Roman" w:hAnsi="Times New Roman" w:cs="Times New Roman"/>
          <w:sz w:val="28"/>
          <w:szCs w:val="28"/>
        </w:rPr>
      </w:pPr>
      <w:r w:rsidRPr="00780FAB">
        <w:rPr>
          <w:rFonts w:ascii="Times New Roman" w:hAnsi="Times New Roman" w:cs="Times New Roman"/>
          <w:sz w:val="28"/>
          <w:szCs w:val="28"/>
        </w:rPr>
        <w:t>Государственная аграрная политика в Новосибирской области является составной частью государственной социально-экономической политики и представляет собой систему мер регулирования, направленную на развитие сельских территорий и сельского хозяйства Новосибирской области. Одной из основных целей государственной аграрной политики в Новосибирской области является создание условий для сохранения, воспроизводства и повышения эффективности использования в сельском хозяйстве земельных и водных биологических ресурсов.</w:t>
      </w:r>
    </w:p>
    <w:p w14:paraId="2F93E02A" w14:textId="77777777" w:rsidR="003F4CFF" w:rsidRPr="00780FAB" w:rsidRDefault="003F4CFF" w:rsidP="003F4CFF">
      <w:pPr>
        <w:tabs>
          <w:tab w:val="left" w:pos="5"/>
        </w:tabs>
        <w:ind w:firstLine="567"/>
        <w:jc w:val="both"/>
        <w:rPr>
          <w:rFonts w:ascii="Times New Roman" w:hAnsi="Times New Roman" w:cs="Times New Roman"/>
          <w:sz w:val="28"/>
          <w:szCs w:val="28"/>
        </w:rPr>
      </w:pPr>
      <w:r w:rsidRPr="00780FAB">
        <w:rPr>
          <w:rFonts w:ascii="Times New Roman" w:hAnsi="Times New Roman" w:cs="Times New Roman"/>
          <w:sz w:val="28"/>
          <w:szCs w:val="28"/>
        </w:rPr>
        <w:lastRenderedPageBreak/>
        <w:t>В целях выработки предложений и рекомендаций по обеспечению рационального использования и воспроизводства водных биологических ресурсов, развития рыбохозяйственной отрасли в Новосибирской области постановлением Правительства Новосибирской области от 24.03.2015 № 101-п «О рыбохозяйственном совете Новосибирской области» образован рыбохозяйственный совет Новосибирской области.</w:t>
      </w:r>
    </w:p>
    <w:p w14:paraId="570B6686" w14:textId="77777777" w:rsidR="003F4CFF" w:rsidRDefault="003F4CFF" w:rsidP="003F4CFF">
      <w:pPr>
        <w:tabs>
          <w:tab w:val="left" w:pos="5"/>
        </w:tabs>
        <w:ind w:firstLine="567"/>
        <w:jc w:val="both"/>
        <w:rPr>
          <w:rFonts w:ascii="Times New Roman" w:hAnsi="Times New Roman" w:cs="Times New Roman"/>
          <w:sz w:val="28"/>
          <w:szCs w:val="28"/>
        </w:rPr>
      </w:pPr>
      <w:r w:rsidRPr="00780FAB">
        <w:rPr>
          <w:rFonts w:ascii="Times New Roman" w:hAnsi="Times New Roman" w:cs="Times New Roman"/>
          <w:sz w:val="28"/>
          <w:szCs w:val="28"/>
        </w:rPr>
        <w:t>В рамках государственной программы Новосибирской области «Охрана окружающей среды» на 2015-2020 годы», утвержденной постановлением Правительства Новосибирской области от 28.01.2015 № 28-п, предусмотрена реализация мероприятий, направленных на создание условий для развития товарного рыбоводства и промышленного рыболовства на территории Новосибирской области, в том числе предоставление субсидий из областного бюджета Новосибирской области юридическим лицам и индивидуальным предпринимателям (за исключением субсидий государственным (муниципальным) учреждениям) – производителям товаров, работ, услуг в сфере товарного рыбоводства и промышленного рыболовства.</w:t>
      </w:r>
    </w:p>
    <w:p w14:paraId="6B691684" w14:textId="77777777" w:rsidR="003F4CFF" w:rsidRPr="00780FAB" w:rsidRDefault="003F4CFF" w:rsidP="003F4CFF">
      <w:pPr>
        <w:tabs>
          <w:tab w:val="left" w:pos="5"/>
        </w:tabs>
        <w:ind w:firstLine="567"/>
        <w:jc w:val="both"/>
        <w:rPr>
          <w:rFonts w:ascii="Times New Roman" w:hAnsi="Times New Roman" w:cs="Times New Roman"/>
          <w:sz w:val="28"/>
          <w:szCs w:val="28"/>
        </w:rPr>
      </w:pPr>
      <w:r w:rsidRPr="00780FAB">
        <w:rPr>
          <w:rFonts w:ascii="Times New Roman" w:hAnsi="Times New Roman" w:cs="Times New Roman"/>
          <w:sz w:val="28"/>
          <w:szCs w:val="28"/>
        </w:rPr>
        <w:t>Рыбохозяйственный комплекс региона ежегодно показывает стабильную динамику развития, что позволяет Новосибирской области занимать одно из ведущих мест в Российской Федерации и лидирующие позиции в Сибирском федеральном округе по показателям рыбохозяйственной деятельности в пресноводных во</w:t>
      </w:r>
      <w:r>
        <w:rPr>
          <w:rFonts w:ascii="Times New Roman" w:hAnsi="Times New Roman" w:cs="Times New Roman"/>
          <w:sz w:val="28"/>
          <w:szCs w:val="28"/>
        </w:rPr>
        <w:t>доемах</w:t>
      </w:r>
      <w:r w:rsidRPr="00780FAB">
        <w:rPr>
          <w:rFonts w:ascii="Times New Roman" w:hAnsi="Times New Roman" w:cs="Times New Roman"/>
          <w:sz w:val="28"/>
          <w:szCs w:val="28"/>
        </w:rPr>
        <w:t>.</w:t>
      </w:r>
    </w:p>
    <w:p w14:paraId="3991BF1D" w14:textId="77777777" w:rsidR="003F4CFF" w:rsidRDefault="003F4CFF" w:rsidP="003F4CFF">
      <w:pPr>
        <w:rPr>
          <w:rFonts w:cs="Times New Roman"/>
          <w:noProof/>
          <w:sz w:val="24"/>
          <w:szCs w:val="24"/>
        </w:rPr>
      </w:pPr>
      <w:r w:rsidRPr="00780FAB">
        <w:rPr>
          <w:rFonts w:cs="Times New Roman"/>
          <w:noProof/>
          <w:sz w:val="24"/>
          <w:szCs w:val="24"/>
        </w:rPr>
        <w:drawing>
          <wp:inline distT="0" distB="0" distL="0" distR="0" wp14:anchorId="3DAB03E1" wp14:editId="64C0AF18">
            <wp:extent cx="5701030" cy="233616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75D8A70" w14:textId="77777777" w:rsidR="003F4CFF" w:rsidRDefault="003F4CFF" w:rsidP="003F4CFF">
      <w:pPr>
        <w:rPr>
          <w:rFonts w:ascii="Times New Roman" w:hAnsi="Times New Roman" w:cs="Times New Roman"/>
          <w:b/>
          <w:noProof/>
          <w:sz w:val="24"/>
          <w:szCs w:val="24"/>
        </w:rPr>
      </w:pPr>
      <w:r w:rsidRPr="00C808E2">
        <w:rPr>
          <w:rFonts w:ascii="Times New Roman" w:hAnsi="Times New Roman" w:cs="Times New Roman"/>
          <w:b/>
          <w:noProof/>
          <w:sz w:val="24"/>
          <w:szCs w:val="24"/>
        </w:rPr>
        <w:t>Диаграмма</w:t>
      </w:r>
      <w:r>
        <w:rPr>
          <w:rFonts w:ascii="Times New Roman" w:hAnsi="Times New Roman" w:cs="Times New Roman"/>
          <w:b/>
          <w:noProof/>
          <w:sz w:val="24"/>
          <w:szCs w:val="24"/>
        </w:rPr>
        <w:t xml:space="preserve"> 1 - Показатели</w:t>
      </w:r>
      <w:r w:rsidRPr="00C808E2">
        <w:rPr>
          <w:rFonts w:ascii="Times New Roman" w:hAnsi="Times New Roman" w:cs="Times New Roman"/>
          <w:b/>
          <w:noProof/>
          <w:sz w:val="24"/>
          <w:szCs w:val="24"/>
        </w:rPr>
        <w:t xml:space="preserve"> </w:t>
      </w:r>
      <w:r>
        <w:rPr>
          <w:rFonts w:ascii="Times New Roman" w:hAnsi="Times New Roman" w:cs="Times New Roman"/>
          <w:b/>
          <w:noProof/>
          <w:sz w:val="24"/>
          <w:szCs w:val="24"/>
        </w:rPr>
        <w:t>рыбохозяйственной деятельности</w:t>
      </w:r>
    </w:p>
    <w:p w14:paraId="4A94A86E" w14:textId="77777777" w:rsidR="003F4CFF" w:rsidRPr="00C808E2" w:rsidRDefault="003F4CFF" w:rsidP="003F4CFF">
      <w:pPr>
        <w:rPr>
          <w:rFonts w:ascii="Times New Roman" w:hAnsi="Times New Roman" w:cs="Times New Roman"/>
          <w:b/>
          <w:sz w:val="28"/>
          <w:szCs w:val="28"/>
        </w:rPr>
      </w:pPr>
    </w:p>
    <w:p w14:paraId="440E5136" w14:textId="77777777" w:rsidR="003F4CFF" w:rsidRPr="00780FAB" w:rsidRDefault="003F4CFF" w:rsidP="003F4CFF">
      <w:pPr>
        <w:ind w:firstLine="567"/>
        <w:jc w:val="both"/>
        <w:rPr>
          <w:rFonts w:ascii="Times New Roman" w:hAnsi="Times New Roman" w:cs="Times New Roman"/>
          <w:sz w:val="28"/>
          <w:szCs w:val="28"/>
        </w:rPr>
      </w:pPr>
      <w:r w:rsidRPr="00780FAB">
        <w:rPr>
          <w:rFonts w:ascii="Times New Roman" w:hAnsi="Times New Roman" w:cs="Times New Roman"/>
          <w:sz w:val="28"/>
          <w:szCs w:val="28"/>
        </w:rPr>
        <w:t>В 2019 году объем добычи (вылова) водных биоресурсов прогнозируется свыше 11 тыс. тонн, в том числе промышленный улов рыбы – 9,6 тыс. тонн, выращенной товарной рыбы – 1,5 тыс. тонн. Общий объем вылова рыбы по сравнению с прошлым годом увеличится на 12,0%. Объем зарыбления рыбохозяйственных водоемов рыбопосадочным материалом ценных видов рыб в 2019 году составил 58 843,0 тыс. штук, что на 11% превышает уровень прошлого года.</w:t>
      </w:r>
    </w:p>
    <w:p w14:paraId="744E68DE" w14:textId="77777777" w:rsidR="003F4CFF" w:rsidRPr="00780FAB" w:rsidRDefault="003F4CFF" w:rsidP="003F4CFF">
      <w:pPr>
        <w:ind w:firstLine="567"/>
        <w:jc w:val="both"/>
        <w:rPr>
          <w:rFonts w:ascii="Times New Roman" w:hAnsi="Times New Roman" w:cs="Times New Roman"/>
          <w:sz w:val="28"/>
          <w:szCs w:val="28"/>
        </w:rPr>
      </w:pPr>
      <w:r w:rsidRPr="00780FAB">
        <w:rPr>
          <w:rFonts w:ascii="Times New Roman" w:hAnsi="Times New Roman" w:cs="Times New Roman"/>
          <w:sz w:val="28"/>
          <w:szCs w:val="28"/>
        </w:rPr>
        <w:lastRenderedPageBreak/>
        <w:t xml:space="preserve">На развитие товарного рыбоводства и промышленного рыболовства рыбохозяйственным организациям из областного бюджета Новосибирской области предоставлена государственная поддержка в размере 20,0 млн. рублей. </w:t>
      </w:r>
    </w:p>
    <w:p w14:paraId="7F1A0E32" w14:textId="77777777" w:rsidR="003F4CFF" w:rsidRDefault="003F4CFF" w:rsidP="003F4CFF">
      <w:pPr>
        <w:ind w:firstLine="567"/>
        <w:jc w:val="both"/>
        <w:rPr>
          <w:rFonts w:ascii="Times New Roman" w:hAnsi="Times New Roman" w:cs="Times New Roman"/>
          <w:sz w:val="28"/>
          <w:szCs w:val="28"/>
        </w:rPr>
      </w:pPr>
      <w:r w:rsidRPr="00780FAB">
        <w:rPr>
          <w:rFonts w:ascii="Times New Roman" w:hAnsi="Times New Roman" w:cs="Times New Roman"/>
          <w:sz w:val="28"/>
          <w:szCs w:val="28"/>
        </w:rPr>
        <w:t>Основной задачей на 2020 год является обеспечение роста добычи (вылова) водных биоресурсов, для чего предусмотрена государственная поддержка на уровне 20,0 млн. рублей.</w:t>
      </w:r>
    </w:p>
    <w:p w14:paraId="259F969E" w14:textId="77777777" w:rsidR="003F4CFF" w:rsidRPr="00EC5135" w:rsidRDefault="003F4CFF" w:rsidP="003F4CFF">
      <w:pPr>
        <w:ind w:firstLine="567"/>
        <w:jc w:val="both"/>
        <w:rPr>
          <w:rFonts w:ascii="Times New Roman" w:hAnsi="Times New Roman" w:cs="Times New Roman"/>
          <w:sz w:val="28"/>
          <w:szCs w:val="28"/>
        </w:rPr>
      </w:pPr>
      <w:r w:rsidRPr="00DE0A70">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sidRPr="00DE0A70">
        <w:rPr>
          <w:rFonts w:ascii="Times New Roman" w:eastAsia="Times New Roman" w:hAnsi="Times New Roman" w:cs="Times New Roman"/>
          <w:sz w:val="28"/>
          <w:szCs w:val="28"/>
        </w:rPr>
        <w:t xml:space="preserve"> за 2019 год</w:t>
      </w:r>
      <w:r>
        <w:rPr>
          <w:rFonts w:ascii="Times New Roman" w:hAnsi="Times New Roman" w:cs="Times New Roman"/>
          <w:sz w:val="28"/>
          <w:szCs w:val="28"/>
        </w:rPr>
        <w:t xml:space="preserve"> б</w:t>
      </w:r>
      <w:r w:rsidRPr="00EC5135">
        <w:rPr>
          <w:rFonts w:ascii="Times New Roman" w:hAnsi="Times New Roman" w:cs="Times New Roman"/>
          <w:sz w:val="28"/>
          <w:szCs w:val="28"/>
        </w:rPr>
        <w:t>олее половины опрошенных субъектов предпринимательства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умеренную конкуренцию (60%), доля низких оценок уровня конкуренции на данном рынке (слабая конкуренция либо нет конкуренции) – 20%, доля высоких оценок – также 20%.</w:t>
      </w:r>
    </w:p>
    <w:p w14:paraId="7661E803" w14:textId="77777777" w:rsidR="003F4CFF"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непреодолимых административных барьеров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6%</w:t>
      </w:r>
      <w:r>
        <w:rPr>
          <w:rFonts w:ascii="Times New Roman" w:hAnsi="Times New Roman" w:cs="Times New Roman"/>
          <w:sz w:val="28"/>
          <w:szCs w:val="28"/>
        </w:rPr>
        <w:t xml:space="preserve"> субъектов предпринимательства</w:t>
      </w:r>
      <w:r w:rsidRPr="00EC5135">
        <w:rPr>
          <w:rFonts w:ascii="Times New Roman" w:hAnsi="Times New Roman" w:cs="Times New Roman"/>
          <w:sz w:val="28"/>
          <w:szCs w:val="28"/>
        </w:rPr>
        <w:t>. Основными барьерами для ведения текущей деятельности и открытия нового бизнеса являются нестабильность законодательства, регулирующего предпринимательскую деятельность (отмечают 37%), сложность получения доступа к земельным участкам (31%) и сложность процедуры получения лицензий, средств государственной поддержки, разреше</w:t>
      </w:r>
      <w:r>
        <w:rPr>
          <w:rFonts w:ascii="Times New Roman" w:hAnsi="Times New Roman" w:cs="Times New Roman"/>
          <w:sz w:val="28"/>
          <w:szCs w:val="28"/>
        </w:rPr>
        <w:t>ний, согласований и т.д. (29%).</w:t>
      </w:r>
    </w:p>
    <w:p w14:paraId="250EB945" w14:textId="77777777" w:rsidR="003F4CFF" w:rsidRPr="00780FAB"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В оценке деятельности органов власти преобладает мнение, что органы власти помогают бизнесу своими действиями (37%). </w:t>
      </w:r>
    </w:p>
    <w:p w14:paraId="40E66169" w14:textId="77777777" w:rsidR="003F4CFF" w:rsidRPr="003D02AE" w:rsidRDefault="003F4CFF" w:rsidP="003F4CFF">
      <w:pPr>
        <w:ind w:firstLine="567"/>
        <w:jc w:val="both"/>
        <w:rPr>
          <w:rFonts w:ascii="Times New Roman" w:eastAsia="Times New Roman" w:hAnsi="Times New Roman" w:cs="Times New Roman"/>
          <w:sz w:val="28"/>
          <w:szCs w:val="28"/>
        </w:rPr>
      </w:pPr>
      <w:r w:rsidRPr="003D02AE">
        <w:rPr>
          <w:rFonts w:ascii="Times New Roman" w:eastAsia="Times New Roman" w:hAnsi="Times New Roman" w:cs="Times New Roman"/>
          <w:sz w:val="28"/>
          <w:szCs w:val="28"/>
          <w:shd w:val="clear" w:color="auto" w:fill="FFFFFF"/>
        </w:rPr>
        <w:t>Наблюдается недостаточное количество организаций на данном рынке (</w:t>
      </w:r>
      <w:r w:rsidRPr="003D02AE">
        <w:rPr>
          <w:rFonts w:ascii="Times New Roman" w:hAnsi="Times New Roman" w:cs="Times New Roman"/>
          <w:sz w:val="28"/>
          <w:szCs w:val="28"/>
        </w:rPr>
        <w:t>так считают 77% потребителей</w:t>
      </w:r>
      <w:r w:rsidRPr="003D02AE">
        <w:rPr>
          <w:rFonts w:ascii="Times New Roman" w:eastAsia="Times New Roman" w:hAnsi="Times New Roman" w:cs="Times New Roman"/>
          <w:sz w:val="28"/>
          <w:szCs w:val="28"/>
          <w:shd w:val="clear" w:color="auto" w:fill="FFFFFF"/>
        </w:rPr>
        <w:t xml:space="preserve">) </w:t>
      </w:r>
      <w:r w:rsidRPr="003D02AE">
        <w:rPr>
          <w:rFonts w:ascii="Times New Roman" w:eastAsia="Times New Roman" w:hAnsi="Times New Roman" w:cs="Times New Roman"/>
          <w:sz w:val="28"/>
          <w:szCs w:val="28"/>
        </w:rPr>
        <w:t>и только 8% потребителей отмечают рост числа организаций за последние 3 года. Удовлетворенность потребителей выбором услуг, их качеством и стоимостью находится на низком уровне (39%, 39% и 34% соответственно). Положительная динамика по этим показателям практически не выражена: рост возможности выбора услуг отмечают 13% потребителей, повышение качества – 14%, а снижение качества услуг за последние 3 года – 22% потребителей. Хотя рост цен на данном рынке менее выражен, чем на большинстве исследуемых рынков (отмечают 64% потребителей), ситуация в целом оценивается как неблагоприятная.</w:t>
      </w:r>
    </w:p>
    <w:p w14:paraId="6133CEB6"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переработки водных биоресурсов</w:t>
      </w:r>
    </w:p>
    <w:p w14:paraId="1B8E0698" w14:textId="77777777" w:rsidR="003F4CFF" w:rsidRDefault="003F4CFF" w:rsidP="003F4CFF">
      <w:pPr>
        <w:tabs>
          <w:tab w:val="left" w:pos="5"/>
        </w:tabs>
        <w:autoSpaceDE w:val="0"/>
        <w:autoSpaceDN w:val="0"/>
        <w:adjustRightInd w:val="0"/>
        <w:ind w:firstLine="567"/>
        <w:jc w:val="both"/>
        <w:rPr>
          <w:rFonts w:ascii="Times New Roman" w:hAnsi="Times New Roman" w:cs="Times New Roman"/>
          <w:b/>
          <w:sz w:val="28"/>
          <w:szCs w:val="28"/>
        </w:rPr>
      </w:pPr>
      <w:r w:rsidRPr="00F90B6B">
        <w:rPr>
          <w:rFonts w:ascii="Times New Roman" w:hAnsi="Times New Roman" w:cs="Times New Roman"/>
          <w:sz w:val="28"/>
          <w:szCs w:val="28"/>
        </w:rPr>
        <w:t>Переработку рыбы на территории Новоси</w:t>
      </w:r>
      <w:r>
        <w:rPr>
          <w:rFonts w:ascii="Times New Roman" w:hAnsi="Times New Roman" w:cs="Times New Roman"/>
          <w:sz w:val="28"/>
          <w:szCs w:val="28"/>
        </w:rPr>
        <w:t>бирской области осуществляют 48 </w:t>
      </w:r>
      <w:r w:rsidRPr="00F90B6B">
        <w:rPr>
          <w:rFonts w:ascii="Times New Roman" w:hAnsi="Times New Roman" w:cs="Times New Roman"/>
          <w:sz w:val="28"/>
          <w:szCs w:val="28"/>
        </w:rPr>
        <w:t>рыбоперерабатывающих организаций. Все хозяйствующие субъекты частной формы собственности.</w:t>
      </w:r>
    </w:p>
    <w:p w14:paraId="329FACF7"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36CDA">
        <w:rPr>
          <w:rFonts w:ascii="Times New Roman" w:eastAsiaTheme="minorHAnsi" w:hAnsi="Times New Roman" w:cs="Times New Roman"/>
          <w:sz w:val="28"/>
          <w:szCs w:val="28"/>
          <w:lang w:eastAsia="en-US"/>
        </w:rPr>
        <w:t>Основными проблемами на рынке являются:</w:t>
      </w:r>
    </w:p>
    <w:p w14:paraId="32BB5EF7" w14:textId="77777777"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sidRPr="00F90B6B">
        <w:rPr>
          <w:rFonts w:ascii="Times New Roman" w:hAnsi="Times New Roman" w:cs="Times New Roman"/>
          <w:sz w:val="28"/>
          <w:szCs w:val="28"/>
        </w:rPr>
        <w:t>значительный объем первоначальных вложений в рыбоперерабатывающее производство при длительном сроке окупаемости;</w:t>
      </w:r>
    </w:p>
    <w:p w14:paraId="5936FE66" w14:textId="77777777"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sidRPr="00F90B6B">
        <w:rPr>
          <w:rFonts w:ascii="Times New Roman" w:hAnsi="Times New Roman" w:cs="Times New Roman"/>
          <w:sz w:val="28"/>
          <w:szCs w:val="28"/>
        </w:rPr>
        <w:t>избыточное число посредников между рыбодобывающими и рыбоперерабатывающими хозяйствующими субъектами, а также организациями розничной торговли;</w:t>
      </w:r>
    </w:p>
    <w:p w14:paraId="2DCA72A3" w14:textId="77777777"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sidRPr="00F90B6B">
        <w:rPr>
          <w:rFonts w:ascii="Times New Roman" w:hAnsi="Times New Roman" w:cs="Times New Roman"/>
          <w:sz w:val="28"/>
          <w:szCs w:val="28"/>
        </w:rPr>
        <w:t>большая часть реализуемой рыбной продукции и прочих водных биоресурсов ввозится из других регионов Российской Федерации или импортируется из иных стран.</w:t>
      </w:r>
    </w:p>
    <w:p w14:paraId="4A9C9A0D" w14:textId="77777777" w:rsidR="003F4CFF" w:rsidRDefault="003F4CFF" w:rsidP="003F4CFF">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целях развития</w:t>
      </w:r>
      <w:r w:rsidRPr="00F90B6B">
        <w:rPr>
          <w:rFonts w:ascii="Times New Roman" w:hAnsi="Times New Roman" w:cs="Times New Roman"/>
          <w:sz w:val="28"/>
          <w:szCs w:val="28"/>
        </w:rPr>
        <w:t xml:space="preserve"> рынка</w:t>
      </w:r>
      <w:r>
        <w:rPr>
          <w:rFonts w:ascii="Times New Roman" w:hAnsi="Times New Roman" w:cs="Times New Roman"/>
          <w:sz w:val="28"/>
          <w:szCs w:val="28"/>
        </w:rPr>
        <w:t xml:space="preserve"> переработки водных биоресурсов требуется р</w:t>
      </w:r>
      <w:r w:rsidRPr="00F90B6B">
        <w:rPr>
          <w:rFonts w:ascii="Times New Roman" w:hAnsi="Times New Roman" w:cs="Times New Roman"/>
          <w:sz w:val="28"/>
          <w:szCs w:val="28"/>
        </w:rPr>
        <w:t>азвитие механизма прямых поставок от рыбопереработ</w:t>
      </w:r>
      <w:r>
        <w:rPr>
          <w:rFonts w:ascii="Times New Roman" w:hAnsi="Times New Roman" w:cs="Times New Roman"/>
          <w:sz w:val="28"/>
          <w:szCs w:val="28"/>
        </w:rPr>
        <w:t xml:space="preserve">чиков в розничную торговую сеть и </w:t>
      </w:r>
      <w:r w:rsidRPr="00F90B6B">
        <w:rPr>
          <w:rFonts w:ascii="Times New Roman" w:hAnsi="Times New Roman" w:cs="Times New Roman"/>
          <w:sz w:val="28"/>
          <w:szCs w:val="28"/>
        </w:rPr>
        <w:t>создание условий для производства российских товаров, способных эффективно конкурировать с зарубежными аналогами</w:t>
      </w:r>
      <w:r>
        <w:rPr>
          <w:rFonts w:ascii="Times New Roman" w:hAnsi="Times New Roman" w:cs="Times New Roman"/>
          <w:sz w:val="28"/>
          <w:szCs w:val="28"/>
        </w:rPr>
        <w:t xml:space="preserve"> на внутреннем и внешнем рынках – основные задачи по развитию данного рынка.</w:t>
      </w:r>
    </w:p>
    <w:p w14:paraId="74CEBF75" w14:textId="77777777" w:rsidR="003F4CFF" w:rsidRPr="00EC5135" w:rsidRDefault="003F4CFF" w:rsidP="003F4CFF">
      <w:pPr>
        <w:ind w:firstLine="567"/>
        <w:jc w:val="both"/>
        <w:rPr>
          <w:rFonts w:ascii="Times New Roman" w:hAnsi="Times New Roman" w:cs="Times New Roman"/>
          <w:sz w:val="28"/>
          <w:szCs w:val="28"/>
        </w:rPr>
      </w:pPr>
      <w:r w:rsidRPr="00DE0A70">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sidRPr="00DE0A70">
        <w:rPr>
          <w:rFonts w:ascii="Times New Roman" w:eastAsia="Times New Roman" w:hAnsi="Times New Roman" w:cs="Times New Roman"/>
          <w:sz w:val="28"/>
          <w:szCs w:val="28"/>
        </w:rPr>
        <w:t xml:space="preserve"> за 2019 год</w:t>
      </w:r>
      <w:r>
        <w:rPr>
          <w:rFonts w:ascii="Times New Roman" w:hAnsi="Times New Roman" w:cs="Times New Roman"/>
          <w:sz w:val="28"/>
          <w:szCs w:val="28"/>
        </w:rPr>
        <w:t xml:space="preserve"> б</w:t>
      </w:r>
      <w:r w:rsidRPr="00EC5135">
        <w:rPr>
          <w:rFonts w:ascii="Times New Roman" w:hAnsi="Times New Roman" w:cs="Times New Roman"/>
          <w:sz w:val="28"/>
          <w:szCs w:val="28"/>
        </w:rPr>
        <w:t>олее половины опрошенных субъектов предпринимательства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умеренную конкуренцию (60%), доля низких оценок уровня конкуренции на данном рынке (слабая конкуренция либо нет конкуренции) – 14%, доля высоких оценок – также 26%.</w:t>
      </w:r>
    </w:p>
    <w:p w14:paraId="3A93EA6F"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непреодолимых административных барьеров отме</w:t>
      </w:r>
      <w:r>
        <w:rPr>
          <w:rFonts w:ascii="Times New Roman" w:hAnsi="Times New Roman" w:cs="Times New Roman"/>
          <w:sz w:val="28"/>
          <w:szCs w:val="28"/>
        </w:rPr>
        <w:t>тили</w:t>
      </w:r>
      <w:r w:rsidRPr="00EC5135">
        <w:rPr>
          <w:rFonts w:ascii="Times New Roman" w:hAnsi="Times New Roman" w:cs="Times New Roman"/>
          <w:sz w:val="28"/>
          <w:szCs w:val="28"/>
        </w:rPr>
        <w:t xml:space="preserve"> 14% субъектов предпринимательства. Основными барьерами для ведения текущей деятельности и открытия нового бизнеса являются нестабильность законодательства, регулирующего предпринимательскую деятельность (34%) и сложность получения до</w:t>
      </w:r>
      <w:r>
        <w:rPr>
          <w:rFonts w:ascii="Times New Roman" w:hAnsi="Times New Roman" w:cs="Times New Roman"/>
          <w:sz w:val="28"/>
          <w:szCs w:val="28"/>
        </w:rPr>
        <w:t>ступа к земельным участкам (31%</w:t>
      </w:r>
      <w:r w:rsidRPr="00EC5135">
        <w:rPr>
          <w:rFonts w:ascii="Times New Roman" w:hAnsi="Times New Roman" w:cs="Times New Roman"/>
          <w:sz w:val="28"/>
          <w:szCs w:val="28"/>
        </w:rPr>
        <w:t xml:space="preserve">). </w:t>
      </w:r>
    </w:p>
    <w:p w14:paraId="579572C6"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В оценке деятельности органов власти преобладает мнение, что органы власти помогают б</w:t>
      </w:r>
      <w:r>
        <w:rPr>
          <w:rFonts w:ascii="Times New Roman" w:hAnsi="Times New Roman" w:cs="Times New Roman"/>
          <w:sz w:val="28"/>
          <w:szCs w:val="28"/>
        </w:rPr>
        <w:t>изнесу своими действиями (40%).</w:t>
      </w:r>
    </w:p>
    <w:p w14:paraId="1B60F697" w14:textId="77777777" w:rsidR="003F4CFF" w:rsidRPr="003D02AE" w:rsidRDefault="003F4CFF" w:rsidP="003F4CFF">
      <w:pPr>
        <w:ind w:firstLine="567"/>
        <w:jc w:val="both"/>
        <w:rPr>
          <w:rFonts w:ascii="Times New Roman" w:eastAsia="Times New Roman" w:hAnsi="Times New Roman" w:cs="Times New Roman"/>
          <w:sz w:val="28"/>
          <w:szCs w:val="28"/>
        </w:rPr>
      </w:pPr>
      <w:r w:rsidRPr="003D02AE">
        <w:rPr>
          <w:rFonts w:ascii="Times New Roman" w:eastAsia="Times New Roman" w:hAnsi="Times New Roman" w:cs="Times New Roman"/>
          <w:sz w:val="28"/>
          <w:szCs w:val="28"/>
          <w:shd w:val="clear" w:color="auto" w:fill="FFFFFF"/>
        </w:rPr>
        <w:t xml:space="preserve">На данном рынке наиболее остро стоит проблема недостаточного количества организаций: отмечают нехватку организаций 83% </w:t>
      </w:r>
      <w:r w:rsidRPr="003D02AE">
        <w:rPr>
          <w:rFonts w:ascii="Times New Roman" w:hAnsi="Times New Roman" w:cs="Times New Roman"/>
          <w:sz w:val="28"/>
          <w:szCs w:val="28"/>
        </w:rPr>
        <w:t>потребителей</w:t>
      </w:r>
      <w:r w:rsidRPr="003D02AE">
        <w:rPr>
          <w:rFonts w:ascii="Times New Roman" w:eastAsia="Times New Roman" w:hAnsi="Times New Roman" w:cs="Times New Roman"/>
          <w:sz w:val="28"/>
          <w:szCs w:val="28"/>
          <w:shd w:val="clear" w:color="auto" w:fill="FFFFFF"/>
        </w:rPr>
        <w:t xml:space="preserve"> </w:t>
      </w:r>
      <w:r w:rsidRPr="003D02AE">
        <w:rPr>
          <w:rFonts w:ascii="Times New Roman" w:eastAsia="Times New Roman" w:hAnsi="Times New Roman" w:cs="Times New Roman"/>
          <w:sz w:val="28"/>
          <w:szCs w:val="28"/>
        </w:rPr>
        <w:t>и только 7% потребителей отмечают рост числа организаций за последние 3 года. Удовлетворенность потребителей выбором услуг, их качеством и стоимостью находится на низком уровне (38%, 40% и 34% соответственно). Положительная динамика по этим показателям практически не выражена: рост возможности выбора услуг отмечают 14% потребителей, повышение качества – 11%, а снижение качества услуг за последние 3 года – 27% потребителей. Хотя рост цен на данном рынке менее выражен, чем на большинстве исследуемых рынков (повышение уровня цен отмечают 63% потребителей и 9% отмечают его снижение), ситуация на рынке оценивается как неблагоприятная, главным образом по причине недостаточного числа организаций и отсутствия положительной динамики.</w:t>
      </w:r>
    </w:p>
    <w:p w14:paraId="71E0BE78"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товарной аквакультуры</w:t>
      </w:r>
    </w:p>
    <w:p w14:paraId="55F7E399" w14:textId="77777777" w:rsidR="003F4CFF" w:rsidRPr="00281B31" w:rsidRDefault="003F4CFF" w:rsidP="003F4CFF">
      <w:pPr>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Т</w:t>
      </w:r>
      <w:r w:rsidRPr="00281B31">
        <w:rPr>
          <w:rFonts w:ascii="Times New Roman" w:hAnsi="Times New Roman" w:cs="Times New Roman"/>
          <w:sz w:val="28"/>
          <w:szCs w:val="28"/>
          <w:lang w:eastAsia="en-US"/>
        </w:rPr>
        <w:t>оварное рыбоводство (товарная аквакультура) на территории Новосибирской области осуществляют 152 организации. Все хозяйствующие субъекты частной формы собственности.</w:t>
      </w:r>
    </w:p>
    <w:p w14:paraId="21E354E7" w14:textId="77777777" w:rsidR="003F4CFF" w:rsidRPr="00281B31" w:rsidRDefault="003F4CFF" w:rsidP="003F4CFF">
      <w:pPr>
        <w:autoSpaceDE w:val="0"/>
        <w:autoSpaceDN w:val="0"/>
        <w:adjustRightInd w:val="0"/>
        <w:ind w:firstLine="567"/>
        <w:contextualSpacing/>
        <w:jc w:val="both"/>
        <w:rPr>
          <w:rFonts w:ascii="Times New Roman" w:hAnsi="Times New Roman" w:cs="Times New Roman"/>
          <w:sz w:val="28"/>
          <w:szCs w:val="28"/>
          <w:lang w:eastAsia="en-US"/>
        </w:rPr>
      </w:pPr>
      <w:r w:rsidRPr="00281B31">
        <w:rPr>
          <w:rFonts w:ascii="Times New Roman" w:hAnsi="Times New Roman" w:cs="Times New Roman"/>
          <w:sz w:val="28"/>
          <w:szCs w:val="28"/>
          <w:lang w:eastAsia="en-US"/>
        </w:rPr>
        <w:t xml:space="preserve">Товарное рыбоводство (товарная аквакультура) осуществляется на 197 рыбоводных участках. </w:t>
      </w:r>
    </w:p>
    <w:p w14:paraId="293CE01C" w14:textId="77777777" w:rsidR="003F4CFF" w:rsidRPr="00281B31" w:rsidRDefault="003F4CFF" w:rsidP="003F4CFF">
      <w:pPr>
        <w:autoSpaceDE w:val="0"/>
        <w:autoSpaceDN w:val="0"/>
        <w:adjustRightInd w:val="0"/>
        <w:ind w:firstLine="567"/>
        <w:jc w:val="both"/>
        <w:rPr>
          <w:rFonts w:ascii="Times New Roman" w:hAnsi="Times New Roman" w:cs="Times New Roman"/>
          <w:sz w:val="28"/>
          <w:szCs w:val="28"/>
          <w:lang w:eastAsia="en-US"/>
        </w:rPr>
      </w:pPr>
      <w:r w:rsidRPr="00281B31">
        <w:rPr>
          <w:rFonts w:ascii="Times New Roman" w:hAnsi="Times New Roman" w:cs="Times New Roman"/>
          <w:sz w:val="28"/>
          <w:szCs w:val="28"/>
          <w:lang w:eastAsia="en-US"/>
        </w:rPr>
        <w:t>В рамках государственной программы Новосибирской области «Охрана окружающей среды» на 2015-2020 годы»,</w:t>
      </w:r>
      <w:r>
        <w:rPr>
          <w:rFonts w:ascii="Times New Roman" w:hAnsi="Times New Roman" w:cs="Times New Roman"/>
          <w:sz w:val="28"/>
          <w:szCs w:val="28"/>
          <w:lang w:eastAsia="en-US"/>
        </w:rPr>
        <w:t xml:space="preserve"> </w:t>
      </w:r>
      <w:r w:rsidRPr="00281B31">
        <w:rPr>
          <w:rFonts w:ascii="Times New Roman" w:hAnsi="Times New Roman" w:cs="Times New Roman"/>
          <w:sz w:val="28"/>
          <w:szCs w:val="28"/>
          <w:lang w:eastAsia="en-US"/>
        </w:rPr>
        <w:t xml:space="preserve">утвержденной постановлением Правительства Новосибирской области от 28.01.2015 № 28-п «Об утверждении государственной программы Новосибирской области «Охрана окружающей среды на 2015-2020 годы», предусмотрена реализация мероприятий, направленных на создание условий для развития товарного рыбоводства и промышленного рыболовства на территории Новосибирской области, в том числе предоставление субсидий из областного бюджета Новосибирской области юридическим лицам и индивидуальным предпринимателям (за исключением субсидий государственным </w:t>
      </w:r>
      <w:r w:rsidRPr="00281B31">
        <w:rPr>
          <w:rFonts w:ascii="Times New Roman" w:hAnsi="Times New Roman" w:cs="Times New Roman"/>
          <w:sz w:val="28"/>
          <w:szCs w:val="28"/>
          <w:lang w:eastAsia="en-US"/>
        </w:rPr>
        <w:lastRenderedPageBreak/>
        <w:t>(муниципальным) учреждениям) – производителям товаров, работ, услуг в сфере товарного рыбоводства и промышленного рыболовства.</w:t>
      </w:r>
    </w:p>
    <w:p w14:paraId="1F6E62DF" w14:textId="77777777" w:rsidR="003F4CFF" w:rsidRDefault="003F4CFF" w:rsidP="003F4CFF">
      <w:pPr>
        <w:autoSpaceDE w:val="0"/>
        <w:autoSpaceDN w:val="0"/>
        <w:adjustRightInd w:val="0"/>
        <w:ind w:firstLine="567"/>
        <w:jc w:val="both"/>
        <w:rPr>
          <w:rFonts w:ascii="Times New Roman" w:hAnsi="Times New Roman" w:cs="Times New Roman"/>
          <w:sz w:val="28"/>
          <w:szCs w:val="28"/>
          <w:lang w:eastAsia="en-US"/>
        </w:rPr>
      </w:pPr>
      <w:r w:rsidRPr="00281B31">
        <w:rPr>
          <w:rFonts w:ascii="Times New Roman" w:hAnsi="Times New Roman" w:cs="Times New Roman"/>
          <w:sz w:val="28"/>
          <w:szCs w:val="28"/>
          <w:lang w:eastAsia="en-US"/>
        </w:rPr>
        <w:t>В Стратегии социально-экономического развития Новосибирской области на период до 2030 года в целях формирования продовольственной безопасности региона путем повышения уровня самообеспечения основными видами сельскохозяйственной продукции, создания новых видов конкурентоспособных продуктов, наращивания объемов производства экологически чистых, качественных продуктов питания, поставлена задача по повышению эффективности сельскохозяйственного производства, в том числе путем создания условий для развития товарного рыбоводства и промышленного рыболовства.</w:t>
      </w:r>
    </w:p>
    <w:p w14:paraId="68D3D08A" w14:textId="77777777" w:rsidR="003F4CFF" w:rsidRPr="00EC5135" w:rsidRDefault="003F4CFF" w:rsidP="003F4CFF">
      <w:pPr>
        <w:ind w:firstLine="567"/>
        <w:jc w:val="both"/>
        <w:rPr>
          <w:rFonts w:ascii="Times New Roman" w:hAnsi="Times New Roman" w:cs="Times New Roman"/>
          <w:sz w:val="28"/>
          <w:szCs w:val="28"/>
        </w:rPr>
      </w:pPr>
      <w:r w:rsidRPr="00DE0A70">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sidRPr="00DE0A70">
        <w:rPr>
          <w:rFonts w:ascii="Times New Roman" w:eastAsia="Times New Roman" w:hAnsi="Times New Roman" w:cs="Times New Roman"/>
          <w:sz w:val="28"/>
          <w:szCs w:val="28"/>
        </w:rPr>
        <w:t xml:space="preserve"> за 2019 год</w:t>
      </w:r>
      <w:r>
        <w:rPr>
          <w:rFonts w:ascii="Times New Roman" w:hAnsi="Times New Roman" w:cs="Times New Roman"/>
          <w:sz w:val="28"/>
          <w:szCs w:val="28"/>
        </w:rPr>
        <w:t xml:space="preserve"> б</w:t>
      </w:r>
      <w:r w:rsidRPr="00EC5135">
        <w:rPr>
          <w:rFonts w:ascii="Times New Roman" w:hAnsi="Times New Roman" w:cs="Times New Roman"/>
          <w:sz w:val="28"/>
          <w:szCs w:val="28"/>
        </w:rPr>
        <w:t xml:space="preserve">ольшинство опрошенных субъектов предпринимательства </w:t>
      </w:r>
      <w:r>
        <w:rPr>
          <w:rFonts w:ascii="Times New Roman" w:hAnsi="Times New Roman" w:cs="Times New Roman"/>
          <w:sz w:val="28"/>
          <w:szCs w:val="28"/>
        </w:rPr>
        <w:t>отметили</w:t>
      </w:r>
      <w:r w:rsidRPr="00EC5135">
        <w:rPr>
          <w:rFonts w:ascii="Times New Roman" w:hAnsi="Times New Roman" w:cs="Times New Roman"/>
          <w:sz w:val="28"/>
          <w:szCs w:val="28"/>
        </w:rPr>
        <w:t xml:space="preserve"> умеренную конкуренцию (71%), доля низких оценок уровня конкуренции на данном рынке (слабая конкуренция либо нет конкуренции) – 20%, доля высоких оценок – всего 9% (минимальное значение по всем рынкам). </w:t>
      </w:r>
    </w:p>
    <w:p w14:paraId="20F41B92"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Наличие непреодолимых ад</w:t>
      </w:r>
      <w:r>
        <w:rPr>
          <w:rFonts w:ascii="Times New Roman" w:hAnsi="Times New Roman" w:cs="Times New Roman"/>
          <w:sz w:val="28"/>
          <w:szCs w:val="28"/>
        </w:rPr>
        <w:t>министративных барьеров отметили</w:t>
      </w:r>
      <w:r w:rsidRPr="00EC5135">
        <w:rPr>
          <w:rFonts w:ascii="Times New Roman" w:hAnsi="Times New Roman" w:cs="Times New Roman"/>
          <w:sz w:val="28"/>
          <w:szCs w:val="28"/>
        </w:rPr>
        <w:t xml:space="preserve"> лишь 3% субъектов предпринимательства. Основными барьерами для ведения текущей деятельности и открытия нового бизнеса являются сложность получения</w:t>
      </w:r>
      <w:r>
        <w:rPr>
          <w:rFonts w:ascii="Times New Roman" w:hAnsi="Times New Roman" w:cs="Times New Roman"/>
          <w:sz w:val="28"/>
          <w:szCs w:val="28"/>
        </w:rPr>
        <w:t xml:space="preserve"> доступа к земельным участкам (</w:t>
      </w:r>
      <w:r w:rsidRPr="00EC5135">
        <w:rPr>
          <w:rFonts w:ascii="Times New Roman" w:hAnsi="Times New Roman" w:cs="Times New Roman"/>
          <w:sz w:val="28"/>
          <w:szCs w:val="28"/>
        </w:rPr>
        <w:t>46%</w:t>
      </w:r>
      <w:r>
        <w:rPr>
          <w:rFonts w:ascii="Times New Roman" w:hAnsi="Times New Roman" w:cs="Times New Roman"/>
          <w:sz w:val="28"/>
          <w:szCs w:val="28"/>
        </w:rPr>
        <w:t xml:space="preserve">) </w:t>
      </w:r>
      <w:r w:rsidRPr="00EC5135">
        <w:rPr>
          <w:rFonts w:ascii="Times New Roman" w:hAnsi="Times New Roman" w:cs="Times New Roman"/>
          <w:sz w:val="28"/>
          <w:szCs w:val="28"/>
        </w:rPr>
        <w:t>и нестабильность законодательства, регулирующего предпринимательскую деятельность (37%).</w:t>
      </w:r>
    </w:p>
    <w:p w14:paraId="4FD276EC" w14:textId="77777777" w:rsidR="003F4CFF" w:rsidRPr="00281B31" w:rsidRDefault="003F4CFF" w:rsidP="003F4CFF">
      <w:pPr>
        <w:ind w:firstLine="567"/>
        <w:jc w:val="both"/>
        <w:rPr>
          <w:rFonts w:ascii="Times New Roman" w:hAnsi="Times New Roman" w:cs="Times New Roman"/>
          <w:sz w:val="28"/>
          <w:szCs w:val="28"/>
          <w:lang w:eastAsia="en-US"/>
        </w:rPr>
      </w:pPr>
      <w:r w:rsidRPr="00EC5135">
        <w:rPr>
          <w:rFonts w:ascii="Times New Roman" w:hAnsi="Times New Roman" w:cs="Times New Roman"/>
          <w:sz w:val="28"/>
          <w:szCs w:val="28"/>
        </w:rPr>
        <w:t xml:space="preserve">В оценке деятельности органов власти среди субъектов предпринимательства незначительно преобладает мнение, что в чем-то органы власти помогают, в чем-то мешают (29%). </w:t>
      </w:r>
    </w:p>
    <w:p w14:paraId="58290F21" w14:textId="77777777" w:rsidR="003F4CFF" w:rsidRPr="003D02AE" w:rsidRDefault="003F4CFF" w:rsidP="003F4CFF">
      <w:pPr>
        <w:ind w:firstLine="567"/>
        <w:jc w:val="both"/>
        <w:rPr>
          <w:rFonts w:ascii="Times New Roman" w:eastAsia="Times New Roman" w:hAnsi="Times New Roman" w:cs="Times New Roman"/>
          <w:sz w:val="28"/>
          <w:szCs w:val="28"/>
        </w:rPr>
      </w:pPr>
      <w:r w:rsidRPr="003D02AE">
        <w:rPr>
          <w:rFonts w:ascii="Times New Roman" w:eastAsia="Times New Roman" w:hAnsi="Times New Roman" w:cs="Times New Roman"/>
          <w:sz w:val="28"/>
          <w:szCs w:val="28"/>
          <w:shd w:val="clear" w:color="auto" w:fill="FFFFFF"/>
        </w:rPr>
        <w:t xml:space="preserve">На данном рынке наиболее остро стоит проблема недостаточного количества организаций: отмечают нехватку организаций 85% </w:t>
      </w:r>
      <w:r w:rsidRPr="003D02AE">
        <w:rPr>
          <w:rFonts w:ascii="Times New Roman" w:hAnsi="Times New Roman" w:cs="Times New Roman"/>
          <w:sz w:val="28"/>
          <w:szCs w:val="28"/>
        </w:rPr>
        <w:t>потребителей</w:t>
      </w:r>
      <w:r w:rsidRPr="003D02AE">
        <w:rPr>
          <w:rFonts w:ascii="Times New Roman" w:eastAsia="Times New Roman" w:hAnsi="Times New Roman" w:cs="Times New Roman"/>
          <w:sz w:val="28"/>
          <w:szCs w:val="28"/>
          <w:shd w:val="clear" w:color="auto" w:fill="FFFFFF"/>
        </w:rPr>
        <w:t xml:space="preserve"> </w:t>
      </w:r>
      <w:r w:rsidRPr="003D02AE">
        <w:rPr>
          <w:rFonts w:ascii="Times New Roman" w:eastAsia="Times New Roman" w:hAnsi="Times New Roman" w:cs="Times New Roman"/>
          <w:sz w:val="28"/>
          <w:szCs w:val="28"/>
        </w:rPr>
        <w:t>и только 9% потребителей отмечают рост числа организаций за последние 3 года. Удовлетворенность потребителей выбором услуг, их качеством и стоимостью находится на низком уровне и уступает большинству других рынков (36%, 38% и 31% соответственно). Положительная динамика на рынке практически не выражена: рост возможности выбора услуг отмечают 16% потребителей, повышение качества – 11%, а снижение качества услуг за последние 3 года – 27% потребителей. Хотя рост цен на данном рынке менее выражен, чем на большинстве исследуемых рынков (повышение уровня цен отмечают 62% потребителей и 10% отмечают его снижение), по всем остальным показателям ситуация на рынке оценивается как неблагоприятная.</w:t>
      </w:r>
    </w:p>
    <w:p w14:paraId="3A364532"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добычи общераспространенных полезных ископаемых на участках недр местного значения</w:t>
      </w:r>
    </w:p>
    <w:p w14:paraId="4F0971B2"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36CDA">
        <w:rPr>
          <w:rFonts w:ascii="Times New Roman" w:eastAsiaTheme="minorHAnsi" w:hAnsi="Times New Roman" w:cs="Times New Roman"/>
          <w:sz w:val="28"/>
          <w:szCs w:val="28"/>
          <w:lang w:eastAsia="en-US"/>
        </w:rPr>
        <w:t>На территориальном балансе запасов общераспространенных полезных ископаемых Новосибирской области числится 224 месторождения строительных материалов.</w:t>
      </w:r>
    </w:p>
    <w:p w14:paraId="385B8E09"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36CDA">
        <w:rPr>
          <w:rFonts w:ascii="Times New Roman" w:eastAsiaTheme="minorHAnsi" w:hAnsi="Times New Roman" w:cs="Times New Roman"/>
          <w:sz w:val="28"/>
          <w:szCs w:val="28"/>
          <w:lang w:eastAsia="en-US"/>
        </w:rPr>
        <w:t xml:space="preserve">Новосибирская область занимает лидирующие позиции в Сибирском федеральном округе по добыче общераспространенных полезных ископаемых (далее – ОПИ). На территории области ОПИ представлены строительными </w:t>
      </w:r>
      <w:r w:rsidRPr="00336CDA">
        <w:rPr>
          <w:rFonts w:ascii="Times New Roman" w:eastAsiaTheme="minorHAnsi" w:hAnsi="Times New Roman" w:cs="Times New Roman"/>
          <w:sz w:val="28"/>
          <w:szCs w:val="28"/>
          <w:lang w:eastAsia="en-US"/>
        </w:rPr>
        <w:lastRenderedPageBreak/>
        <w:t>материалами (строительными песками и песчано-гравийными материалами, строительными камнями, строительными известняками, кирпичными суглинками), сапропелем и торфом. В 2019 году добыча строительных материалов прогнозируется незначительно ниже уровня прошлого года и составит около 11 млн. м3, из них 94,4% – это добыча строительных камней, строительных песков и песчано-гравийных материалов. Объемы добычи строительных материалов обеспечат поступление в областной бюджет Новосибирской области около 160 млн. рублей налога на добычу ОПИ (110,6% к уровню 2018 года).</w:t>
      </w:r>
    </w:p>
    <w:p w14:paraId="2B64B6FA"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36CDA">
        <w:rPr>
          <w:rFonts w:ascii="Times New Roman" w:eastAsiaTheme="minorHAnsi" w:hAnsi="Times New Roman" w:cs="Times New Roman"/>
          <w:sz w:val="28"/>
          <w:szCs w:val="28"/>
          <w:lang w:eastAsia="en-US"/>
        </w:rPr>
        <w:t xml:space="preserve">Разведанные на территории области запасы строительных материалов позволяют нарастить их добычу и обеспечить нужды строительной отрасли региона в полном объеме. Так, на 01.01.2019 территориальным балансом запасов ОПИ учтено 224 месторождения строительных материалов с общими запасами 938,8 млн. м3. Только в отчетном году прирост запасов строительных материалов в регионе составил 16,2 млн. м3. </w:t>
      </w:r>
    </w:p>
    <w:p w14:paraId="51CC6824" w14:textId="77777777" w:rsidR="003F4CFF" w:rsidRPr="00336CDA" w:rsidRDefault="003F4CFF" w:rsidP="003F4CFF">
      <w:pPr>
        <w:shd w:val="clear" w:color="auto" w:fill="FFFFFF" w:themeFill="background1"/>
        <w:tabs>
          <w:tab w:val="left" w:pos="5"/>
        </w:tabs>
        <w:autoSpaceDE w:val="0"/>
        <w:autoSpaceDN w:val="0"/>
        <w:adjustRightInd w:val="0"/>
        <w:ind w:firstLine="567"/>
        <w:jc w:val="both"/>
        <w:rPr>
          <w:rFonts w:ascii="Times New Roman" w:eastAsiaTheme="minorHAnsi" w:hAnsi="Times New Roman" w:cs="Times New Roman"/>
          <w:sz w:val="28"/>
          <w:szCs w:val="28"/>
          <w:lang w:eastAsia="en-US"/>
        </w:rPr>
      </w:pPr>
      <w:r w:rsidRPr="00336CDA">
        <w:rPr>
          <w:rFonts w:ascii="Times New Roman" w:eastAsiaTheme="minorHAnsi" w:hAnsi="Times New Roman" w:cs="Times New Roman"/>
          <w:sz w:val="28"/>
          <w:szCs w:val="28"/>
          <w:lang w:eastAsia="en-US"/>
        </w:rPr>
        <w:t xml:space="preserve">Основной задачей на 2020 год является обеспечение регионального строительного рынка строительными материалами местного производства в требуемом объеме. </w:t>
      </w:r>
    </w:p>
    <w:p w14:paraId="29C40652" w14:textId="77777777" w:rsidR="003F4CFF" w:rsidRPr="00EC5135" w:rsidRDefault="003F4CFF" w:rsidP="003F4CFF">
      <w:pPr>
        <w:shd w:val="clear" w:color="auto" w:fill="FFFFFF" w:themeFill="background1"/>
        <w:tabs>
          <w:tab w:val="left" w:pos="5"/>
        </w:tabs>
        <w:autoSpaceDE w:val="0"/>
        <w:autoSpaceDN w:val="0"/>
        <w:adjustRightInd w:val="0"/>
        <w:ind w:firstLine="567"/>
        <w:jc w:val="both"/>
        <w:rPr>
          <w:rFonts w:ascii="Times New Roman" w:hAnsi="Times New Roman" w:cs="Times New Roman"/>
          <w:sz w:val="28"/>
          <w:szCs w:val="28"/>
        </w:rPr>
      </w:pPr>
      <w:r w:rsidRPr="00336CDA">
        <w:rPr>
          <w:rFonts w:ascii="Times New Roman" w:eastAsiaTheme="minorHAnsi" w:hAnsi="Times New Roman" w:cs="Times New Roman"/>
          <w:sz w:val="28"/>
          <w:szCs w:val="28"/>
          <w:lang w:eastAsia="en-US"/>
        </w:rPr>
        <w:t>В ходе мониторинга состояния и развития конкурентной среды на рынках товаров, работ и услуг Новосибирской области за 2019 год немногим более половины опрошенных субъектов предприним</w:t>
      </w:r>
      <w:r w:rsidRPr="00EC5135">
        <w:rPr>
          <w:rFonts w:ascii="Times New Roman" w:hAnsi="Times New Roman" w:cs="Times New Roman"/>
          <w:sz w:val="28"/>
          <w:szCs w:val="28"/>
        </w:rPr>
        <w:t>ательства отмечают высокую конкуренцию (54%), доля низких оценок уровня конкуренции на данном рынке (слабая конкуренция либо нет конкуренции) – 12%.</w:t>
      </w:r>
    </w:p>
    <w:p w14:paraId="60333813"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Никто из опрошенных субъектов предпринимательства не говорит о наличии непреодолимых административных барьеров на рынке. Основными барьерами для ведения текущей деятельности и открытия нового бизнеса являются сложность получения доступа к земельным участкам (34%</w:t>
      </w:r>
      <w:r>
        <w:rPr>
          <w:rFonts w:ascii="Times New Roman" w:hAnsi="Times New Roman" w:cs="Times New Roman"/>
          <w:sz w:val="28"/>
          <w:szCs w:val="28"/>
        </w:rPr>
        <w:t>)</w:t>
      </w:r>
      <w:r w:rsidRPr="00EC5135">
        <w:rPr>
          <w:rFonts w:ascii="Times New Roman" w:hAnsi="Times New Roman" w:cs="Times New Roman"/>
          <w:sz w:val="28"/>
          <w:szCs w:val="28"/>
        </w:rPr>
        <w:t>, нестабильность законодательства, регулирующего предпринимательскую деятельность (26%) и сложность процедуры получения лицензий, средств государственной поддержки, разрешений, согласований (24%).</w:t>
      </w:r>
    </w:p>
    <w:p w14:paraId="27FB2B43"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В оценке деятельности органов власти преобладает мнение, что органы власти ничего не предпринимают, и их участие не нужно (42%). </w:t>
      </w:r>
    </w:p>
    <w:p w14:paraId="69B77491" w14:textId="77777777" w:rsidR="003F4CFF" w:rsidRPr="003D02AE" w:rsidRDefault="003F4CFF" w:rsidP="003F4CFF">
      <w:pPr>
        <w:ind w:firstLine="567"/>
        <w:jc w:val="both"/>
        <w:rPr>
          <w:rFonts w:ascii="Times New Roman" w:eastAsia="Times New Roman" w:hAnsi="Times New Roman" w:cs="Times New Roman"/>
          <w:sz w:val="28"/>
          <w:szCs w:val="28"/>
        </w:rPr>
      </w:pPr>
      <w:r w:rsidRPr="003D02AE">
        <w:rPr>
          <w:rFonts w:ascii="Times New Roman" w:eastAsia="Times New Roman" w:hAnsi="Times New Roman" w:cs="Times New Roman"/>
          <w:sz w:val="28"/>
          <w:szCs w:val="28"/>
          <w:shd w:val="clear" w:color="auto" w:fill="FFFFFF"/>
        </w:rPr>
        <w:t>Наблюдается недостаточное количество организаций на данном рынке (</w:t>
      </w:r>
      <w:r w:rsidRPr="003D02AE">
        <w:rPr>
          <w:rFonts w:ascii="Times New Roman" w:hAnsi="Times New Roman" w:cs="Times New Roman"/>
          <w:sz w:val="28"/>
          <w:szCs w:val="28"/>
        </w:rPr>
        <w:t>так считают 67% потребителей</w:t>
      </w:r>
      <w:r w:rsidRPr="003D02AE">
        <w:rPr>
          <w:rFonts w:ascii="Times New Roman" w:eastAsia="Times New Roman" w:hAnsi="Times New Roman" w:cs="Times New Roman"/>
          <w:sz w:val="28"/>
          <w:szCs w:val="28"/>
          <w:shd w:val="clear" w:color="auto" w:fill="FFFFFF"/>
        </w:rPr>
        <w:t xml:space="preserve">) </w:t>
      </w:r>
      <w:r w:rsidRPr="003D02AE">
        <w:rPr>
          <w:rFonts w:ascii="Times New Roman" w:eastAsia="Times New Roman" w:hAnsi="Times New Roman" w:cs="Times New Roman"/>
          <w:sz w:val="28"/>
          <w:szCs w:val="28"/>
        </w:rPr>
        <w:t>и только 14% потребителей отмечают рост числа организаций за последние 3 года. Несмотря на это, удовлетворенность потребителей выбором услуг, их качеством и стоимостью находится на среднем уровне (57%, 60% и 51% соответственно), что превышает показатели большинства исследуемых рынков. При этом, по оценкам потребителей, за последние 3 года не наблюдается значимой положительной динамики, б</w:t>
      </w:r>
      <w:r w:rsidRPr="003D02AE">
        <w:rPr>
          <w:rFonts w:ascii="Times New Roman" w:hAnsi="Times New Roman" w:cs="Times New Roman"/>
          <w:sz w:val="28"/>
          <w:szCs w:val="28"/>
        </w:rPr>
        <w:t xml:space="preserve">олее распространено мнение об ухудшении, чем об улучшении качества услуг (21% и 16% соответственно), при умеренных оценках повышения уровня цен (64%). </w:t>
      </w:r>
    </w:p>
    <w:p w14:paraId="3DFFC69A"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легкой промышленности</w:t>
      </w:r>
    </w:p>
    <w:p w14:paraId="1872D950" w14:textId="77777777" w:rsidR="003F4CFF" w:rsidRPr="00901F6F" w:rsidRDefault="003F4CFF" w:rsidP="003F4CFF">
      <w:pPr>
        <w:shd w:val="clear" w:color="auto" w:fill="FFFFFF" w:themeFill="background1"/>
        <w:tabs>
          <w:tab w:val="left" w:pos="5"/>
        </w:tabs>
        <w:autoSpaceDE w:val="0"/>
        <w:autoSpaceDN w:val="0"/>
        <w:adjustRightInd w:val="0"/>
        <w:ind w:firstLine="567"/>
        <w:jc w:val="both"/>
        <w:rPr>
          <w:rFonts w:ascii="Times New Roman" w:hAnsi="Times New Roman" w:cs="Times New Roman"/>
          <w:iCs/>
          <w:sz w:val="28"/>
          <w:szCs w:val="28"/>
          <w:lang w:eastAsia="en-US"/>
        </w:rPr>
      </w:pPr>
      <w:r w:rsidRPr="00336CDA">
        <w:rPr>
          <w:rFonts w:ascii="Times New Roman" w:hAnsi="Times New Roman" w:cs="Times New Roman"/>
          <w:sz w:val="28"/>
          <w:szCs w:val="28"/>
        </w:rPr>
        <w:t xml:space="preserve">Легкая промышленность занимает сравнительно небольшую долю в структуре обрабатывающей промышленности Новосибирской области - 1,8% (в среднем по Российской Федерации доля составляет 1%). Количество зарегистрированных </w:t>
      </w:r>
      <w:r w:rsidRPr="00336CDA">
        <w:rPr>
          <w:rFonts w:ascii="Times New Roman" w:hAnsi="Times New Roman" w:cs="Times New Roman"/>
          <w:sz w:val="28"/>
          <w:szCs w:val="28"/>
        </w:rPr>
        <w:lastRenderedPageBreak/>
        <w:t>предприятий в сфере легкой промышленности по итогам 2019 года составило 674 единицы, в том числе малых (с учетом микропредприятий) и средних предприятий – более 540 предприятий; количество занятых на малых и средних предприятиях составляет более 6</w:t>
      </w:r>
      <w:r w:rsidRPr="00901F6F">
        <w:rPr>
          <w:rFonts w:ascii="Times New Roman" w:hAnsi="Times New Roman" w:cs="Times New Roman"/>
          <w:iCs/>
          <w:sz w:val="28"/>
          <w:szCs w:val="28"/>
          <w:lang w:eastAsia="en-US"/>
        </w:rPr>
        <w:t xml:space="preserve"> тыс. человек.</w:t>
      </w:r>
    </w:p>
    <w:p w14:paraId="0907A3F6" w14:textId="77777777" w:rsidR="003F4CFF" w:rsidRPr="00901F6F" w:rsidRDefault="003F4CFF" w:rsidP="003F4CFF">
      <w:pPr>
        <w:shd w:val="clear" w:color="auto" w:fill="FFFFFF" w:themeFill="background1"/>
        <w:ind w:firstLine="567"/>
        <w:jc w:val="both"/>
        <w:rPr>
          <w:rFonts w:ascii="Times New Roman" w:hAnsi="Times New Roman" w:cs="Times New Roman"/>
          <w:iCs/>
          <w:sz w:val="28"/>
          <w:szCs w:val="28"/>
          <w:lang w:eastAsia="en-US"/>
        </w:rPr>
      </w:pPr>
      <w:r w:rsidRPr="00901F6F">
        <w:rPr>
          <w:rFonts w:ascii="Times New Roman" w:hAnsi="Times New Roman" w:cs="Times New Roman"/>
          <w:iCs/>
          <w:sz w:val="28"/>
          <w:szCs w:val="28"/>
          <w:lang w:eastAsia="en-US"/>
        </w:rPr>
        <w:t xml:space="preserve">Динамика объема отгруженных товаров в легкой промышленности: в 2017 году – 6,04 млрд. рублей; в 2018 году – 7,35 млрд. рублей; в 2019 году – 9,8 млрд. рублей. </w:t>
      </w:r>
    </w:p>
    <w:p w14:paraId="0529DC4D" w14:textId="77777777" w:rsidR="003F4CFF" w:rsidRPr="00901F6F" w:rsidRDefault="003F4CFF" w:rsidP="003F4CFF">
      <w:pPr>
        <w:shd w:val="clear" w:color="auto" w:fill="FFFFFF" w:themeFill="background1"/>
        <w:ind w:firstLine="567"/>
        <w:jc w:val="both"/>
        <w:rPr>
          <w:rFonts w:ascii="Times New Roman" w:hAnsi="Times New Roman" w:cs="Times New Roman"/>
          <w:iCs/>
          <w:sz w:val="28"/>
          <w:szCs w:val="28"/>
          <w:lang w:eastAsia="en-US"/>
        </w:rPr>
      </w:pPr>
      <w:r w:rsidRPr="00901F6F">
        <w:rPr>
          <w:rFonts w:ascii="Times New Roman" w:hAnsi="Times New Roman" w:cs="Times New Roman"/>
          <w:iCs/>
          <w:sz w:val="28"/>
          <w:szCs w:val="28"/>
          <w:lang w:eastAsia="en-US"/>
        </w:rPr>
        <w:t xml:space="preserve">По итогам 2019 года индексы производства по отношению к 2018 году составили: </w:t>
      </w:r>
    </w:p>
    <w:p w14:paraId="31F537D6" w14:textId="77777777" w:rsidR="003F4CFF" w:rsidRPr="00901F6F" w:rsidRDefault="003F4CFF" w:rsidP="003F4CFF">
      <w:pPr>
        <w:shd w:val="clear" w:color="auto" w:fill="FFFFFF" w:themeFill="background1"/>
        <w:ind w:firstLine="567"/>
        <w:jc w:val="both"/>
        <w:rPr>
          <w:rFonts w:ascii="Times New Roman" w:hAnsi="Times New Roman" w:cs="Times New Roman"/>
          <w:iCs/>
          <w:sz w:val="28"/>
          <w:szCs w:val="28"/>
          <w:lang w:eastAsia="en-US"/>
        </w:rPr>
      </w:pPr>
      <w:r w:rsidRPr="00901F6F">
        <w:rPr>
          <w:rFonts w:ascii="Times New Roman" w:hAnsi="Times New Roman" w:cs="Times New Roman"/>
          <w:iCs/>
          <w:sz w:val="28"/>
          <w:szCs w:val="28"/>
          <w:lang w:eastAsia="en-US"/>
        </w:rPr>
        <w:t xml:space="preserve">в производстве текстильных изделий – 116,4%, производстве одежды – 89,7%, производстве кожи и изделий из кожи – 89,9%. </w:t>
      </w:r>
    </w:p>
    <w:p w14:paraId="276BD99F" w14:textId="77777777" w:rsidR="003F4CFF" w:rsidRPr="00901F6F" w:rsidRDefault="003F4CFF" w:rsidP="003F4CFF">
      <w:pPr>
        <w:shd w:val="clear" w:color="auto" w:fill="FFFFFF" w:themeFill="background1"/>
        <w:ind w:firstLine="567"/>
        <w:jc w:val="both"/>
        <w:rPr>
          <w:rFonts w:ascii="Times New Roman" w:hAnsi="Times New Roman" w:cs="Times New Roman"/>
          <w:iCs/>
          <w:sz w:val="28"/>
          <w:szCs w:val="28"/>
          <w:lang w:eastAsia="en-US"/>
        </w:rPr>
      </w:pPr>
      <w:r w:rsidRPr="00901F6F">
        <w:rPr>
          <w:rFonts w:ascii="Times New Roman" w:hAnsi="Times New Roman" w:cs="Times New Roman"/>
          <w:iCs/>
          <w:sz w:val="28"/>
          <w:szCs w:val="28"/>
          <w:lang w:eastAsia="en-US"/>
        </w:rPr>
        <w:t xml:space="preserve">Объемы отгруженных товаров в 2019 году по видам экономической деятельности легкой промышленности составили: </w:t>
      </w:r>
    </w:p>
    <w:p w14:paraId="6F886A2C" w14:textId="77777777" w:rsidR="003F4CFF" w:rsidRPr="00901F6F" w:rsidRDefault="003F4CFF" w:rsidP="003F4CFF">
      <w:pPr>
        <w:shd w:val="clear" w:color="auto" w:fill="FFFFFF" w:themeFill="background1"/>
        <w:ind w:firstLine="567"/>
        <w:jc w:val="both"/>
        <w:rPr>
          <w:rFonts w:ascii="Times New Roman" w:hAnsi="Times New Roman" w:cs="Times New Roman"/>
          <w:iCs/>
          <w:sz w:val="28"/>
          <w:szCs w:val="28"/>
          <w:lang w:eastAsia="en-US"/>
        </w:rPr>
      </w:pPr>
      <w:r w:rsidRPr="00901F6F">
        <w:rPr>
          <w:rFonts w:ascii="Times New Roman" w:hAnsi="Times New Roman" w:cs="Times New Roman"/>
          <w:iCs/>
          <w:sz w:val="28"/>
          <w:szCs w:val="28"/>
          <w:lang w:eastAsia="en-US"/>
        </w:rPr>
        <w:t>текстильных изделий – 4,02 млрд. рублей (0,8% отгруженных товаров в обрабатывающих производствах), темп роста отгрузки к 2018 году – в 2,1 раза;</w:t>
      </w:r>
    </w:p>
    <w:p w14:paraId="5F5E09C7" w14:textId="77777777" w:rsidR="003F4CFF" w:rsidRPr="00901F6F" w:rsidRDefault="003F4CFF" w:rsidP="003F4CFF">
      <w:pPr>
        <w:shd w:val="clear" w:color="auto" w:fill="FFFFFF" w:themeFill="background1"/>
        <w:ind w:firstLine="567"/>
        <w:jc w:val="both"/>
        <w:rPr>
          <w:rFonts w:ascii="Times New Roman" w:hAnsi="Times New Roman" w:cs="Times New Roman"/>
          <w:iCs/>
          <w:sz w:val="28"/>
          <w:szCs w:val="28"/>
          <w:lang w:eastAsia="en-US"/>
        </w:rPr>
      </w:pPr>
      <w:r w:rsidRPr="00901F6F">
        <w:rPr>
          <w:rFonts w:ascii="Times New Roman" w:hAnsi="Times New Roman" w:cs="Times New Roman"/>
          <w:iCs/>
          <w:sz w:val="28"/>
          <w:szCs w:val="28"/>
          <w:lang w:eastAsia="en-US"/>
        </w:rPr>
        <w:t>одежды – 4,5 млрд. рублей (0,8% отгруженных товаров в обрабатывающих производствах), темп отгрузки к 2018 году – 154,6%;</w:t>
      </w:r>
    </w:p>
    <w:p w14:paraId="35A9F16F" w14:textId="77777777" w:rsidR="003F4CFF" w:rsidRPr="00901F6F" w:rsidRDefault="003F4CFF" w:rsidP="003F4CFF">
      <w:pPr>
        <w:shd w:val="clear" w:color="auto" w:fill="FFFFFF" w:themeFill="background1"/>
        <w:ind w:firstLine="567"/>
        <w:jc w:val="both"/>
        <w:rPr>
          <w:rFonts w:ascii="Times New Roman" w:hAnsi="Times New Roman" w:cs="Times New Roman"/>
          <w:iCs/>
          <w:sz w:val="28"/>
          <w:szCs w:val="28"/>
          <w:lang w:eastAsia="en-US"/>
        </w:rPr>
      </w:pPr>
      <w:r w:rsidRPr="00901F6F">
        <w:rPr>
          <w:rFonts w:ascii="Times New Roman" w:hAnsi="Times New Roman" w:cs="Times New Roman"/>
          <w:iCs/>
          <w:sz w:val="28"/>
          <w:szCs w:val="28"/>
          <w:lang w:eastAsia="en-US"/>
        </w:rPr>
        <w:t xml:space="preserve">кожи и изделий из </w:t>
      </w:r>
      <w:r>
        <w:rPr>
          <w:rFonts w:ascii="Times New Roman" w:hAnsi="Times New Roman" w:cs="Times New Roman"/>
          <w:iCs/>
          <w:sz w:val="28"/>
          <w:szCs w:val="28"/>
          <w:lang w:eastAsia="en-US"/>
        </w:rPr>
        <w:t xml:space="preserve">кожи </w:t>
      </w:r>
      <w:r>
        <w:rPr>
          <w:rStyle w:val="afb"/>
          <w:rFonts w:ascii="Times New Roman" w:hAnsi="Times New Roman" w:cs="Times New Roman"/>
          <w:iCs/>
          <w:sz w:val="28"/>
          <w:szCs w:val="28"/>
        </w:rPr>
        <w:footnoteReference w:id="1"/>
      </w:r>
      <w:r>
        <w:rPr>
          <w:rFonts w:ascii="Times New Roman" w:hAnsi="Times New Roman" w:cs="Times New Roman"/>
          <w:iCs/>
          <w:sz w:val="28"/>
          <w:szCs w:val="28"/>
          <w:lang w:eastAsia="en-US"/>
        </w:rPr>
        <w:t>*</w:t>
      </w:r>
      <w:r w:rsidRPr="00901F6F">
        <w:rPr>
          <w:rFonts w:ascii="Times New Roman" w:hAnsi="Times New Roman" w:cs="Times New Roman"/>
          <w:iCs/>
          <w:sz w:val="28"/>
          <w:szCs w:val="28"/>
          <w:lang w:eastAsia="en-US"/>
        </w:rPr>
        <w:t xml:space="preserve"> – темп отгрузки к 2018 году составил 98,4%. </w:t>
      </w:r>
    </w:p>
    <w:p w14:paraId="539FF681" w14:textId="77777777" w:rsidR="003F4CFF" w:rsidRPr="00901F6F" w:rsidRDefault="003F4CFF" w:rsidP="003F4CFF">
      <w:pPr>
        <w:shd w:val="clear" w:color="auto" w:fill="FFFFFF" w:themeFill="background1"/>
        <w:ind w:firstLine="567"/>
        <w:jc w:val="both"/>
        <w:rPr>
          <w:rFonts w:ascii="Times New Roman" w:hAnsi="Times New Roman" w:cs="Times New Roman"/>
          <w:iCs/>
          <w:sz w:val="28"/>
          <w:szCs w:val="28"/>
          <w:lang w:eastAsia="en-US"/>
        </w:rPr>
      </w:pPr>
      <w:r w:rsidRPr="00901F6F">
        <w:rPr>
          <w:rFonts w:ascii="Times New Roman" w:hAnsi="Times New Roman" w:cs="Times New Roman"/>
          <w:iCs/>
          <w:sz w:val="28"/>
          <w:szCs w:val="28"/>
          <w:lang w:eastAsia="en-US"/>
        </w:rPr>
        <w:t xml:space="preserve">Наиболее крупные организации легкой промышленности Новосибирской области: АО «Синар» (женская и мужская одежда, школьная одежда), ООО фабрика одежды «Приз» (женская и школьная одежда), ООО «Шанс» (школьная одежда), ООО «КОРС-К» (обувь), ООО «С2 групп» (Сибирский синтепон») (текстильные наполнители из синтетических, искусственных и натуральных волокон, изделия из них). Предприятия легкой промышленности (ПАО «ОР» (Группа компаний «Обувь России»), АО «Синар» и другие) области ведут активную работу по расширению ассортимента и продвижению своей продукции как на территории области, так и за ее пределами. </w:t>
      </w:r>
    </w:p>
    <w:p w14:paraId="3AC0A222" w14:textId="77777777" w:rsidR="003F4CFF" w:rsidRPr="003D02AE" w:rsidRDefault="003F4CFF" w:rsidP="003F4CFF">
      <w:pPr>
        <w:shd w:val="clear" w:color="auto" w:fill="FFFFFF" w:themeFill="background1"/>
        <w:ind w:firstLine="567"/>
        <w:jc w:val="both"/>
        <w:rPr>
          <w:rFonts w:ascii="Times New Roman" w:hAnsi="Times New Roman" w:cs="Times New Roman"/>
          <w:iCs/>
          <w:sz w:val="28"/>
          <w:szCs w:val="28"/>
          <w:lang w:eastAsia="en-US"/>
        </w:rPr>
      </w:pPr>
      <w:r w:rsidRPr="00901F6F">
        <w:rPr>
          <w:rFonts w:ascii="Times New Roman" w:hAnsi="Times New Roman" w:cs="Times New Roman"/>
          <w:iCs/>
          <w:sz w:val="28"/>
          <w:szCs w:val="28"/>
          <w:lang w:eastAsia="en-US"/>
        </w:rPr>
        <w:t>На рынке легкой промышленности идет постоянная модернизация, осуществляется запуск новых производств и увеличение номенк</w:t>
      </w:r>
      <w:r>
        <w:rPr>
          <w:rFonts w:ascii="Times New Roman" w:hAnsi="Times New Roman" w:cs="Times New Roman"/>
          <w:iCs/>
          <w:sz w:val="28"/>
          <w:szCs w:val="28"/>
          <w:lang w:eastAsia="en-US"/>
        </w:rPr>
        <w:t xml:space="preserve">латуры производимой продукции. </w:t>
      </w:r>
    </w:p>
    <w:p w14:paraId="0B18C214" w14:textId="77777777" w:rsidR="003F4CFF" w:rsidRPr="00EC5135" w:rsidRDefault="003F4CFF" w:rsidP="003F4CFF">
      <w:pPr>
        <w:ind w:firstLine="567"/>
        <w:jc w:val="both"/>
        <w:rPr>
          <w:rFonts w:ascii="Times New Roman" w:hAnsi="Times New Roman" w:cs="Times New Roman"/>
          <w:sz w:val="28"/>
          <w:szCs w:val="28"/>
        </w:rPr>
      </w:pPr>
      <w:r w:rsidRPr="00DE0A70">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sidRPr="00DE0A70">
        <w:rPr>
          <w:rFonts w:ascii="Times New Roman" w:eastAsia="Times New Roman" w:hAnsi="Times New Roman" w:cs="Times New Roman"/>
          <w:sz w:val="28"/>
          <w:szCs w:val="28"/>
        </w:rPr>
        <w:t xml:space="preserve"> за 2019 год</w:t>
      </w:r>
      <w:r>
        <w:rPr>
          <w:rFonts w:ascii="Times New Roman" w:hAnsi="Times New Roman" w:cs="Times New Roman"/>
          <w:sz w:val="28"/>
          <w:szCs w:val="28"/>
        </w:rPr>
        <w:t xml:space="preserve"> п</w:t>
      </w:r>
      <w:r w:rsidRPr="00EC5135">
        <w:rPr>
          <w:rFonts w:ascii="Times New Roman" w:hAnsi="Times New Roman" w:cs="Times New Roman"/>
          <w:sz w:val="28"/>
          <w:szCs w:val="28"/>
        </w:rPr>
        <w:t xml:space="preserve">реобладают высокие оценки уровня конкуренции на данном рынке – 64%; доля низких оценок (слабая конкуренция либо нет конкуренции) – лишь 2%. </w:t>
      </w:r>
    </w:p>
    <w:p w14:paraId="4FDA36EE"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Наличие непреодолимых административных барьеров отмечают 7% субъектов предпринимательства. Основным барьером для ведения текущей деятельности и открытия нового бизнеса является нестабильность законодательства, регулирующего предпринимательскую деятельность (отмечают 27%). </w:t>
      </w:r>
    </w:p>
    <w:p w14:paraId="017A351C"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lastRenderedPageBreak/>
        <w:t xml:space="preserve">В оценке деятельности органов власти преобладает мнение, что в чем-то органы власти помогают, в чем-то мешают (42%). </w:t>
      </w:r>
    </w:p>
    <w:p w14:paraId="4854352F" w14:textId="77777777" w:rsidR="003F4CFF" w:rsidRPr="003D02AE" w:rsidRDefault="003F4CFF" w:rsidP="003F4CFF">
      <w:pPr>
        <w:ind w:firstLine="567"/>
        <w:jc w:val="both"/>
        <w:rPr>
          <w:rFonts w:ascii="Times New Roman" w:eastAsia="Times New Roman" w:hAnsi="Times New Roman" w:cs="Times New Roman"/>
          <w:sz w:val="28"/>
          <w:szCs w:val="28"/>
        </w:rPr>
      </w:pPr>
      <w:r w:rsidRPr="003D02AE">
        <w:rPr>
          <w:rFonts w:ascii="Times New Roman" w:eastAsia="Times New Roman" w:hAnsi="Times New Roman" w:cs="Times New Roman"/>
          <w:sz w:val="28"/>
          <w:szCs w:val="28"/>
          <w:shd w:val="clear" w:color="auto" w:fill="FFFFFF"/>
        </w:rPr>
        <w:t>Наблюдается недостаточное количество организаций на данном рынке (</w:t>
      </w:r>
      <w:r w:rsidRPr="003D02AE">
        <w:rPr>
          <w:rFonts w:ascii="Times New Roman" w:hAnsi="Times New Roman" w:cs="Times New Roman"/>
          <w:sz w:val="28"/>
          <w:szCs w:val="28"/>
        </w:rPr>
        <w:t>так считают 68% потребителей</w:t>
      </w:r>
      <w:r w:rsidRPr="003D02AE">
        <w:rPr>
          <w:rFonts w:ascii="Times New Roman" w:eastAsia="Times New Roman" w:hAnsi="Times New Roman" w:cs="Times New Roman"/>
          <w:sz w:val="28"/>
          <w:szCs w:val="28"/>
          <w:shd w:val="clear" w:color="auto" w:fill="FFFFFF"/>
        </w:rPr>
        <w:t xml:space="preserve">), увеличение их числа </w:t>
      </w:r>
      <w:r w:rsidRPr="003D02AE">
        <w:rPr>
          <w:rFonts w:ascii="Times New Roman" w:eastAsia="Times New Roman" w:hAnsi="Times New Roman" w:cs="Times New Roman"/>
          <w:sz w:val="28"/>
          <w:szCs w:val="28"/>
        </w:rPr>
        <w:t>за последние 3 года отмечают 16% потребителей. Удовлетворенность потребителей выбором услуг и их качеством находится на среднем уровне (54% и 51% соответственно), а удовлетворенность стоимостью услуг – на низком уровне (44%). При этом выраженный рост цен (отмечают 72% потребителей) сопровождается снижением качества услуг за последние 3 года (отмечают 30% потребителей – это максимальное значение по всем рынкам). Таким образом, наблюдается тенденция нарушения адекватного, с точки зрения потребителей, соотношения цена-качество.</w:t>
      </w:r>
    </w:p>
    <w:p w14:paraId="618926E3"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обработки древесины и производства изделий из дерева</w:t>
      </w:r>
    </w:p>
    <w:p w14:paraId="65A5BD76" w14:textId="77777777" w:rsidR="003F4CFF" w:rsidRPr="00901F6F" w:rsidRDefault="003F4CFF" w:rsidP="003F4CFF">
      <w:pPr>
        <w:shd w:val="clear" w:color="auto" w:fill="FFFFFF" w:themeFill="background1"/>
        <w:ind w:firstLine="567"/>
        <w:jc w:val="both"/>
        <w:rPr>
          <w:rFonts w:cs="Times New Roman"/>
          <w:sz w:val="22"/>
          <w:szCs w:val="22"/>
        </w:rPr>
      </w:pPr>
      <w:r w:rsidRPr="00901F6F">
        <w:rPr>
          <w:rFonts w:ascii="Times New Roman" w:hAnsi="Times New Roman" w:cs="Times New Roman"/>
          <w:sz w:val="28"/>
          <w:szCs w:val="28"/>
        </w:rPr>
        <w:t>Общая площадь земель, на которых расположены леса на территории Новосибирской области, составляет 6 675,5 тыс. га, в том числе покрытая лесом площадь составляет 4 857,1 тыс. га. Наибольшая площадь земель лесного фонда сосредоточена в северных районах области. Так, в Кыштовском, Северном, Убинском и Колыванском районах сосредоточено 58,6% всего лесного фонда Новосибирской области.</w:t>
      </w:r>
    </w:p>
    <w:p w14:paraId="22624065" w14:textId="77777777" w:rsidR="003F4CFF" w:rsidRPr="00901F6F" w:rsidRDefault="003F4CFF" w:rsidP="003F4CFF">
      <w:pPr>
        <w:shd w:val="clear" w:color="auto" w:fill="FFFFFF" w:themeFill="background1"/>
        <w:ind w:firstLine="567"/>
        <w:jc w:val="both"/>
        <w:rPr>
          <w:rFonts w:cs="Times New Roman"/>
          <w:sz w:val="22"/>
          <w:szCs w:val="22"/>
        </w:rPr>
      </w:pPr>
      <w:r w:rsidRPr="00901F6F">
        <w:rPr>
          <w:rFonts w:ascii="Times New Roman" w:hAnsi="Times New Roman" w:cs="Times New Roman"/>
          <w:sz w:val="28"/>
          <w:szCs w:val="28"/>
        </w:rPr>
        <w:t>Общий запас древесины в Новосибирской области составляет 562,15 млн. куб. м. Ежегодный допустимый объем заготовки древесины (расчетная лесосека) по Новосибирской области - 5 591,3 тыс. куб. м. В 2019 году по сравнению с 2018 годом индекс производства по обработке древесины и производству изделий из дерева составил 113%, что связано с увеличением объемов производства предприятий лесопромышленного комплекса Новосибирской области.</w:t>
      </w:r>
    </w:p>
    <w:p w14:paraId="2E4D2514" w14:textId="77777777" w:rsidR="003F4CFF" w:rsidRPr="00901F6F" w:rsidRDefault="003F4CFF" w:rsidP="003F4CFF">
      <w:pPr>
        <w:shd w:val="clear" w:color="auto" w:fill="FFFFFF" w:themeFill="background1"/>
        <w:ind w:firstLine="567"/>
        <w:jc w:val="both"/>
        <w:rPr>
          <w:rFonts w:ascii="Segoe UI" w:hAnsi="Segoe UI" w:cs="Segoe UI"/>
          <w:sz w:val="23"/>
          <w:szCs w:val="23"/>
        </w:rPr>
      </w:pPr>
      <w:r w:rsidRPr="00901F6F">
        <w:rPr>
          <w:rFonts w:ascii="Times New Roman" w:hAnsi="Times New Roman" w:cs="Times New Roman"/>
          <w:sz w:val="28"/>
          <w:szCs w:val="28"/>
        </w:rPr>
        <w:t xml:space="preserve">По данным официальной статистики в целом в лесопромышленном комплексе региона по итогам 2019 года насчитывается 842 организации, </w:t>
      </w:r>
      <w:r>
        <w:rPr>
          <w:rFonts w:ascii="Times New Roman" w:hAnsi="Times New Roman" w:cs="Times New Roman"/>
          <w:sz w:val="28"/>
          <w:szCs w:val="28"/>
        </w:rPr>
        <w:t>из</w:t>
      </w:r>
      <w:r w:rsidRPr="00901F6F">
        <w:rPr>
          <w:rFonts w:ascii="Times New Roman" w:hAnsi="Times New Roman" w:cs="Times New Roman"/>
          <w:sz w:val="28"/>
          <w:szCs w:val="28"/>
        </w:rPr>
        <w:t xml:space="preserve"> них 822 хозяйствующих субъектов (97,6 %) частной формы собственности.</w:t>
      </w:r>
    </w:p>
    <w:p w14:paraId="6094478E" w14:textId="77777777" w:rsidR="003F4CFF" w:rsidRPr="00901F6F" w:rsidRDefault="003F4CFF" w:rsidP="003F4CFF">
      <w:pPr>
        <w:shd w:val="clear" w:color="auto" w:fill="FFFFFF" w:themeFill="background1"/>
        <w:ind w:firstLine="567"/>
        <w:jc w:val="both"/>
        <w:rPr>
          <w:rFonts w:cs="Times New Roman"/>
          <w:sz w:val="22"/>
          <w:szCs w:val="22"/>
        </w:rPr>
      </w:pPr>
      <w:r w:rsidRPr="00901F6F">
        <w:rPr>
          <w:rFonts w:ascii="Times New Roman" w:hAnsi="Times New Roman" w:cs="Times New Roman"/>
          <w:sz w:val="28"/>
          <w:szCs w:val="28"/>
        </w:rPr>
        <w:t>В Новосибирской области зарегистрировано 20 предприятий государственной формы собственности, выполняющие мероприятия по охране, защите и воспроизводству лесов в рамках госзаказа.</w:t>
      </w:r>
    </w:p>
    <w:p w14:paraId="338A03E1" w14:textId="77777777" w:rsidR="003F4CFF" w:rsidRPr="00EC5135" w:rsidRDefault="003F4CFF" w:rsidP="003F4CFF">
      <w:pPr>
        <w:ind w:firstLine="567"/>
        <w:jc w:val="both"/>
        <w:rPr>
          <w:rFonts w:ascii="Times New Roman" w:hAnsi="Times New Roman" w:cs="Times New Roman"/>
          <w:sz w:val="28"/>
          <w:szCs w:val="28"/>
        </w:rPr>
      </w:pPr>
      <w:r w:rsidRPr="00DE0A70">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sidRPr="00DE0A70">
        <w:rPr>
          <w:rFonts w:ascii="Times New Roman" w:eastAsia="Times New Roman" w:hAnsi="Times New Roman" w:cs="Times New Roman"/>
          <w:sz w:val="28"/>
          <w:szCs w:val="28"/>
        </w:rPr>
        <w:t xml:space="preserve"> за 2019 год</w:t>
      </w:r>
      <w:r>
        <w:rPr>
          <w:rFonts w:ascii="Times New Roman" w:hAnsi="Times New Roman" w:cs="Times New Roman"/>
          <w:sz w:val="28"/>
          <w:szCs w:val="28"/>
        </w:rPr>
        <w:t xml:space="preserve"> 43%</w:t>
      </w:r>
      <w:r w:rsidRPr="00EC5135">
        <w:rPr>
          <w:rFonts w:ascii="Times New Roman" w:hAnsi="Times New Roman" w:cs="Times New Roman"/>
          <w:sz w:val="28"/>
          <w:szCs w:val="28"/>
        </w:rPr>
        <w:t xml:space="preserve"> опрошенных субъектов предпринимательства </w:t>
      </w:r>
      <w:r>
        <w:rPr>
          <w:rFonts w:ascii="Times New Roman" w:hAnsi="Times New Roman" w:cs="Times New Roman"/>
          <w:sz w:val="28"/>
          <w:szCs w:val="28"/>
        </w:rPr>
        <w:t>отметили</w:t>
      </w:r>
      <w:r w:rsidRPr="00EC5135">
        <w:rPr>
          <w:rFonts w:ascii="Times New Roman" w:hAnsi="Times New Roman" w:cs="Times New Roman"/>
          <w:sz w:val="28"/>
          <w:szCs w:val="28"/>
        </w:rPr>
        <w:t xml:space="preserve"> высокую кон</w:t>
      </w:r>
      <w:r>
        <w:rPr>
          <w:rFonts w:ascii="Times New Roman" w:hAnsi="Times New Roman" w:cs="Times New Roman"/>
          <w:sz w:val="28"/>
          <w:szCs w:val="28"/>
        </w:rPr>
        <w:t>куренцию.</w:t>
      </w:r>
    </w:p>
    <w:p w14:paraId="50C39ACA" w14:textId="77777777" w:rsidR="003F4CFF"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Наличие непреодолимых административных барьеров </w:t>
      </w:r>
      <w:r>
        <w:rPr>
          <w:rFonts w:ascii="Times New Roman" w:hAnsi="Times New Roman" w:cs="Times New Roman"/>
          <w:sz w:val="28"/>
          <w:szCs w:val="28"/>
        </w:rPr>
        <w:t xml:space="preserve">отметили </w:t>
      </w:r>
      <w:r w:rsidRPr="00EC5135">
        <w:rPr>
          <w:rFonts w:ascii="Times New Roman" w:hAnsi="Times New Roman" w:cs="Times New Roman"/>
          <w:sz w:val="28"/>
          <w:szCs w:val="28"/>
        </w:rPr>
        <w:t xml:space="preserve">12% субъектов предпринимательства. Основным барьером для ведения текущей деятельности и открытия нового бизнеса является нестабильность законодательства, регулирующего предпринимательскую деятельность (отмечают 28%). </w:t>
      </w:r>
    </w:p>
    <w:p w14:paraId="7B161F3B" w14:textId="77777777" w:rsidR="003F4CFF" w:rsidRPr="00E00F38" w:rsidRDefault="003F4CFF" w:rsidP="003F4CFF">
      <w:pPr>
        <w:ind w:firstLine="567"/>
        <w:jc w:val="both"/>
        <w:rPr>
          <w:rFonts w:ascii="Times New Roman" w:hAnsi="Times New Roman" w:cs="Times New Roman"/>
          <w:b/>
          <w:sz w:val="28"/>
          <w:szCs w:val="28"/>
        </w:rPr>
      </w:pPr>
      <w:r w:rsidRPr="00EC5135">
        <w:rPr>
          <w:rFonts w:ascii="Times New Roman" w:hAnsi="Times New Roman" w:cs="Times New Roman"/>
          <w:sz w:val="28"/>
          <w:szCs w:val="28"/>
        </w:rPr>
        <w:t>В оценке деятельности органов власти в равной мере представлены мнения, что в чем-то органы власти помогают, в чем-то мешают (25%) и что органы власти ничего не предпринимают, но их участие необходимо (25%).</w:t>
      </w:r>
    </w:p>
    <w:p w14:paraId="1AB91133" w14:textId="77777777" w:rsidR="003F4CFF" w:rsidRPr="006755F5" w:rsidRDefault="003F4CFF" w:rsidP="003F4CFF">
      <w:pPr>
        <w:ind w:firstLine="567"/>
        <w:jc w:val="both"/>
        <w:rPr>
          <w:rFonts w:ascii="Times New Roman" w:eastAsia="Times New Roman" w:hAnsi="Times New Roman" w:cs="Times New Roman"/>
          <w:sz w:val="28"/>
          <w:szCs w:val="28"/>
        </w:rPr>
      </w:pPr>
      <w:r w:rsidRPr="006755F5">
        <w:rPr>
          <w:rFonts w:ascii="Times New Roman" w:eastAsia="Times New Roman" w:hAnsi="Times New Roman" w:cs="Times New Roman"/>
          <w:sz w:val="28"/>
          <w:szCs w:val="28"/>
          <w:shd w:val="clear" w:color="auto" w:fill="FFFFFF"/>
        </w:rPr>
        <w:t>Наблюдается недостаточное количество организаций на данном рынке (</w:t>
      </w:r>
      <w:r w:rsidRPr="006755F5">
        <w:rPr>
          <w:rFonts w:ascii="Times New Roman" w:hAnsi="Times New Roman" w:cs="Times New Roman"/>
          <w:sz w:val="28"/>
          <w:szCs w:val="28"/>
        </w:rPr>
        <w:t>так считают 59% потребителей</w:t>
      </w:r>
      <w:r w:rsidRPr="006755F5">
        <w:rPr>
          <w:rFonts w:ascii="Times New Roman" w:eastAsia="Times New Roman" w:hAnsi="Times New Roman" w:cs="Times New Roman"/>
          <w:sz w:val="28"/>
          <w:szCs w:val="28"/>
          <w:shd w:val="clear" w:color="auto" w:fill="FFFFFF"/>
        </w:rPr>
        <w:t xml:space="preserve">), увеличение их числа </w:t>
      </w:r>
      <w:r w:rsidRPr="006755F5">
        <w:rPr>
          <w:rFonts w:ascii="Times New Roman" w:eastAsia="Times New Roman" w:hAnsi="Times New Roman" w:cs="Times New Roman"/>
          <w:sz w:val="28"/>
          <w:szCs w:val="28"/>
        </w:rPr>
        <w:t xml:space="preserve">за последние 3 года отмечают </w:t>
      </w:r>
      <w:r w:rsidRPr="006755F5">
        <w:rPr>
          <w:rFonts w:ascii="Times New Roman" w:eastAsia="Times New Roman" w:hAnsi="Times New Roman" w:cs="Times New Roman"/>
          <w:sz w:val="28"/>
          <w:szCs w:val="28"/>
        </w:rPr>
        <w:lastRenderedPageBreak/>
        <w:t xml:space="preserve">20% потребителей. Удовлетворенность потребителей выбором услуг и их качеством находится на среднем уровне (59% и 61% соответственно), а удовлетворенность стоимостью услуг – на низком уровне (46%). </w:t>
      </w:r>
      <w:r w:rsidRPr="006755F5">
        <w:rPr>
          <w:rFonts w:ascii="Times New Roman" w:hAnsi="Times New Roman" w:cs="Times New Roman"/>
          <w:sz w:val="28"/>
          <w:szCs w:val="28"/>
        </w:rPr>
        <w:t xml:space="preserve">Рост цен за последние 3 года отмечают 70% потребителей, при этом мнения о динамике качества услуг разделились: </w:t>
      </w:r>
      <w:r w:rsidRPr="006755F5">
        <w:rPr>
          <w:rFonts w:ascii="Times New Roman" w:eastAsia="Times New Roman" w:hAnsi="Times New Roman" w:cs="Times New Roman"/>
          <w:sz w:val="28"/>
          <w:szCs w:val="28"/>
        </w:rPr>
        <w:t>повышение качества отмечают 18% потребителей, снижение – 19%</w:t>
      </w:r>
      <w:r w:rsidRPr="006755F5">
        <w:rPr>
          <w:rFonts w:ascii="Times New Roman" w:hAnsi="Times New Roman" w:cs="Times New Roman"/>
          <w:sz w:val="28"/>
          <w:szCs w:val="28"/>
        </w:rPr>
        <w:t>.</w:t>
      </w:r>
    </w:p>
    <w:p w14:paraId="48D58142" w14:textId="77777777" w:rsidR="003F4CFF" w:rsidRDefault="003F4CFF" w:rsidP="003F4CFF">
      <w:pPr>
        <w:pStyle w:val="ac"/>
        <w:ind w:firstLine="567"/>
        <w:jc w:val="both"/>
        <w:rPr>
          <w:rFonts w:ascii="Times New Roman" w:hAnsi="Times New Roman"/>
          <w:b/>
        </w:rPr>
      </w:pPr>
      <w:r w:rsidRPr="00E00F38">
        <w:rPr>
          <w:rFonts w:ascii="Times New Roman" w:hAnsi="Times New Roman"/>
          <w:b/>
        </w:rPr>
        <w:t>Рынок производства кирпича</w:t>
      </w:r>
    </w:p>
    <w:p w14:paraId="41CC8F80" w14:textId="77777777" w:rsidR="003F4CFF" w:rsidRPr="000D3994" w:rsidRDefault="003F4CFF" w:rsidP="003F4CFF">
      <w:pPr>
        <w:shd w:val="clear" w:color="auto" w:fill="FFFFFF" w:themeFill="background1"/>
        <w:autoSpaceDE w:val="0"/>
        <w:autoSpaceDN w:val="0"/>
        <w:adjustRightInd w:val="0"/>
        <w:ind w:firstLine="567"/>
        <w:jc w:val="both"/>
        <w:rPr>
          <w:rFonts w:ascii="Times New Roman" w:eastAsiaTheme="minorHAnsi" w:hAnsi="Times New Roman" w:cs="Times New Roman"/>
          <w:sz w:val="28"/>
          <w:szCs w:val="28"/>
          <w:lang w:eastAsia="en-US"/>
        </w:rPr>
      </w:pPr>
      <w:r w:rsidRPr="000D3994">
        <w:rPr>
          <w:rFonts w:ascii="Times New Roman" w:eastAsiaTheme="minorHAnsi" w:hAnsi="Times New Roman" w:cs="Times New Roman"/>
          <w:sz w:val="28"/>
          <w:szCs w:val="28"/>
          <w:lang w:eastAsia="en-US"/>
        </w:rPr>
        <w:t>Развитие рынка строительных материалов определяется увеличением объема производства современных высококачественных строительных материалов, изделий и конструкций на территории Новосибирской области с учетом потребностей и имеющейся региональной сырьевой базы для полного обеспечения планируемых темпов жилищного, социально-культурного, промышленного и инфраструктурного строительства, а также модернизации жилищного фонда; повышением доли предприятий, осуществляющих внедрение новых технологий производства строительных материалов: экологически чистых, высокотехнологичных продуктов, отвечающих требованиям и нормам по обеспечению безопасности населения.</w:t>
      </w:r>
    </w:p>
    <w:p w14:paraId="5FAA0920" w14:textId="77777777" w:rsidR="003F4CFF" w:rsidRPr="000D3994"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0D3994">
        <w:rPr>
          <w:rFonts w:ascii="Times New Roman" w:eastAsiaTheme="minorHAnsi" w:hAnsi="Times New Roman" w:cs="Times New Roman"/>
          <w:sz w:val="28"/>
          <w:szCs w:val="28"/>
          <w:lang w:eastAsia="en-US"/>
        </w:rPr>
        <w:t xml:space="preserve">Основу промышленного комплекса строительной индустрии Новосибирской области составляют крупные и средние предприятия, на которых осуществляется выпуск более 80% всей промышленной продукции. В Новосибирской области производятся все основные виды строительных материалов, изделий и конструкций. </w:t>
      </w:r>
    </w:p>
    <w:p w14:paraId="192CF27C" w14:textId="77777777" w:rsidR="003F4CFF" w:rsidRPr="000D3994" w:rsidRDefault="003F4CFF" w:rsidP="003F4CFF">
      <w:pPr>
        <w:shd w:val="clear" w:color="auto" w:fill="FFFFFF" w:themeFill="background1"/>
        <w:autoSpaceDE w:val="0"/>
        <w:autoSpaceDN w:val="0"/>
        <w:adjustRightInd w:val="0"/>
        <w:ind w:firstLine="567"/>
        <w:jc w:val="both"/>
        <w:rPr>
          <w:rFonts w:ascii="Times New Roman" w:eastAsiaTheme="minorHAnsi" w:hAnsi="Times New Roman" w:cs="Times New Roman"/>
          <w:sz w:val="28"/>
          <w:szCs w:val="28"/>
          <w:lang w:eastAsia="en-US"/>
        </w:rPr>
      </w:pPr>
      <w:r w:rsidRPr="000D3994">
        <w:rPr>
          <w:rFonts w:ascii="Times New Roman" w:eastAsiaTheme="minorHAnsi" w:hAnsi="Times New Roman" w:cs="Times New Roman"/>
          <w:sz w:val="28"/>
          <w:szCs w:val="28"/>
          <w:lang w:eastAsia="en-US"/>
        </w:rPr>
        <w:t>В Новосибирской области наблюдается стабильный рост объемов строительства, в том числе жилищного. Постоянно возрастающий объем строительных работ требует развития отрасли строительных материалов, в том числе производства кирпича.</w:t>
      </w:r>
    </w:p>
    <w:p w14:paraId="6C5F3B10" w14:textId="77777777" w:rsidR="003F4CFF" w:rsidRPr="00901F6F" w:rsidRDefault="003F4CFF" w:rsidP="003F4CFF">
      <w:pPr>
        <w:shd w:val="clear" w:color="auto" w:fill="FFFFFF" w:themeFill="background1"/>
        <w:autoSpaceDE w:val="0"/>
        <w:autoSpaceDN w:val="0"/>
        <w:adjustRightInd w:val="0"/>
        <w:ind w:firstLine="567"/>
        <w:jc w:val="both"/>
        <w:rPr>
          <w:rFonts w:ascii="Times New Roman" w:eastAsiaTheme="minorHAnsi" w:hAnsi="Times New Roman" w:cs="Times New Roman"/>
          <w:sz w:val="28"/>
          <w:szCs w:val="28"/>
          <w:lang w:eastAsia="en-US"/>
        </w:rPr>
      </w:pPr>
      <w:r w:rsidRPr="000D3994">
        <w:rPr>
          <w:rFonts w:ascii="Times New Roman" w:eastAsiaTheme="minorHAnsi" w:hAnsi="Times New Roman" w:cs="Times New Roman"/>
          <w:sz w:val="28"/>
          <w:szCs w:val="28"/>
          <w:lang w:eastAsia="en-US"/>
        </w:rPr>
        <w:t xml:space="preserve">Сфера строительных материалов имеет важное значение, поскольку от нее зависит исполнение федеральной </w:t>
      </w:r>
      <w:hyperlink r:id="rId67" w:history="1">
        <w:r w:rsidRPr="000D3994">
          <w:rPr>
            <w:rFonts w:ascii="Times New Roman" w:eastAsiaTheme="minorHAnsi" w:hAnsi="Times New Roman" w:cs="Times New Roman"/>
            <w:sz w:val="28"/>
            <w:szCs w:val="28"/>
            <w:lang w:eastAsia="en-US"/>
          </w:rPr>
          <w:t>программы</w:t>
        </w:r>
      </w:hyperlink>
      <w:r w:rsidRPr="000D3994">
        <w:rPr>
          <w:rFonts w:ascii="Times New Roman" w:eastAsiaTheme="minorHAnsi" w:hAnsi="Times New Roman" w:cs="Times New Roman"/>
          <w:sz w:val="28"/>
          <w:szCs w:val="28"/>
          <w:lang w:eastAsia="en-US"/>
        </w:rPr>
        <w:t xml:space="preserve"> по обеспечению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1C69C19C" w14:textId="77777777" w:rsidR="003F4CFF" w:rsidRPr="000D3994"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0D3994">
        <w:rPr>
          <w:rFonts w:ascii="Times New Roman" w:eastAsiaTheme="minorHAnsi" w:hAnsi="Times New Roman" w:cs="Times New Roman"/>
          <w:sz w:val="28"/>
          <w:szCs w:val="28"/>
          <w:lang w:eastAsia="en-US"/>
        </w:rPr>
        <w:t xml:space="preserve">По данным </w:t>
      </w:r>
      <w:r w:rsidRPr="00901F6F">
        <w:rPr>
          <w:rFonts w:ascii="Times New Roman" w:eastAsiaTheme="minorHAnsi" w:hAnsi="Times New Roman" w:cs="Times New Roman"/>
          <w:sz w:val="28"/>
          <w:szCs w:val="28"/>
          <w:lang w:eastAsia="en-US"/>
        </w:rPr>
        <w:t>министерства строительства Новосибирской области</w:t>
      </w:r>
      <w:r w:rsidRPr="000D3994">
        <w:rPr>
          <w:rFonts w:ascii="Times New Roman" w:eastAsiaTheme="minorHAnsi" w:hAnsi="Times New Roman" w:cs="Times New Roman"/>
          <w:sz w:val="28"/>
          <w:szCs w:val="28"/>
          <w:lang w:eastAsia="en-US"/>
        </w:rPr>
        <w:t xml:space="preserve"> в 201</w:t>
      </w:r>
      <w:r w:rsidRPr="00901F6F">
        <w:rPr>
          <w:rFonts w:ascii="Times New Roman" w:eastAsiaTheme="minorHAnsi" w:hAnsi="Times New Roman" w:cs="Times New Roman"/>
          <w:sz w:val="28"/>
          <w:szCs w:val="28"/>
          <w:lang w:eastAsia="en-US"/>
        </w:rPr>
        <w:t>9</w:t>
      </w:r>
      <w:r w:rsidRPr="000D3994">
        <w:rPr>
          <w:rFonts w:ascii="Times New Roman" w:eastAsiaTheme="minorHAnsi" w:hAnsi="Times New Roman" w:cs="Times New Roman"/>
          <w:sz w:val="28"/>
          <w:szCs w:val="28"/>
          <w:lang w:eastAsia="en-US"/>
        </w:rPr>
        <w:t xml:space="preserve"> год</w:t>
      </w:r>
      <w:r w:rsidRPr="00901F6F">
        <w:rPr>
          <w:rFonts w:ascii="Times New Roman" w:eastAsiaTheme="minorHAnsi" w:hAnsi="Times New Roman" w:cs="Times New Roman"/>
          <w:sz w:val="28"/>
          <w:szCs w:val="28"/>
          <w:lang w:eastAsia="en-US"/>
        </w:rPr>
        <w:t>у</w:t>
      </w:r>
      <w:r w:rsidRPr="000D3994">
        <w:rPr>
          <w:rFonts w:ascii="Times New Roman" w:eastAsiaTheme="minorHAnsi" w:hAnsi="Times New Roman" w:cs="Times New Roman"/>
          <w:sz w:val="28"/>
          <w:szCs w:val="28"/>
          <w:lang w:eastAsia="en-US"/>
        </w:rPr>
        <w:t xml:space="preserve"> в Новосибирской области произведено </w:t>
      </w:r>
      <w:r w:rsidRPr="00901F6F">
        <w:rPr>
          <w:rFonts w:ascii="Times New Roman" w:eastAsiaTheme="minorHAnsi" w:hAnsi="Times New Roman" w:cs="Times New Roman"/>
          <w:sz w:val="28"/>
          <w:szCs w:val="28"/>
          <w:lang w:eastAsia="en-US"/>
        </w:rPr>
        <w:t>922</w:t>
      </w:r>
      <w:r w:rsidRPr="000D3994">
        <w:rPr>
          <w:rFonts w:ascii="Times New Roman" w:eastAsiaTheme="minorHAnsi" w:hAnsi="Times New Roman" w:cs="Times New Roman"/>
          <w:sz w:val="28"/>
          <w:szCs w:val="28"/>
          <w:lang w:eastAsia="en-US"/>
        </w:rPr>
        <w:t> млн. шт. усл. кирпича (</w:t>
      </w:r>
      <w:r w:rsidRPr="00901F6F">
        <w:rPr>
          <w:rFonts w:ascii="Times New Roman" w:eastAsiaTheme="minorHAnsi" w:hAnsi="Times New Roman" w:cs="Times New Roman"/>
          <w:sz w:val="28"/>
          <w:szCs w:val="28"/>
          <w:lang w:eastAsia="en-US"/>
        </w:rPr>
        <w:t xml:space="preserve">в 2018 голу – 222 млн. шт. условного кирпича, в </w:t>
      </w:r>
      <w:r w:rsidRPr="000D3994">
        <w:rPr>
          <w:rFonts w:ascii="Times New Roman" w:eastAsiaTheme="minorHAnsi" w:hAnsi="Times New Roman" w:cs="Times New Roman"/>
          <w:sz w:val="28"/>
          <w:szCs w:val="28"/>
          <w:lang w:eastAsia="en-US"/>
        </w:rPr>
        <w:t>2017 году – 187 млн. шт. усл. кирпича, в 2016 году – 263 млн. шт. усл. кирпича).</w:t>
      </w:r>
    </w:p>
    <w:p w14:paraId="20354D9F" w14:textId="77777777" w:rsidR="003F4CFF" w:rsidRPr="00901F6F" w:rsidRDefault="003F4CFF" w:rsidP="003F4CFF">
      <w:pPr>
        <w:shd w:val="clear" w:color="auto" w:fill="FFFFFF" w:themeFill="background1"/>
        <w:ind w:firstLine="567"/>
        <w:jc w:val="both"/>
        <w:rPr>
          <w:rFonts w:ascii="Times New Roman" w:eastAsiaTheme="minorHAnsi" w:hAnsi="Times New Roman" w:cs="Times New Roman"/>
          <w:sz w:val="28"/>
          <w:szCs w:val="28"/>
          <w:lang w:eastAsia="en-US"/>
        </w:rPr>
      </w:pPr>
      <w:r w:rsidRPr="000D3994">
        <w:rPr>
          <w:rFonts w:ascii="Times New Roman" w:eastAsiaTheme="minorHAnsi" w:hAnsi="Times New Roman" w:cs="Times New Roman"/>
          <w:sz w:val="28"/>
          <w:szCs w:val="28"/>
          <w:lang w:eastAsia="en-US"/>
        </w:rPr>
        <w:t>Учитывая возможности природно-сырьевой базы региона, на территории Новосибирской области в</w:t>
      </w:r>
      <w:r w:rsidRPr="000D3994">
        <w:rPr>
          <w:rFonts w:ascii="Times New Roman" w:eastAsia="Times New Roman" w:hAnsi="Times New Roman" w:cs="Times New Roman"/>
          <w:sz w:val="28"/>
          <w:szCs w:val="28"/>
        </w:rPr>
        <w:t xml:space="preserve"> настоящее время работает порядка 217 предприятий стройиндустрии, из них крупные и средние составляют 70, в том числе 13 производителей кирпича. </w:t>
      </w:r>
      <w:r w:rsidRPr="000D3994">
        <w:rPr>
          <w:rFonts w:ascii="Times New Roman" w:eastAsiaTheme="minorHAnsi" w:hAnsi="Times New Roman" w:cs="Times New Roman"/>
          <w:sz w:val="28"/>
          <w:szCs w:val="28"/>
          <w:lang w:eastAsia="en-US"/>
        </w:rPr>
        <w:t xml:space="preserve">Все предприятия имеют частную форму собственности. </w:t>
      </w:r>
    </w:p>
    <w:p w14:paraId="37EF9F55" w14:textId="77777777" w:rsidR="003F4CFF" w:rsidRDefault="003F4CFF" w:rsidP="003F4CFF">
      <w:pPr>
        <w:ind w:firstLine="567"/>
        <w:jc w:val="both"/>
        <w:rPr>
          <w:rFonts w:ascii="Times New Roman" w:hAnsi="Times New Roman" w:cs="Times New Roman"/>
          <w:sz w:val="28"/>
          <w:szCs w:val="28"/>
        </w:rPr>
      </w:pPr>
      <w:r w:rsidRPr="00DE0A70">
        <w:rPr>
          <w:rFonts w:ascii="Times New Roman" w:hAnsi="Times New Roman" w:cs="Times New Roman"/>
          <w:sz w:val="28"/>
          <w:szCs w:val="28"/>
        </w:rPr>
        <w:t xml:space="preserve">В ходе </w:t>
      </w:r>
      <w:r w:rsidRPr="00D867DA">
        <w:rPr>
          <w:rFonts w:ascii="Times New Roman" w:eastAsia="Times New Roman" w:hAnsi="Times New Roman" w:cs="Times New Roman"/>
          <w:sz w:val="28"/>
          <w:szCs w:val="28"/>
        </w:rPr>
        <w:t>мониторинга состояния и развития конкурентной среды на рынках товаров, работ и услуг Новосибирской области</w:t>
      </w:r>
      <w:r w:rsidRPr="00DE0A70">
        <w:rPr>
          <w:rFonts w:ascii="Times New Roman" w:eastAsia="Times New Roman" w:hAnsi="Times New Roman" w:cs="Times New Roman"/>
          <w:sz w:val="28"/>
          <w:szCs w:val="28"/>
        </w:rPr>
        <w:t xml:space="preserve"> за 2019 год</w:t>
      </w:r>
      <w:r>
        <w:rPr>
          <w:rFonts w:ascii="Times New Roman" w:hAnsi="Times New Roman" w:cs="Times New Roman"/>
          <w:sz w:val="28"/>
          <w:szCs w:val="28"/>
        </w:rPr>
        <w:t xml:space="preserve"> установлено, что </w:t>
      </w:r>
      <w:r w:rsidRPr="00EC5135">
        <w:rPr>
          <w:rFonts w:ascii="Times New Roman" w:hAnsi="Times New Roman" w:cs="Times New Roman"/>
          <w:sz w:val="28"/>
          <w:szCs w:val="28"/>
        </w:rPr>
        <w:t>65%</w:t>
      </w:r>
      <w:r>
        <w:rPr>
          <w:rFonts w:ascii="Times New Roman" w:hAnsi="Times New Roman" w:cs="Times New Roman"/>
          <w:sz w:val="28"/>
          <w:szCs w:val="28"/>
        </w:rPr>
        <w:t xml:space="preserve"> респондентов дали высокую оценку уровню конкуренции на этом рынке.</w:t>
      </w:r>
    </w:p>
    <w:p w14:paraId="7EC06029"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lastRenderedPageBreak/>
        <w:t xml:space="preserve">Наличие непреодолимых административных барьеров </w:t>
      </w:r>
      <w:r>
        <w:rPr>
          <w:rFonts w:ascii="Times New Roman" w:hAnsi="Times New Roman" w:cs="Times New Roman"/>
          <w:sz w:val="28"/>
          <w:szCs w:val="28"/>
        </w:rPr>
        <w:t>отметили</w:t>
      </w:r>
      <w:r w:rsidRPr="00EC5135">
        <w:rPr>
          <w:rFonts w:ascii="Times New Roman" w:hAnsi="Times New Roman" w:cs="Times New Roman"/>
          <w:sz w:val="28"/>
          <w:szCs w:val="28"/>
        </w:rPr>
        <w:t xml:space="preserve"> 18</w:t>
      </w:r>
      <w:r>
        <w:rPr>
          <w:rFonts w:ascii="Times New Roman" w:hAnsi="Times New Roman" w:cs="Times New Roman"/>
          <w:sz w:val="28"/>
          <w:szCs w:val="28"/>
        </w:rPr>
        <w:t xml:space="preserve">% субъектов предпринимательства. </w:t>
      </w:r>
      <w:r w:rsidRPr="00EC5135">
        <w:rPr>
          <w:rFonts w:ascii="Times New Roman" w:hAnsi="Times New Roman" w:cs="Times New Roman"/>
          <w:sz w:val="28"/>
          <w:szCs w:val="28"/>
        </w:rPr>
        <w:t>Основными барьерами для ведения текущей деятельности и открытия нового бизнеса являются нестабильность законодательства, регулирующего предпринимательскую деятельность (23%), сложность получения доступа к земельным участкам (20%,), сложность доступа к поставкам товаров, оказанию услуг и выполнению работ в рамках госзакупок (20%</w:t>
      </w:r>
      <w:r>
        <w:rPr>
          <w:rFonts w:ascii="Times New Roman" w:hAnsi="Times New Roman" w:cs="Times New Roman"/>
          <w:sz w:val="28"/>
          <w:szCs w:val="28"/>
        </w:rPr>
        <w:t>).</w:t>
      </w:r>
    </w:p>
    <w:p w14:paraId="3535EE65" w14:textId="77777777" w:rsidR="003F4CFF"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В оценке деятельности органов власти в равной мере представлены мнения, что органы власти ничего не предпринимают, и их участие не нужно (35%) и что органы власти ничего не предпринимают, но их участие необходимо (35%).</w:t>
      </w:r>
    </w:p>
    <w:p w14:paraId="710768F0" w14:textId="77777777" w:rsidR="003F4CFF" w:rsidRPr="006755F5" w:rsidRDefault="003F4CFF" w:rsidP="003F4CFF">
      <w:pPr>
        <w:ind w:firstLine="567"/>
        <w:jc w:val="both"/>
        <w:rPr>
          <w:rFonts w:ascii="Times New Roman" w:eastAsia="Times New Roman" w:hAnsi="Times New Roman" w:cs="Times New Roman"/>
          <w:sz w:val="28"/>
          <w:szCs w:val="28"/>
        </w:rPr>
      </w:pPr>
      <w:r w:rsidRPr="006755F5">
        <w:rPr>
          <w:rFonts w:ascii="Times New Roman" w:eastAsia="Times New Roman" w:hAnsi="Times New Roman" w:cs="Times New Roman"/>
          <w:sz w:val="28"/>
          <w:szCs w:val="28"/>
          <w:shd w:val="clear" w:color="auto" w:fill="FFFFFF"/>
        </w:rPr>
        <w:t>Наблюдается недостаточное количество организаций на данном рынке (</w:t>
      </w:r>
      <w:r w:rsidRPr="006755F5">
        <w:rPr>
          <w:rFonts w:ascii="Times New Roman" w:hAnsi="Times New Roman" w:cs="Times New Roman"/>
          <w:sz w:val="28"/>
          <w:szCs w:val="28"/>
        </w:rPr>
        <w:t>так считают 58% потребителей</w:t>
      </w:r>
      <w:r w:rsidRPr="006755F5">
        <w:rPr>
          <w:rFonts w:ascii="Times New Roman" w:eastAsia="Times New Roman" w:hAnsi="Times New Roman" w:cs="Times New Roman"/>
          <w:sz w:val="28"/>
          <w:szCs w:val="28"/>
          <w:shd w:val="clear" w:color="auto" w:fill="FFFFFF"/>
        </w:rPr>
        <w:t xml:space="preserve">) </w:t>
      </w:r>
      <w:r w:rsidRPr="006755F5">
        <w:rPr>
          <w:rFonts w:ascii="Times New Roman" w:eastAsia="Times New Roman" w:hAnsi="Times New Roman" w:cs="Times New Roman"/>
          <w:sz w:val="28"/>
          <w:szCs w:val="28"/>
        </w:rPr>
        <w:t>и только 14% потребителей отмечают рост числа организаций за последние 3 года. Несмотря на это, удовлетворенность потребителей выбором услуг, их качеством и стоимостью находится на среднем уровне (60%, 59% и 51% соответственно), что превышает показатели большинства исследуемых рынков. Показатели динамики неоднозначные: р</w:t>
      </w:r>
      <w:r w:rsidRPr="006755F5">
        <w:rPr>
          <w:rFonts w:ascii="Times New Roman" w:hAnsi="Times New Roman" w:cs="Times New Roman"/>
          <w:sz w:val="28"/>
          <w:szCs w:val="28"/>
        </w:rPr>
        <w:t xml:space="preserve">ост цен за последние 3 года отмечают 65% потребителей, а мнения об изменении качества услуг разделились: </w:t>
      </w:r>
      <w:r w:rsidRPr="006755F5">
        <w:rPr>
          <w:rFonts w:ascii="Times New Roman" w:eastAsia="Times New Roman" w:hAnsi="Times New Roman" w:cs="Times New Roman"/>
          <w:sz w:val="28"/>
          <w:szCs w:val="28"/>
        </w:rPr>
        <w:t>повышение качества отмечают 22% потребителей, снижение качества – также 22%</w:t>
      </w:r>
      <w:r w:rsidRPr="006755F5">
        <w:rPr>
          <w:rFonts w:ascii="Times New Roman" w:hAnsi="Times New Roman" w:cs="Times New Roman"/>
          <w:sz w:val="28"/>
          <w:szCs w:val="28"/>
        </w:rPr>
        <w:t>.</w:t>
      </w:r>
    </w:p>
    <w:p w14:paraId="4451ADA2" w14:textId="77777777" w:rsidR="003F4CFF" w:rsidRPr="00E00F38" w:rsidRDefault="003F4CFF" w:rsidP="003F4CFF">
      <w:pPr>
        <w:pStyle w:val="ac"/>
        <w:ind w:firstLine="567"/>
        <w:jc w:val="both"/>
        <w:rPr>
          <w:rFonts w:ascii="Times New Roman" w:hAnsi="Times New Roman"/>
          <w:b/>
        </w:rPr>
      </w:pPr>
      <w:r w:rsidRPr="00E00F38">
        <w:rPr>
          <w:rFonts w:ascii="Times New Roman" w:hAnsi="Times New Roman"/>
          <w:b/>
        </w:rPr>
        <w:t>Рынок производства бетона</w:t>
      </w:r>
    </w:p>
    <w:p w14:paraId="0C7EEFCE" w14:textId="77777777" w:rsidR="003F4CFF" w:rsidRPr="00336CDA" w:rsidRDefault="003F4CFF" w:rsidP="003F4CFF">
      <w:pPr>
        <w:shd w:val="clear" w:color="auto" w:fill="FFFFFF" w:themeFill="background1"/>
        <w:autoSpaceDE w:val="0"/>
        <w:autoSpaceDN w:val="0"/>
        <w:adjustRightInd w:val="0"/>
        <w:ind w:firstLine="567"/>
        <w:jc w:val="both"/>
        <w:rPr>
          <w:rFonts w:ascii="Times New Roman" w:hAnsi="Times New Roman" w:cs="Times New Roman"/>
          <w:sz w:val="28"/>
          <w:szCs w:val="28"/>
        </w:rPr>
      </w:pPr>
      <w:r w:rsidRPr="00336CDA">
        <w:rPr>
          <w:rFonts w:ascii="Times New Roman" w:hAnsi="Times New Roman" w:cs="Times New Roman"/>
          <w:sz w:val="28"/>
          <w:szCs w:val="28"/>
        </w:rPr>
        <w:t>По данным Новосибирскстата в январе-ноябре 2019 года в Новосибирской области произведено 838,7 тыс. куб. м бетона (в 2018 году – 689 тыс. куб. м, в 2017 году – 603 тыс. куб. м, в 2016 году – 620 тыс. куб. м).</w:t>
      </w:r>
    </w:p>
    <w:p w14:paraId="7CC25E0A" w14:textId="77777777" w:rsidR="003F4CFF" w:rsidRPr="00336CDA" w:rsidRDefault="003F4CFF" w:rsidP="003F4CFF">
      <w:pPr>
        <w:shd w:val="clear" w:color="auto" w:fill="FFFFFF" w:themeFill="background1"/>
        <w:autoSpaceDE w:val="0"/>
        <w:autoSpaceDN w:val="0"/>
        <w:adjustRightInd w:val="0"/>
        <w:ind w:firstLine="567"/>
        <w:jc w:val="both"/>
        <w:rPr>
          <w:rFonts w:ascii="Times New Roman" w:hAnsi="Times New Roman" w:cs="Times New Roman"/>
          <w:sz w:val="28"/>
          <w:szCs w:val="28"/>
        </w:rPr>
      </w:pPr>
      <w:r w:rsidRPr="00336CDA">
        <w:rPr>
          <w:rFonts w:ascii="Times New Roman" w:hAnsi="Times New Roman" w:cs="Times New Roman"/>
          <w:sz w:val="28"/>
          <w:szCs w:val="28"/>
        </w:rPr>
        <w:t>В Новосибирской области наблюдается стабильный рост объемов строительства. Постоянно возрастающий объем строительных работ требует стимулирования отрасли строительных материалов, в том числе производства бетона.</w:t>
      </w:r>
    </w:p>
    <w:p w14:paraId="479EAC47" w14:textId="77777777" w:rsidR="003F4CFF" w:rsidRPr="00336CDA" w:rsidRDefault="003F4CFF" w:rsidP="003F4CFF">
      <w:pPr>
        <w:widowControl w:val="0"/>
        <w:shd w:val="clear" w:color="auto" w:fill="FFFFFF" w:themeFill="background1"/>
        <w:ind w:right="111" w:firstLine="567"/>
        <w:contextualSpacing/>
        <w:jc w:val="both"/>
        <w:rPr>
          <w:rFonts w:ascii="Times New Roman" w:hAnsi="Times New Roman" w:cs="Times New Roman"/>
          <w:sz w:val="28"/>
          <w:szCs w:val="28"/>
        </w:rPr>
      </w:pPr>
      <w:r w:rsidRPr="00336CDA">
        <w:rPr>
          <w:rFonts w:ascii="Times New Roman" w:hAnsi="Times New Roman" w:cs="Times New Roman"/>
          <w:sz w:val="28"/>
          <w:szCs w:val="28"/>
        </w:rPr>
        <w:t xml:space="preserve">Учитывая возможности природно-сырьевой базы региона, на территории Новосибирской области в настоящее время работает порядка 217 предприятий стройиндустрии, из них крупные и средние составляют порядка 70, в том числе 21 производитель сборных железобетонных изделий и конструкций, в том числе 5 производителей КПД (крупно-панельное домостроение). Все предприятия имеют частную форму собственности. </w:t>
      </w:r>
    </w:p>
    <w:p w14:paraId="2D44095E" w14:textId="77777777" w:rsidR="003F4CFF" w:rsidRPr="00336CDA" w:rsidRDefault="003F4CFF" w:rsidP="003F4CFF">
      <w:pPr>
        <w:widowControl w:val="0"/>
        <w:shd w:val="clear" w:color="auto" w:fill="FFFFFF" w:themeFill="background1"/>
        <w:ind w:right="111" w:firstLine="567"/>
        <w:contextualSpacing/>
        <w:jc w:val="both"/>
        <w:rPr>
          <w:rFonts w:ascii="Times New Roman" w:hAnsi="Times New Roman" w:cs="Times New Roman"/>
          <w:sz w:val="28"/>
          <w:szCs w:val="28"/>
        </w:rPr>
      </w:pPr>
      <w:r w:rsidRPr="00336CDA">
        <w:rPr>
          <w:rFonts w:ascii="Times New Roman" w:hAnsi="Times New Roman" w:cs="Times New Roman"/>
          <w:sz w:val="28"/>
          <w:szCs w:val="28"/>
        </w:rPr>
        <w:t xml:space="preserve">Основными мероприятия областных исполнительных органов государственной власти по развитию рынка производства бетона являлись мониторинг размещения на официальных сайтах муниципальных образований Новосибирской области актуального административного регламента предоставления муниципальной услуги по выдаче разрешения на строительство и актуального административного регламента предоставления муниципальной услуги по выдаче разрешений на ввод объекта в эксплуатацию при осуществлении строительства, реконструкции объектов капитального строительства; организация обучения и повышения квалификации представителей органов власти, участвующих в осуществлении процедур, необходимых для получения разрешения на строительство; размещение на сайте министерства строительства </w:t>
      </w:r>
      <w:r w:rsidRPr="00336CDA">
        <w:rPr>
          <w:rFonts w:ascii="Times New Roman" w:hAnsi="Times New Roman" w:cs="Times New Roman"/>
          <w:sz w:val="28"/>
          <w:szCs w:val="28"/>
        </w:rPr>
        <w:lastRenderedPageBreak/>
        <w:t xml:space="preserve">Новосибирской области актуальной информации о прохождении процедур, необходимых для получения разрешения на строительство. </w:t>
      </w:r>
    </w:p>
    <w:p w14:paraId="2628325E" w14:textId="77777777" w:rsidR="003F4CFF" w:rsidRDefault="003F4CFF" w:rsidP="003F4CFF">
      <w:pPr>
        <w:ind w:firstLine="567"/>
        <w:jc w:val="both"/>
        <w:rPr>
          <w:rFonts w:ascii="Times New Roman" w:hAnsi="Times New Roman" w:cs="Times New Roman"/>
          <w:sz w:val="28"/>
          <w:szCs w:val="28"/>
        </w:rPr>
      </w:pPr>
      <w:r w:rsidRPr="00DE0A70">
        <w:rPr>
          <w:rFonts w:ascii="Times New Roman" w:hAnsi="Times New Roman" w:cs="Times New Roman"/>
          <w:sz w:val="28"/>
          <w:szCs w:val="28"/>
        </w:rPr>
        <w:t xml:space="preserve">В ходе </w:t>
      </w:r>
      <w:r w:rsidRPr="00336CDA">
        <w:rPr>
          <w:rFonts w:ascii="Times New Roman" w:hAnsi="Times New Roman" w:cs="Times New Roman"/>
          <w:sz w:val="28"/>
          <w:szCs w:val="28"/>
        </w:rPr>
        <w:t>мониторинга состояния и развития конкурентной с</w:t>
      </w:r>
      <w:r w:rsidRPr="00D867DA">
        <w:rPr>
          <w:rFonts w:ascii="Times New Roman" w:eastAsia="Times New Roman" w:hAnsi="Times New Roman" w:cs="Times New Roman"/>
          <w:sz w:val="28"/>
          <w:szCs w:val="28"/>
        </w:rPr>
        <w:t>реды на рынках товаров, работ и услуг Новосибирской области</w:t>
      </w:r>
      <w:r w:rsidRPr="00DE0A70">
        <w:rPr>
          <w:rFonts w:ascii="Times New Roman" w:eastAsia="Times New Roman" w:hAnsi="Times New Roman" w:cs="Times New Roman"/>
          <w:sz w:val="28"/>
          <w:szCs w:val="28"/>
        </w:rPr>
        <w:t xml:space="preserve"> за 2019 год</w:t>
      </w:r>
      <w:r>
        <w:rPr>
          <w:rFonts w:ascii="Times New Roman" w:hAnsi="Times New Roman" w:cs="Times New Roman"/>
          <w:sz w:val="28"/>
          <w:szCs w:val="28"/>
        </w:rPr>
        <w:t xml:space="preserve"> установлено, что </w:t>
      </w:r>
      <w:r w:rsidRPr="00EC5135">
        <w:rPr>
          <w:rFonts w:ascii="Times New Roman" w:hAnsi="Times New Roman" w:cs="Times New Roman"/>
          <w:sz w:val="28"/>
          <w:szCs w:val="28"/>
        </w:rPr>
        <w:t xml:space="preserve">77%, </w:t>
      </w:r>
      <w:r>
        <w:rPr>
          <w:rFonts w:ascii="Times New Roman" w:hAnsi="Times New Roman" w:cs="Times New Roman"/>
          <w:sz w:val="28"/>
          <w:szCs w:val="28"/>
        </w:rPr>
        <w:t>респондентов дали высокую оценку уровню конкуренции на этом рынке.</w:t>
      </w:r>
    </w:p>
    <w:p w14:paraId="6F21041B" w14:textId="77777777" w:rsidR="003F4CFF"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Наличие непреодолимых административных барьеров </w:t>
      </w:r>
      <w:r>
        <w:rPr>
          <w:rFonts w:ascii="Times New Roman" w:hAnsi="Times New Roman" w:cs="Times New Roman"/>
          <w:sz w:val="28"/>
          <w:szCs w:val="28"/>
        </w:rPr>
        <w:t>отметили</w:t>
      </w:r>
      <w:r w:rsidRPr="00EC5135">
        <w:rPr>
          <w:rFonts w:ascii="Times New Roman" w:hAnsi="Times New Roman" w:cs="Times New Roman"/>
          <w:sz w:val="28"/>
          <w:szCs w:val="28"/>
        </w:rPr>
        <w:t xml:space="preserve"> 9% субъектов предпринимательства. Основными барьерами для ведения текущей деятельности и открытия нового бизнеса являются сложность получения доступа к земельным участкам, сложность доступа к закупкам компаний с госучастием и субъектов естественных монополий (отмечают по 26% субъектов пред</w:t>
      </w:r>
      <w:r>
        <w:rPr>
          <w:rFonts w:ascii="Times New Roman" w:hAnsi="Times New Roman" w:cs="Times New Roman"/>
          <w:sz w:val="28"/>
          <w:szCs w:val="28"/>
        </w:rPr>
        <w:t>принимательства на данном рынке</w:t>
      </w:r>
      <w:r w:rsidRPr="00EC5135">
        <w:rPr>
          <w:rFonts w:ascii="Times New Roman" w:hAnsi="Times New Roman" w:cs="Times New Roman"/>
          <w:sz w:val="28"/>
          <w:szCs w:val="28"/>
        </w:rPr>
        <w:t>) и сложность доступа к поставкам товаров, оказанию услуг и выполнению</w:t>
      </w:r>
      <w:r>
        <w:rPr>
          <w:rFonts w:ascii="Times New Roman" w:hAnsi="Times New Roman" w:cs="Times New Roman"/>
          <w:sz w:val="28"/>
          <w:szCs w:val="28"/>
        </w:rPr>
        <w:t xml:space="preserve"> работ в рамках госзакупок (20%).</w:t>
      </w:r>
    </w:p>
    <w:p w14:paraId="60A77658" w14:textId="77777777" w:rsidR="003F4CFF" w:rsidRPr="006755F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В оценке деятельности органов власти в равной мере представлены мнения, что органы власти ничего не предпринимают, и их участие не нужно (31%) и что органы власти ничего не предпринимают, </w:t>
      </w:r>
      <w:r>
        <w:rPr>
          <w:rFonts w:ascii="Times New Roman" w:hAnsi="Times New Roman" w:cs="Times New Roman"/>
          <w:sz w:val="28"/>
          <w:szCs w:val="28"/>
        </w:rPr>
        <w:t>но их участие нео</w:t>
      </w:r>
      <w:r w:rsidRPr="006755F5">
        <w:rPr>
          <w:rFonts w:ascii="Times New Roman" w:hAnsi="Times New Roman" w:cs="Times New Roman"/>
          <w:sz w:val="28"/>
          <w:szCs w:val="28"/>
        </w:rPr>
        <w:t>бходимо (31%).</w:t>
      </w:r>
    </w:p>
    <w:p w14:paraId="1373F599" w14:textId="77777777" w:rsidR="003F4CFF" w:rsidRPr="006755F5" w:rsidRDefault="003F4CFF" w:rsidP="003F4CFF">
      <w:pPr>
        <w:ind w:firstLine="567"/>
        <w:jc w:val="both"/>
        <w:rPr>
          <w:rFonts w:ascii="Times New Roman" w:eastAsia="Times New Roman" w:hAnsi="Times New Roman" w:cs="Times New Roman"/>
          <w:sz w:val="28"/>
          <w:szCs w:val="28"/>
        </w:rPr>
      </w:pPr>
      <w:r w:rsidRPr="006755F5">
        <w:rPr>
          <w:rFonts w:ascii="Times New Roman" w:eastAsia="Times New Roman" w:hAnsi="Times New Roman" w:cs="Times New Roman"/>
          <w:sz w:val="28"/>
          <w:szCs w:val="28"/>
          <w:shd w:val="clear" w:color="auto" w:fill="FFFFFF"/>
        </w:rPr>
        <w:t>Наблюдается недостаточное количество организаций на данном рынке (</w:t>
      </w:r>
      <w:r w:rsidRPr="006755F5">
        <w:rPr>
          <w:rFonts w:ascii="Times New Roman" w:hAnsi="Times New Roman" w:cs="Times New Roman"/>
          <w:sz w:val="28"/>
          <w:szCs w:val="28"/>
        </w:rPr>
        <w:t>так считают 52% потребителей</w:t>
      </w:r>
      <w:r w:rsidRPr="006755F5">
        <w:rPr>
          <w:rFonts w:ascii="Times New Roman" w:eastAsia="Times New Roman" w:hAnsi="Times New Roman" w:cs="Times New Roman"/>
          <w:sz w:val="28"/>
          <w:szCs w:val="28"/>
          <w:shd w:val="clear" w:color="auto" w:fill="FFFFFF"/>
        </w:rPr>
        <w:t xml:space="preserve">), увеличение их числа </w:t>
      </w:r>
      <w:r w:rsidRPr="006755F5">
        <w:rPr>
          <w:rFonts w:ascii="Times New Roman" w:eastAsia="Times New Roman" w:hAnsi="Times New Roman" w:cs="Times New Roman"/>
          <w:sz w:val="28"/>
          <w:szCs w:val="28"/>
        </w:rPr>
        <w:t>за последние 3 года отмечают 16% потребителей. Несмотря на это, удовлетворенность потребителей выбором услуг, их качеством и стоимостью находится на среднем уровне (63%, 65% и 53% соответственно), что превышает показатели большинства исследуемых рынков. Показатели динамики неоднозначные: р</w:t>
      </w:r>
      <w:r w:rsidRPr="006755F5">
        <w:rPr>
          <w:rFonts w:ascii="Times New Roman" w:hAnsi="Times New Roman" w:cs="Times New Roman"/>
          <w:sz w:val="28"/>
          <w:szCs w:val="28"/>
        </w:rPr>
        <w:t xml:space="preserve">ост цен за последние 3 года отмечают 66% потребителей, а мнения об изменении качества услуг разделились: </w:t>
      </w:r>
      <w:r w:rsidRPr="006755F5">
        <w:rPr>
          <w:rFonts w:ascii="Times New Roman" w:eastAsia="Times New Roman" w:hAnsi="Times New Roman" w:cs="Times New Roman"/>
          <w:sz w:val="28"/>
          <w:szCs w:val="28"/>
        </w:rPr>
        <w:t>повышение качества отмечают 19% потребителей, снижение качества – также 19%</w:t>
      </w:r>
      <w:r w:rsidRPr="006755F5">
        <w:rPr>
          <w:rFonts w:ascii="Times New Roman" w:hAnsi="Times New Roman" w:cs="Times New Roman"/>
          <w:sz w:val="28"/>
          <w:szCs w:val="28"/>
        </w:rPr>
        <w:t>.</w:t>
      </w:r>
    </w:p>
    <w:p w14:paraId="62A1AA13" w14:textId="77777777" w:rsidR="003F4CFF" w:rsidRPr="00E00F38" w:rsidRDefault="003F4CFF" w:rsidP="003F4CFF">
      <w:pPr>
        <w:ind w:firstLine="567"/>
        <w:jc w:val="both"/>
      </w:pPr>
    </w:p>
    <w:p w14:paraId="6F067D48" w14:textId="77777777" w:rsidR="003F4CFF" w:rsidRPr="006D4184" w:rsidRDefault="003F4CFF" w:rsidP="003F4CFF">
      <w:pPr>
        <w:pStyle w:val="ac"/>
        <w:ind w:firstLine="567"/>
        <w:jc w:val="both"/>
        <w:outlineLvl w:val="2"/>
        <w:rPr>
          <w:rFonts w:ascii="Times New Roman" w:hAnsi="Times New Roman"/>
          <w:b/>
        </w:rPr>
      </w:pPr>
      <w:bookmarkStart w:id="61" w:name="_Toc31983975"/>
      <w:bookmarkStart w:id="62" w:name="_Toc32240315"/>
      <w:bookmarkStart w:id="63" w:name="_Toc32421900"/>
      <w:bookmarkStart w:id="64" w:name="_Toc34129179"/>
      <w:r w:rsidRPr="006D4184">
        <w:rPr>
          <w:rFonts w:ascii="Times New Roman" w:hAnsi="Times New Roman"/>
          <w:b/>
        </w:rPr>
        <w:t>2.3.2. Результаты мониторинга наличия (отсутствия) административных барьеров и оценки состояния конкурентной среды субъектами п</w:t>
      </w:r>
      <w:r>
        <w:rPr>
          <w:rFonts w:ascii="Times New Roman" w:hAnsi="Times New Roman"/>
          <w:b/>
        </w:rPr>
        <w:t>редпринимательской деятельности</w:t>
      </w:r>
      <w:bookmarkEnd w:id="61"/>
      <w:bookmarkEnd w:id="62"/>
      <w:bookmarkEnd w:id="63"/>
      <w:bookmarkEnd w:id="64"/>
    </w:p>
    <w:p w14:paraId="67011FF3"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Мониторинг проведен методами </w:t>
      </w:r>
      <w:r>
        <w:rPr>
          <w:rFonts w:ascii="Times New Roman" w:hAnsi="Times New Roman" w:cs="Times New Roman"/>
          <w:sz w:val="28"/>
          <w:szCs w:val="28"/>
        </w:rPr>
        <w:t>раздаточного анкетирования 1700 субъектов</w:t>
      </w:r>
      <w:r w:rsidRPr="00EC5135">
        <w:rPr>
          <w:rFonts w:ascii="Times New Roman" w:hAnsi="Times New Roman" w:cs="Times New Roman"/>
          <w:sz w:val="28"/>
          <w:szCs w:val="28"/>
        </w:rPr>
        <w:t xml:space="preserve"> </w:t>
      </w:r>
      <w:r>
        <w:rPr>
          <w:rFonts w:ascii="Times New Roman" w:hAnsi="Times New Roman" w:cs="Times New Roman"/>
          <w:sz w:val="28"/>
          <w:szCs w:val="28"/>
        </w:rPr>
        <w:t>предпринимательской деятельности</w:t>
      </w:r>
      <w:r w:rsidRPr="00EC5135">
        <w:rPr>
          <w:rFonts w:ascii="Times New Roman" w:hAnsi="Times New Roman" w:cs="Times New Roman"/>
          <w:sz w:val="28"/>
          <w:szCs w:val="28"/>
        </w:rPr>
        <w:t xml:space="preserve"> Новосибирской области, кабинетного исследования и экспертных интервью. Монитор</w:t>
      </w:r>
      <w:r>
        <w:rPr>
          <w:rFonts w:ascii="Times New Roman" w:hAnsi="Times New Roman" w:cs="Times New Roman"/>
          <w:sz w:val="28"/>
          <w:szCs w:val="28"/>
        </w:rPr>
        <w:t>инг проводился на территории 30 муниципальных районов и 5 </w:t>
      </w:r>
      <w:r w:rsidRPr="00EC5135">
        <w:rPr>
          <w:rFonts w:ascii="Times New Roman" w:hAnsi="Times New Roman" w:cs="Times New Roman"/>
          <w:sz w:val="28"/>
          <w:szCs w:val="28"/>
        </w:rPr>
        <w:t>городских округов Новосибирской области и охватил 33 товарных рынка. А</w:t>
      </w:r>
      <w:r w:rsidRPr="00EC5135">
        <w:rPr>
          <w:rFonts w:ascii="Times New Roman" w:hAnsi="Times New Roman" w:cs="Times New Roman"/>
          <w:bCs/>
          <w:iCs/>
          <w:sz w:val="28"/>
          <w:szCs w:val="28"/>
        </w:rPr>
        <w:t xml:space="preserve">нализ данных проводился в разрезе муниципальных образований, товарных рынков, величины организаций. </w:t>
      </w:r>
      <w:r w:rsidRPr="00EC5135">
        <w:rPr>
          <w:rFonts w:ascii="Times New Roman" w:hAnsi="Times New Roman" w:cs="Times New Roman"/>
          <w:sz w:val="28"/>
          <w:szCs w:val="28"/>
        </w:rPr>
        <w:t xml:space="preserve">Структура выборки </w:t>
      </w:r>
      <w:r w:rsidRPr="00BF7B1F">
        <w:rPr>
          <w:rFonts w:ascii="Times New Roman" w:hAnsi="Times New Roman" w:cs="Times New Roman"/>
          <w:sz w:val="28"/>
          <w:szCs w:val="28"/>
        </w:rPr>
        <w:t>представлена в таблице 11.</w:t>
      </w:r>
    </w:p>
    <w:p w14:paraId="3133A397"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Доля субъектов предпринимательской деятельности, на основании оценок которых проводился мониторинг, в общем числе субъектов предпринимательской деятельности Новосибирской области составила 1,16%.</w:t>
      </w:r>
    </w:p>
    <w:p w14:paraId="2517AA6E" w14:textId="77777777" w:rsidR="003F4CFF" w:rsidRPr="00EC5135" w:rsidRDefault="003F4CFF" w:rsidP="003F4CFF">
      <w:pPr>
        <w:suppressAutoHyphens/>
        <w:ind w:firstLine="567"/>
        <w:jc w:val="both"/>
        <w:rPr>
          <w:rFonts w:ascii="Times New Roman" w:eastAsia="SimSun" w:hAnsi="Times New Roman" w:cs="Times New Roman"/>
          <w:sz w:val="28"/>
          <w:szCs w:val="28"/>
          <w:lang w:eastAsia="ar-SA"/>
        </w:rPr>
      </w:pPr>
      <w:r w:rsidRPr="00EC5135">
        <w:rPr>
          <w:rFonts w:ascii="Times New Roman" w:hAnsi="Times New Roman" w:cs="Times New Roman"/>
          <w:sz w:val="28"/>
          <w:szCs w:val="28"/>
        </w:rPr>
        <w:t xml:space="preserve">В результате НИР проведен мониторинг </w:t>
      </w:r>
      <w:r w:rsidRPr="00EC5135">
        <w:rPr>
          <w:rFonts w:ascii="Times New Roman" w:eastAsia="SimSun" w:hAnsi="Times New Roman" w:cs="Times New Roman"/>
          <w:sz w:val="28"/>
          <w:szCs w:val="28"/>
          <w:lang w:eastAsia="ar-SA"/>
        </w:rPr>
        <w:t>наличия (отсутствия) административных барьеров и оценки состояния конкурентной среды субъектами предпринимательской деятельности, предусматривающий:</w:t>
      </w:r>
    </w:p>
    <w:p w14:paraId="17F1F7E2" w14:textId="77777777" w:rsidR="003F4CFF" w:rsidRPr="00EC5135" w:rsidRDefault="003F4CFF" w:rsidP="003F4CFF">
      <w:pPr>
        <w:autoSpaceDE w:val="0"/>
        <w:autoSpaceDN w:val="0"/>
        <w:adjustRightInd w:val="0"/>
        <w:spacing w:after="160" w:line="259" w:lineRule="auto"/>
        <w:ind w:firstLine="567"/>
        <w:contextualSpacing/>
        <w:jc w:val="both"/>
        <w:rPr>
          <w:rFonts w:ascii="Times New Roman" w:eastAsia="Times New Roman" w:hAnsi="Times New Roman" w:cs="Times New Roman"/>
          <w:sz w:val="28"/>
          <w:szCs w:val="28"/>
        </w:rPr>
      </w:pPr>
      <w:r w:rsidRPr="00EC5135">
        <w:rPr>
          <w:rFonts w:ascii="Times New Roman" w:hAnsi="Times New Roman" w:cs="Times New Roman"/>
          <w:sz w:val="28"/>
          <w:szCs w:val="28"/>
        </w:rPr>
        <w:t xml:space="preserve">выделение групп субъектов предпринимательской деятельности (малый, средний, крупный бизнес), а также вида деятельности (наименование рынка, на котором субъект предпринимательской деятельности, представляющий свою </w:t>
      </w:r>
      <w:r w:rsidRPr="00EC5135">
        <w:rPr>
          <w:rFonts w:ascii="Times New Roman" w:hAnsi="Times New Roman" w:cs="Times New Roman"/>
          <w:sz w:val="28"/>
          <w:szCs w:val="28"/>
        </w:rPr>
        <w:lastRenderedPageBreak/>
        <w:t>оценку состояния конкуренции, осуществляет фактическую предпринимательскую деятельность);</w:t>
      </w:r>
    </w:p>
    <w:p w14:paraId="38BF5C3D" w14:textId="77777777" w:rsidR="003F4CFF" w:rsidRPr="00EC5135" w:rsidRDefault="003F4CFF" w:rsidP="003F4CFF">
      <w:pPr>
        <w:autoSpaceDE w:val="0"/>
        <w:autoSpaceDN w:val="0"/>
        <w:adjustRightInd w:val="0"/>
        <w:spacing w:after="160" w:line="259" w:lineRule="auto"/>
        <w:ind w:firstLine="567"/>
        <w:contextualSpacing/>
        <w:jc w:val="both"/>
        <w:rPr>
          <w:rFonts w:ascii="Times New Roman" w:hAnsi="Times New Roman" w:cs="Times New Roman"/>
          <w:sz w:val="28"/>
          <w:szCs w:val="28"/>
        </w:rPr>
      </w:pPr>
      <w:r w:rsidRPr="00EC5135">
        <w:rPr>
          <w:rFonts w:ascii="Times New Roman" w:hAnsi="Times New Roman" w:cs="Times New Roman"/>
          <w:sz w:val="28"/>
          <w:szCs w:val="28"/>
        </w:rPr>
        <w:t>сбор данных о состоянии и изменении конкуренции, а также построение на основе указанных данных репрезентативных оценок в отношении Новосибирской области и сегментов бизнеса;</w:t>
      </w:r>
    </w:p>
    <w:p w14:paraId="20426069" w14:textId="77777777" w:rsidR="003F4CFF" w:rsidRPr="00EC5135" w:rsidRDefault="003F4CFF" w:rsidP="003F4CFF">
      <w:pPr>
        <w:autoSpaceDE w:val="0"/>
        <w:autoSpaceDN w:val="0"/>
        <w:adjustRightInd w:val="0"/>
        <w:spacing w:after="160" w:line="259" w:lineRule="auto"/>
        <w:ind w:firstLine="567"/>
        <w:contextualSpacing/>
        <w:jc w:val="both"/>
        <w:rPr>
          <w:rFonts w:ascii="Times New Roman" w:hAnsi="Times New Roman" w:cs="Times New Roman"/>
          <w:sz w:val="28"/>
          <w:szCs w:val="28"/>
        </w:rPr>
      </w:pPr>
      <w:r w:rsidRPr="00EC5135">
        <w:rPr>
          <w:rFonts w:ascii="Times New Roman" w:hAnsi="Times New Roman" w:cs="Times New Roman"/>
          <w:sz w:val="28"/>
          <w:szCs w:val="28"/>
        </w:rPr>
        <w:t>сбор данных о наличии и уровне административных барьеров в сферах регулирования, в том числе данных о наличии жалоб в надзорные органы по этой проблематике и динамике их поступления в сравнении с 2016–2018 годами, а также построение на основе указанных данных репрезентативных оценок в отношении Новосибирской области и сегментов бизнеса;</w:t>
      </w:r>
    </w:p>
    <w:p w14:paraId="2D79643A" w14:textId="77777777" w:rsidR="003F4CFF" w:rsidRPr="00EC5135" w:rsidRDefault="003F4CFF" w:rsidP="003F4CFF">
      <w:pPr>
        <w:autoSpaceDE w:val="0"/>
        <w:autoSpaceDN w:val="0"/>
        <w:adjustRightInd w:val="0"/>
        <w:spacing w:after="160" w:line="259" w:lineRule="auto"/>
        <w:ind w:firstLine="567"/>
        <w:contextualSpacing/>
        <w:jc w:val="both"/>
        <w:rPr>
          <w:rFonts w:ascii="Times New Roman" w:hAnsi="Times New Roman" w:cs="Times New Roman"/>
          <w:sz w:val="28"/>
          <w:szCs w:val="28"/>
        </w:rPr>
      </w:pPr>
      <w:r w:rsidRPr="00EC5135">
        <w:rPr>
          <w:rFonts w:ascii="Times New Roman" w:hAnsi="Times New Roman" w:cs="Times New Roman"/>
          <w:sz w:val="28"/>
          <w:szCs w:val="28"/>
        </w:rPr>
        <w:t>сбор данных о возможностях недискриминационного доступа на товарные рынки Новосибирской области, а также товарные рынки, имеющие общие границы с Новосибирской областью, в части появления новых хозяйствующих субъектов и начала осуществления ими предпринимательской деятельности;</w:t>
      </w:r>
    </w:p>
    <w:p w14:paraId="2506D4DF" w14:textId="77777777" w:rsidR="003F4CFF" w:rsidRPr="00EC5135" w:rsidRDefault="003F4CFF" w:rsidP="003F4CFF">
      <w:pPr>
        <w:autoSpaceDE w:val="0"/>
        <w:autoSpaceDN w:val="0"/>
        <w:adjustRightInd w:val="0"/>
        <w:spacing w:after="160" w:line="259" w:lineRule="auto"/>
        <w:ind w:firstLine="567"/>
        <w:contextualSpacing/>
        <w:jc w:val="both"/>
        <w:rPr>
          <w:rFonts w:ascii="Times New Roman" w:hAnsi="Times New Roman" w:cs="Times New Roman"/>
          <w:sz w:val="28"/>
          <w:szCs w:val="28"/>
        </w:rPr>
      </w:pPr>
      <w:r w:rsidRPr="00EC5135">
        <w:rPr>
          <w:rFonts w:ascii="Times New Roman" w:hAnsi="Times New Roman" w:cs="Times New Roman"/>
          <w:sz w:val="28"/>
          <w:szCs w:val="28"/>
        </w:rPr>
        <w:t>сбор данных о продолжительности осуществления предпринимательской деятельности хозяйствующих субъектов, деятельность которых начата не ранее 5 и не позже 3 лет до начала сбора указанных данных;</w:t>
      </w:r>
    </w:p>
    <w:p w14:paraId="122133A6" w14:textId="77777777" w:rsidR="003F4CFF" w:rsidRPr="00EC5135" w:rsidRDefault="003F4CFF" w:rsidP="003F4CFF">
      <w:pPr>
        <w:autoSpaceDE w:val="0"/>
        <w:autoSpaceDN w:val="0"/>
        <w:adjustRightInd w:val="0"/>
        <w:spacing w:after="160" w:line="259" w:lineRule="auto"/>
        <w:ind w:firstLine="567"/>
        <w:contextualSpacing/>
        <w:jc w:val="both"/>
        <w:rPr>
          <w:rFonts w:eastAsia="Times New Roman" w:cs="Times New Roman"/>
          <w:sz w:val="28"/>
          <w:szCs w:val="28"/>
          <w:lang w:eastAsia="en-US"/>
        </w:rPr>
      </w:pPr>
      <w:r w:rsidRPr="00EC5135">
        <w:rPr>
          <w:rFonts w:ascii="Times New Roman" w:hAnsi="Times New Roman" w:cs="Times New Roman"/>
          <w:sz w:val="28"/>
          <w:szCs w:val="28"/>
        </w:rPr>
        <w:t>формирование показателей наличия (отсутствия) административных барьеров и состояния конкурентной среды в Новосибирской области, а также подготовка выводов и предложений.</w:t>
      </w:r>
    </w:p>
    <w:p w14:paraId="1EC72978"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Подробный отчет о результатах мониторинга наличия (отсутствия) административных барьеров и оценки состояния конкурентной среды субъектами предпринимательства Новосибирской области представлен в </w:t>
      </w:r>
      <w:hyperlink r:id="rId68" w:history="1">
        <w:r w:rsidRPr="00EC5135">
          <w:rPr>
            <w:rFonts w:ascii="Times New Roman" w:hAnsi="Times New Roman" w:cs="Times New Roman"/>
            <w:color w:val="000000"/>
            <w:sz w:val="28"/>
            <w:szCs w:val="28"/>
          </w:rPr>
          <w:t>Отчете по результатам проведения научно-исследовательской работы по теме: «Мониторинг состояния и развития конкурентной среды на рынках товаров, работ и услуг Новосибирской области за 2019 год»</w:t>
        </w:r>
      </w:hyperlink>
      <w:r w:rsidRPr="00EC5135">
        <w:rPr>
          <w:rFonts w:ascii="Times New Roman" w:hAnsi="Times New Roman" w:cs="Times New Roman"/>
          <w:sz w:val="28"/>
          <w:szCs w:val="28"/>
        </w:rPr>
        <w:t xml:space="preserve">, размещенном на сайте министерства экономического развития Новосибирской области </w:t>
      </w:r>
      <w:hyperlink r:id="rId69" w:history="1">
        <w:r w:rsidRPr="00EC5135">
          <w:rPr>
            <w:rFonts w:ascii="Times New Roman" w:hAnsi="Times New Roman" w:cs="Times New Roman"/>
            <w:color w:val="0000FF"/>
            <w:sz w:val="28"/>
            <w:szCs w:val="28"/>
            <w:u w:val="single"/>
          </w:rPr>
          <w:t>http://econom.nso.ru/page/1342</w:t>
        </w:r>
      </w:hyperlink>
      <w:r w:rsidRPr="00EC5135">
        <w:rPr>
          <w:rFonts w:ascii="Times New Roman" w:hAnsi="Times New Roman" w:cs="Times New Roman"/>
          <w:color w:val="0000FF"/>
          <w:sz w:val="28"/>
          <w:szCs w:val="28"/>
          <w:u w:val="single"/>
        </w:rPr>
        <w:t>.</w:t>
      </w:r>
      <w:r w:rsidRPr="00EC5135">
        <w:rPr>
          <w:rFonts w:ascii="Times New Roman" w:hAnsi="Times New Roman" w:cs="Times New Roman"/>
          <w:sz w:val="28"/>
          <w:szCs w:val="28"/>
        </w:rPr>
        <w:t xml:space="preserve"> </w:t>
      </w:r>
    </w:p>
    <w:p w14:paraId="598EA2FB" w14:textId="77777777" w:rsidR="003F4CFF" w:rsidRPr="00EC5135" w:rsidRDefault="003F4CFF" w:rsidP="003F4CFF">
      <w:pPr>
        <w:ind w:firstLine="709"/>
        <w:jc w:val="both"/>
        <w:rPr>
          <w:rFonts w:ascii="Times New Roman" w:hAnsi="Times New Roman" w:cs="Times New Roman"/>
          <w:sz w:val="28"/>
          <w:szCs w:val="28"/>
        </w:rPr>
      </w:pPr>
    </w:p>
    <w:p w14:paraId="500F4E79" w14:textId="77777777" w:rsidR="003F4CFF" w:rsidRPr="008C1EC5" w:rsidRDefault="003F4CFF" w:rsidP="003F4CFF">
      <w:pPr>
        <w:jc w:val="both"/>
        <w:rPr>
          <w:rFonts w:ascii="Times New Roman" w:hAnsi="Times New Roman" w:cs="Times New Roman"/>
          <w:sz w:val="28"/>
          <w:szCs w:val="28"/>
          <w:lang w:eastAsia="en-US"/>
        </w:rPr>
      </w:pPr>
      <w:r w:rsidRPr="00BF7B1F">
        <w:rPr>
          <w:rFonts w:ascii="Times New Roman" w:hAnsi="Times New Roman" w:cs="Times New Roman"/>
          <w:sz w:val="28"/>
          <w:szCs w:val="28"/>
        </w:rPr>
        <w:t>Таблица 11 – Структура</w:t>
      </w:r>
      <w:r w:rsidRPr="008C1EC5">
        <w:rPr>
          <w:rFonts w:ascii="Times New Roman" w:hAnsi="Times New Roman" w:cs="Times New Roman"/>
          <w:sz w:val="28"/>
          <w:szCs w:val="28"/>
        </w:rPr>
        <w:t xml:space="preserve"> субъектов предпринимательской деятельности, принявших участие в опросе</w:t>
      </w:r>
    </w:p>
    <w:tbl>
      <w:tblPr>
        <w:tblW w:w="5000" w:type="pct"/>
        <w:tblBorders>
          <w:top w:val="single" w:sz="4" w:space="0" w:color="7F7F7F"/>
          <w:bottom w:val="single" w:sz="4" w:space="0" w:color="7F7F7F"/>
        </w:tblBorders>
        <w:tblLook w:val="04A0" w:firstRow="1" w:lastRow="0" w:firstColumn="1" w:lastColumn="0" w:noHBand="0" w:noVBand="1"/>
      </w:tblPr>
      <w:tblGrid>
        <w:gridCol w:w="2894"/>
        <w:gridCol w:w="3981"/>
        <w:gridCol w:w="1596"/>
        <w:gridCol w:w="1450"/>
      </w:tblGrid>
      <w:tr w:rsidR="003F4CFF" w:rsidRPr="0018206D" w14:paraId="23D2C694" w14:textId="77777777" w:rsidTr="00A12C43">
        <w:trPr>
          <w:cantSplit/>
          <w:trHeight w:val="20"/>
          <w:tblHeader/>
        </w:trPr>
        <w:tc>
          <w:tcPr>
            <w:tcW w:w="1458" w:type="pct"/>
            <w:tcBorders>
              <w:top w:val="single" w:sz="4" w:space="0" w:color="auto"/>
              <w:left w:val="nil"/>
              <w:bottom w:val="single" w:sz="4" w:space="0" w:color="7F7F7F"/>
              <w:right w:val="nil"/>
            </w:tcBorders>
            <w:shd w:val="clear" w:color="auto" w:fill="auto"/>
            <w:hideMark/>
          </w:tcPr>
          <w:p w14:paraId="7642693F" w14:textId="77777777" w:rsidR="003F4CFF" w:rsidRPr="0018206D" w:rsidRDefault="003F4CFF" w:rsidP="003F4CFF">
            <w:pPr>
              <w:rPr>
                <w:rFonts w:ascii="Times New Roman" w:eastAsia="Times New Roman" w:hAnsi="Times New Roman" w:cs="Times New Roman"/>
                <w:bCs/>
                <w:sz w:val="18"/>
                <w:szCs w:val="18"/>
              </w:rPr>
            </w:pPr>
          </w:p>
        </w:tc>
        <w:tc>
          <w:tcPr>
            <w:tcW w:w="2006" w:type="pct"/>
            <w:tcBorders>
              <w:top w:val="single" w:sz="4" w:space="0" w:color="auto"/>
              <w:left w:val="nil"/>
              <w:bottom w:val="single" w:sz="4" w:space="0" w:color="7F7F7F"/>
              <w:right w:val="nil"/>
            </w:tcBorders>
            <w:shd w:val="clear" w:color="auto" w:fill="auto"/>
            <w:hideMark/>
          </w:tcPr>
          <w:p w14:paraId="6CCC884D" w14:textId="77777777" w:rsidR="003F4CFF" w:rsidRPr="0018206D" w:rsidRDefault="003F4CFF" w:rsidP="003F4CFF">
            <w:pPr>
              <w:rPr>
                <w:rFonts w:ascii="Times New Roman" w:eastAsia="Times New Roman" w:hAnsi="Times New Roman" w:cs="Times New Roman"/>
                <w:bCs/>
                <w:sz w:val="18"/>
                <w:szCs w:val="18"/>
              </w:rPr>
            </w:pPr>
          </w:p>
        </w:tc>
        <w:tc>
          <w:tcPr>
            <w:tcW w:w="804" w:type="pct"/>
            <w:tcBorders>
              <w:top w:val="single" w:sz="4" w:space="0" w:color="auto"/>
              <w:left w:val="nil"/>
              <w:bottom w:val="single" w:sz="4" w:space="0" w:color="7F7F7F"/>
              <w:right w:val="nil"/>
            </w:tcBorders>
            <w:shd w:val="clear" w:color="auto" w:fill="auto"/>
            <w:hideMark/>
          </w:tcPr>
          <w:p w14:paraId="7D95D9E5" w14:textId="77777777" w:rsidR="003F4CFF" w:rsidRPr="0018206D" w:rsidRDefault="003F4CFF" w:rsidP="003F4CFF">
            <w:pPr>
              <w:rPr>
                <w:rFonts w:ascii="Times New Roman" w:eastAsia="Times New Roman" w:hAnsi="Times New Roman" w:cs="Times New Roman"/>
                <w:bCs/>
                <w:sz w:val="18"/>
                <w:szCs w:val="18"/>
              </w:rPr>
            </w:pPr>
            <w:r w:rsidRPr="0018206D">
              <w:rPr>
                <w:rFonts w:ascii="Times New Roman" w:eastAsia="Times New Roman" w:hAnsi="Times New Roman" w:cs="Times New Roman"/>
                <w:bCs/>
                <w:sz w:val="18"/>
                <w:szCs w:val="18"/>
              </w:rPr>
              <w:t>Количество респондентов</w:t>
            </w:r>
          </w:p>
        </w:tc>
        <w:tc>
          <w:tcPr>
            <w:tcW w:w="731" w:type="pct"/>
            <w:tcBorders>
              <w:top w:val="single" w:sz="4" w:space="0" w:color="auto"/>
              <w:left w:val="nil"/>
              <w:bottom w:val="single" w:sz="4" w:space="0" w:color="7F7F7F"/>
              <w:right w:val="nil"/>
            </w:tcBorders>
            <w:shd w:val="clear" w:color="auto" w:fill="auto"/>
            <w:hideMark/>
          </w:tcPr>
          <w:p w14:paraId="78D523FE" w14:textId="77777777" w:rsidR="003F4CFF" w:rsidRPr="0018206D" w:rsidRDefault="003F4CFF" w:rsidP="003F4CFF">
            <w:pPr>
              <w:rPr>
                <w:rFonts w:ascii="Times New Roman" w:eastAsia="Times New Roman" w:hAnsi="Times New Roman" w:cs="Times New Roman"/>
                <w:bCs/>
                <w:sz w:val="18"/>
                <w:szCs w:val="18"/>
              </w:rPr>
            </w:pPr>
            <w:r w:rsidRPr="0018206D">
              <w:rPr>
                <w:rFonts w:ascii="Times New Roman" w:eastAsia="Times New Roman" w:hAnsi="Times New Roman" w:cs="Times New Roman"/>
                <w:bCs/>
                <w:sz w:val="18"/>
                <w:szCs w:val="18"/>
              </w:rPr>
              <w:t>% от числа опрошенных</w:t>
            </w:r>
          </w:p>
        </w:tc>
      </w:tr>
      <w:tr w:rsidR="003F4CFF" w:rsidRPr="0018206D" w14:paraId="02BDED72" w14:textId="77777777" w:rsidTr="00A12C43">
        <w:trPr>
          <w:cantSplit/>
          <w:trHeight w:val="20"/>
        </w:trPr>
        <w:tc>
          <w:tcPr>
            <w:tcW w:w="1458" w:type="pct"/>
            <w:vMerge w:val="restart"/>
            <w:tcBorders>
              <w:top w:val="single" w:sz="4" w:space="0" w:color="7F7F7F"/>
              <w:left w:val="nil"/>
              <w:bottom w:val="single" w:sz="4" w:space="0" w:color="7F7F7F"/>
              <w:right w:val="nil"/>
            </w:tcBorders>
            <w:shd w:val="clear" w:color="auto" w:fill="auto"/>
            <w:hideMark/>
          </w:tcPr>
          <w:p w14:paraId="6818E69E" w14:textId="77777777" w:rsidR="003F4CFF" w:rsidRPr="0018206D" w:rsidRDefault="003F4CFF" w:rsidP="003F4CFF">
            <w:pPr>
              <w:rPr>
                <w:rFonts w:ascii="Times New Roman" w:eastAsia="Times New Roman" w:hAnsi="Times New Roman" w:cs="Times New Roman"/>
                <w:bCs/>
                <w:sz w:val="18"/>
                <w:szCs w:val="18"/>
              </w:rPr>
            </w:pPr>
            <w:r w:rsidRPr="0018206D">
              <w:rPr>
                <w:rFonts w:ascii="Times New Roman" w:eastAsia="Times New Roman" w:hAnsi="Times New Roman" w:cs="Times New Roman"/>
                <w:bCs/>
                <w:sz w:val="18"/>
                <w:szCs w:val="18"/>
              </w:rPr>
              <w:t>ПЕРИОД ОСУЩЕСТВЛЕНИЯ ДЕЯТЕЛЬНОСТИ ОРГАНИЗАЦИИ</w:t>
            </w:r>
          </w:p>
        </w:tc>
        <w:tc>
          <w:tcPr>
            <w:tcW w:w="2006" w:type="pct"/>
            <w:tcBorders>
              <w:top w:val="single" w:sz="4" w:space="0" w:color="7F7F7F"/>
              <w:left w:val="nil"/>
              <w:bottom w:val="single" w:sz="4" w:space="0" w:color="7F7F7F"/>
              <w:right w:val="nil"/>
            </w:tcBorders>
            <w:shd w:val="clear" w:color="auto" w:fill="auto"/>
            <w:hideMark/>
          </w:tcPr>
          <w:p w14:paraId="1E5426D9" w14:textId="77777777" w:rsidR="003F4CFF" w:rsidRPr="0018206D" w:rsidRDefault="003F4CFF" w:rsidP="003F4CFF">
            <w:pPr>
              <w:rPr>
                <w:rFonts w:ascii="Times New Roman" w:eastAsia="Times New Roman" w:hAnsi="Times New Roman" w:cs="Times New Roman"/>
                <w:sz w:val="18"/>
                <w:szCs w:val="18"/>
              </w:rPr>
            </w:pPr>
            <w:r w:rsidRPr="0018206D">
              <w:rPr>
                <w:rFonts w:ascii="Times New Roman" w:eastAsia="Times New Roman" w:hAnsi="Times New Roman" w:cs="Times New Roman"/>
                <w:sz w:val="18"/>
                <w:szCs w:val="18"/>
              </w:rPr>
              <w:t>Менее 3 лет</w:t>
            </w:r>
          </w:p>
        </w:tc>
        <w:tc>
          <w:tcPr>
            <w:tcW w:w="804" w:type="pct"/>
            <w:tcBorders>
              <w:top w:val="single" w:sz="4" w:space="0" w:color="7F7F7F"/>
              <w:left w:val="nil"/>
              <w:bottom w:val="single" w:sz="4" w:space="0" w:color="7F7F7F"/>
              <w:right w:val="nil"/>
            </w:tcBorders>
            <w:shd w:val="clear" w:color="auto" w:fill="auto"/>
            <w:hideMark/>
          </w:tcPr>
          <w:p w14:paraId="1D631871" w14:textId="77777777" w:rsidR="003F4CFF" w:rsidRPr="0018206D" w:rsidRDefault="003F4CFF" w:rsidP="003F4CFF">
            <w:pPr>
              <w:rPr>
                <w:rFonts w:ascii="Times New Roman" w:eastAsia="Times New Roman" w:hAnsi="Times New Roman" w:cs="Times New Roman"/>
                <w:sz w:val="18"/>
                <w:szCs w:val="18"/>
              </w:rPr>
            </w:pPr>
            <w:r w:rsidRPr="0018206D">
              <w:rPr>
                <w:rFonts w:ascii="Times New Roman" w:eastAsia="Times New Roman" w:hAnsi="Times New Roman" w:cs="Times New Roman"/>
                <w:sz w:val="18"/>
                <w:szCs w:val="18"/>
              </w:rPr>
              <w:t>92</w:t>
            </w:r>
          </w:p>
        </w:tc>
        <w:tc>
          <w:tcPr>
            <w:tcW w:w="731" w:type="pct"/>
            <w:tcBorders>
              <w:top w:val="single" w:sz="4" w:space="0" w:color="7F7F7F"/>
              <w:left w:val="nil"/>
              <w:bottom w:val="single" w:sz="4" w:space="0" w:color="7F7F7F"/>
              <w:right w:val="nil"/>
            </w:tcBorders>
            <w:shd w:val="clear" w:color="auto" w:fill="auto"/>
            <w:hideMark/>
          </w:tcPr>
          <w:p w14:paraId="7DAD7712" w14:textId="77777777" w:rsidR="003F4CFF" w:rsidRPr="0018206D" w:rsidRDefault="003F4CFF" w:rsidP="003F4CFF">
            <w:pPr>
              <w:rPr>
                <w:rFonts w:ascii="Times New Roman" w:eastAsia="Times New Roman" w:hAnsi="Times New Roman" w:cs="Times New Roman"/>
                <w:sz w:val="18"/>
                <w:szCs w:val="18"/>
              </w:rPr>
            </w:pPr>
            <w:r w:rsidRPr="0018206D">
              <w:rPr>
                <w:rFonts w:ascii="Times New Roman" w:eastAsia="Times New Roman" w:hAnsi="Times New Roman" w:cs="Times New Roman"/>
                <w:sz w:val="18"/>
                <w:szCs w:val="18"/>
              </w:rPr>
              <w:t>5,4%</w:t>
            </w:r>
          </w:p>
        </w:tc>
      </w:tr>
      <w:tr w:rsidR="003F4CFF" w:rsidRPr="0018206D" w14:paraId="5A655E15"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4B4AE44A"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1324B55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От 3 до 5 лет</w:t>
            </w:r>
          </w:p>
        </w:tc>
        <w:tc>
          <w:tcPr>
            <w:tcW w:w="804" w:type="pct"/>
            <w:tcBorders>
              <w:top w:val="nil"/>
              <w:left w:val="nil"/>
              <w:bottom w:val="nil"/>
              <w:right w:val="nil"/>
            </w:tcBorders>
            <w:shd w:val="clear" w:color="auto" w:fill="auto"/>
            <w:hideMark/>
          </w:tcPr>
          <w:p w14:paraId="024E906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387</w:t>
            </w:r>
          </w:p>
        </w:tc>
        <w:tc>
          <w:tcPr>
            <w:tcW w:w="731" w:type="pct"/>
            <w:tcBorders>
              <w:top w:val="nil"/>
              <w:left w:val="nil"/>
              <w:bottom w:val="nil"/>
              <w:right w:val="nil"/>
            </w:tcBorders>
            <w:shd w:val="clear" w:color="auto" w:fill="auto"/>
            <w:hideMark/>
          </w:tcPr>
          <w:p w14:paraId="1B0643D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22,8%</w:t>
            </w:r>
          </w:p>
        </w:tc>
      </w:tr>
      <w:tr w:rsidR="003F4CFF" w:rsidRPr="0018206D" w14:paraId="2C089FC9"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7DD72756"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420D1B0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Более 5 лет</w:t>
            </w:r>
          </w:p>
        </w:tc>
        <w:tc>
          <w:tcPr>
            <w:tcW w:w="804" w:type="pct"/>
            <w:tcBorders>
              <w:top w:val="single" w:sz="4" w:space="0" w:color="7F7F7F"/>
              <w:left w:val="nil"/>
              <w:bottom w:val="single" w:sz="4" w:space="0" w:color="7F7F7F"/>
              <w:right w:val="nil"/>
            </w:tcBorders>
            <w:shd w:val="clear" w:color="auto" w:fill="auto"/>
            <w:hideMark/>
          </w:tcPr>
          <w:p w14:paraId="0BD2E77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1221</w:t>
            </w:r>
          </w:p>
        </w:tc>
        <w:tc>
          <w:tcPr>
            <w:tcW w:w="731" w:type="pct"/>
            <w:tcBorders>
              <w:top w:val="single" w:sz="4" w:space="0" w:color="7F7F7F"/>
              <w:left w:val="nil"/>
              <w:bottom w:val="single" w:sz="4" w:space="0" w:color="7F7F7F"/>
              <w:right w:val="nil"/>
            </w:tcBorders>
            <w:shd w:val="clear" w:color="auto" w:fill="auto"/>
            <w:hideMark/>
          </w:tcPr>
          <w:p w14:paraId="35056BE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71,8%</w:t>
            </w:r>
          </w:p>
        </w:tc>
      </w:tr>
      <w:tr w:rsidR="003F4CFF" w:rsidRPr="0018206D" w14:paraId="18198515" w14:textId="77777777" w:rsidTr="00A12C43">
        <w:trPr>
          <w:cantSplit/>
          <w:trHeight w:val="20"/>
        </w:trPr>
        <w:tc>
          <w:tcPr>
            <w:tcW w:w="1458" w:type="pct"/>
            <w:vMerge w:val="restart"/>
            <w:tcBorders>
              <w:top w:val="nil"/>
              <w:left w:val="nil"/>
              <w:bottom w:val="single" w:sz="4" w:space="0" w:color="7F7F7F"/>
              <w:right w:val="nil"/>
            </w:tcBorders>
            <w:shd w:val="clear" w:color="auto" w:fill="auto"/>
            <w:hideMark/>
          </w:tcPr>
          <w:p w14:paraId="61E69DF6" w14:textId="77777777" w:rsidR="003F4CFF" w:rsidRPr="0018206D" w:rsidRDefault="003F4CFF" w:rsidP="003F4CFF">
            <w:pPr>
              <w:rPr>
                <w:rFonts w:ascii="Times New Roman" w:eastAsia="Times New Roman" w:hAnsi="Times New Roman" w:cs="Times New Roman"/>
                <w:bCs/>
                <w:color w:val="000000"/>
                <w:sz w:val="18"/>
                <w:szCs w:val="18"/>
              </w:rPr>
            </w:pPr>
            <w:r w:rsidRPr="0018206D">
              <w:rPr>
                <w:rFonts w:ascii="Times New Roman" w:eastAsia="Times New Roman" w:hAnsi="Times New Roman" w:cs="Times New Roman"/>
                <w:bCs/>
                <w:color w:val="000000"/>
                <w:sz w:val="18"/>
                <w:szCs w:val="18"/>
              </w:rPr>
              <w:t>ВЕЛИЧИНА ПРЕДПРИЯТИЯ</w:t>
            </w:r>
          </w:p>
        </w:tc>
        <w:tc>
          <w:tcPr>
            <w:tcW w:w="2006" w:type="pct"/>
            <w:tcBorders>
              <w:top w:val="nil"/>
              <w:left w:val="nil"/>
              <w:bottom w:val="nil"/>
              <w:right w:val="nil"/>
            </w:tcBorders>
            <w:shd w:val="clear" w:color="auto" w:fill="auto"/>
            <w:hideMark/>
          </w:tcPr>
          <w:p w14:paraId="6746CC3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Микропредприятие (до 15 человек)</w:t>
            </w:r>
          </w:p>
        </w:tc>
        <w:tc>
          <w:tcPr>
            <w:tcW w:w="804" w:type="pct"/>
            <w:tcBorders>
              <w:top w:val="nil"/>
              <w:left w:val="nil"/>
              <w:bottom w:val="nil"/>
              <w:right w:val="nil"/>
            </w:tcBorders>
            <w:shd w:val="clear" w:color="auto" w:fill="auto"/>
            <w:hideMark/>
          </w:tcPr>
          <w:p w14:paraId="22146E3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973</w:t>
            </w:r>
          </w:p>
        </w:tc>
        <w:tc>
          <w:tcPr>
            <w:tcW w:w="731" w:type="pct"/>
            <w:tcBorders>
              <w:top w:val="nil"/>
              <w:left w:val="nil"/>
              <w:bottom w:val="nil"/>
              <w:right w:val="nil"/>
            </w:tcBorders>
            <w:shd w:val="clear" w:color="auto" w:fill="auto"/>
            <w:hideMark/>
          </w:tcPr>
          <w:p w14:paraId="04D5C5F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57,2%</w:t>
            </w:r>
          </w:p>
        </w:tc>
      </w:tr>
      <w:tr w:rsidR="003F4CFF" w:rsidRPr="0018206D" w14:paraId="0B32FD6A"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26132802"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47F2A31A"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Малое предприятие (от 15 до 100 человек)</w:t>
            </w:r>
          </w:p>
        </w:tc>
        <w:tc>
          <w:tcPr>
            <w:tcW w:w="804" w:type="pct"/>
            <w:tcBorders>
              <w:top w:val="single" w:sz="4" w:space="0" w:color="7F7F7F"/>
              <w:left w:val="nil"/>
              <w:bottom w:val="single" w:sz="4" w:space="0" w:color="7F7F7F"/>
              <w:right w:val="nil"/>
            </w:tcBorders>
            <w:shd w:val="clear" w:color="auto" w:fill="auto"/>
            <w:hideMark/>
          </w:tcPr>
          <w:p w14:paraId="4267F62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569</w:t>
            </w:r>
          </w:p>
        </w:tc>
        <w:tc>
          <w:tcPr>
            <w:tcW w:w="731" w:type="pct"/>
            <w:tcBorders>
              <w:top w:val="single" w:sz="4" w:space="0" w:color="7F7F7F"/>
              <w:left w:val="nil"/>
              <w:bottom w:val="single" w:sz="4" w:space="0" w:color="7F7F7F"/>
              <w:right w:val="nil"/>
            </w:tcBorders>
            <w:shd w:val="clear" w:color="auto" w:fill="auto"/>
            <w:hideMark/>
          </w:tcPr>
          <w:p w14:paraId="295A607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33,5%</w:t>
            </w:r>
          </w:p>
        </w:tc>
      </w:tr>
      <w:tr w:rsidR="003F4CFF" w:rsidRPr="0018206D" w14:paraId="20D88E8D"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3E30729F"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63AA108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Среднее предприятие (от 101 до 250 человек)</w:t>
            </w:r>
          </w:p>
        </w:tc>
        <w:tc>
          <w:tcPr>
            <w:tcW w:w="804" w:type="pct"/>
            <w:tcBorders>
              <w:top w:val="nil"/>
              <w:left w:val="nil"/>
              <w:bottom w:val="nil"/>
              <w:right w:val="nil"/>
            </w:tcBorders>
            <w:shd w:val="clear" w:color="auto" w:fill="auto"/>
            <w:hideMark/>
          </w:tcPr>
          <w:p w14:paraId="0E4A0CC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91</w:t>
            </w:r>
          </w:p>
        </w:tc>
        <w:tc>
          <w:tcPr>
            <w:tcW w:w="731" w:type="pct"/>
            <w:tcBorders>
              <w:top w:val="nil"/>
              <w:left w:val="nil"/>
              <w:bottom w:val="nil"/>
              <w:right w:val="nil"/>
            </w:tcBorders>
            <w:shd w:val="clear" w:color="auto" w:fill="auto"/>
            <w:hideMark/>
          </w:tcPr>
          <w:p w14:paraId="49D8E51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5,4%</w:t>
            </w:r>
          </w:p>
        </w:tc>
      </w:tr>
      <w:tr w:rsidR="003F4CFF" w:rsidRPr="0018206D" w14:paraId="085B2B49"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2EE174BD"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1A48555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Крупное предприятие (свыше 250 человек)</w:t>
            </w:r>
          </w:p>
        </w:tc>
        <w:tc>
          <w:tcPr>
            <w:tcW w:w="804" w:type="pct"/>
            <w:tcBorders>
              <w:top w:val="single" w:sz="4" w:space="0" w:color="7F7F7F"/>
              <w:left w:val="nil"/>
              <w:bottom w:val="single" w:sz="4" w:space="0" w:color="7F7F7F"/>
              <w:right w:val="nil"/>
            </w:tcBorders>
            <w:shd w:val="clear" w:color="auto" w:fill="auto"/>
            <w:hideMark/>
          </w:tcPr>
          <w:p w14:paraId="63FFE7C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67</w:t>
            </w:r>
          </w:p>
        </w:tc>
        <w:tc>
          <w:tcPr>
            <w:tcW w:w="731" w:type="pct"/>
            <w:tcBorders>
              <w:top w:val="single" w:sz="4" w:space="0" w:color="7F7F7F"/>
              <w:left w:val="nil"/>
              <w:bottom w:val="single" w:sz="4" w:space="0" w:color="7F7F7F"/>
              <w:right w:val="nil"/>
            </w:tcBorders>
            <w:shd w:val="clear" w:color="auto" w:fill="auto"/>
            <w:hideMark/>
          </w:tcPr>
          <w:p w14:paraId="6B6B244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3,9%</w:t>
            </w:r>
          </w:p>
        </w:tc>
      </w:tr>
      <w:tr w:rsidR="003F4CFF" w:rsidRPr="0018206D" w14:paraId="2C28954E" w14:textId="77777777" w:rsidTr="00A12C43">
        <w:trPr>
          <w:cantSplit/>
          <w:trHeight w:val="20"/>
        </w:trPr>
        <w:tc>
          <w:tcPr>
            <w:tcW w:w="1458" w:type="pct"/>
            <w:vMerge w:val="restart"/>
            <w:tcBorders>
              <w:top w:val="nil"/>
              <w:left w:val="nil"/>
              <w:bottom w:val="single" w:sz="4" w:space="0" w:color="7F7F7F"/>
              <w:right w:val="nil"/>
            </w:tcBorders>
            <w:shd w:val="clear" w:color="auto" w:fill="auto"/>
            <w:hideMark/>
          </w:tcPr>
          <w:p w14:paraId="2C983642" w14:textId="77777777" w:rsidR="003F4CFF" w:rsidRPr="0018206D" w:rsidRDefault="003F4CFF" w:rsidP="003F4CFF">
            <w:pPr>
              <w:rPr>
                <w:rFonts w:ascii="Times New Roman" w:eastAsia="Times New Roman" w:hAnsi="Times New Roman" w:cs="Times New Roman"/>
                <w:bCs/>
                <w:color w:val="000000"/>
                <w:sz w:val="18"/>
                <w:szCs w:val="18"/>
              </w:rPr>
            </w:pPr>
            <w:r w:rsidRPr="0018206D">
              <w:rPr>
                <w:rFonts w:ascii="Times New Roman" w:eastAsia="Times New Roman" w:hAnsi="Times New Roman" w:cs="Times New Roman"/>
                <w:bCs/>
                <w:color w:val="000000"/>
                <w:sz w:val="18"/>
                <w:szCs w:val="18"/>
              </w:rPr>
              <w:t>ОРГАНИЗАЦИОННО-ПРАВОВАЯ ФОРМА</w:t>
            </w:r>
          </w:p>
        </w:tc>
        <w:tc>
          <w:tcPr>
            <w:tcW w:w="2006" w:type="pct"/>
            <w:tcBorders>
              <w:top w:val="nil"/>
              <w:left w:val="nil"/>
              <w:bottom w:val="nil"/>
              <w:right w:val="nil"/>
            </w:tcBorders>
            <w:shd w:val="clear" w:color="auto" w:fill="auto"/>
            <w:hideMark/>
          </w:tcPr>
          <w:p w14:paraId="6666584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Открытое акционерное общество</w:t>
            </w:r>
          </w:p>
        </w:tc>
        <w:tc>
          <w:tcPr>
            <w:tcW w:w="804" w:type="pct"/>
            <w:tcBorders>
              <w:top w:val="nil"/>
              <w:left w:val="nil"/>
              <w:bottom w:val="nil"/>
              <w:right w:val="nil"/>
            </w:tcBorders>
            <w:shd w:val="clear" w:color="auto" w:fill="auto"/>
            <w:hideMark/>
          </w:tcPr>
          <w:p w14:paraId="7F5618A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150</w:t>
            </w:r>
          </w:p>
        </w:tc>
        <w:tc>
          <w:tcPr>
            <w:tcW w:w="731" w:type="pct"/>
            <w:tcBorders>
              <w:top w:val="nil"/>
              <w:left w:val="nil"/>
              <w:bottom w:val="nil"/>
              <w:right w:val="nil"/>
            </w:tcBorders>
            <w:shd w:val="clear" w:color="auto" w:fill="auto"/>
            <w:hideMark/>
          </w:tcPr>
          <w:p w14:paraId="24FD801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8,8%</w:t>
            </w:r>
          </w:p>
        </w:tc>
      </w:tr>
      <w:tr w:rsidR="003F4CFF" w:rsidRPr="0018206D" w14:paraId="044A302F"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2BF490BA"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6060FCA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Закрытое акционерное общество</w:t>
            </w:r>
          </w:p>
        </w:tc>
        <w:tc>
          <w:tcPr>
            <w:tcW w:w="804" w:type="pct"/>
            <w:tcBorders>
              <w:top w:val="single" w:sz="4" w:space="0" w:color="7F7F7F"/>
              <w:left w:val="nil"/>
              <w:bottom w:val="single" w:sz="4" w:space="0" w:color="7F7F7F"/>
              <w:right w:val="nil"/>
            </w:tcBorders>
            <w:shd w:val="clear" w:color="auto" w:fill="auto"/>
            <w:hideMark/>
          </w:tcPr>
          <w:p w14:paraId="03CA28C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26</w:t>
            </w:r>
          </w:p>
        </w:tc>
        <w:tc>
          <w:tcPr>
            <w:tcW w:w="731" w:type="pct"/>
            <w:tcBorders>
              <w:top w:val="single" w:sz="4" w:space="0" w:color="7F7F7F"/>
              <w:left w:val="nil"/>
              <w:bottom w:val="single" w:sz="4" w:space="0" w:color="7F7F7F"/>
              <w:right w:val="nil"/>
            </w:tcBorders>
            <w:shd w:val="clear" w:color="auto" w:fill="auto"/>
            <w:hideMark/>
          </w:tcPr>
          <w:p w14:paraId="7D8C23E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1,5%</w:t>
            </w:r>
          </w:p>
        </w:tc>
      </w:tr>
      <w:tr w:rsidR="003F4CFF" w:rsidRPr="0018206D" w14:paraId="47145C91"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2D2737D8"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549618D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Общество с ограниченной ответственностью</w:t>
            </w:r>
          </w:p>
        </w:tc>
        <w:tc>
          <w:tcPr>
            <w:tcW w:w="804" w:type="pct"/>
            <w:tcBorders>
              <w:top w:val="nil"/>
              <w:left w:val="nil"/>
              <w:bottom w:val="nil"/>
              <w:right w:val="nil"/>
            </w:tcBorders>
            <w:shd w:val="clear" w:color="auto" w:fill="auto"/>
            <w:hideMark/>
          </w:tcPr>
          <w:p w14:paraId="1D447D0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977</w:t>
            </w:r>
          </w:p>
        </w:tc>
        <w:tc>
          <w:tcPr>
            <w:tcW w:w="731" w:type="pct"/>
            <w:tcBorders>
              <w:top w:val="nil"/>
              <w:left w:val="nil"/>
              <w:bottom w:val="nil"/>
              <w:right w:val="nil"/>
            </w:tcBorders>
            <w:shd w:val="clear" w:color="auto" w:fill="auto"/>
            <w:hideMark/>
          </w:tcPr>
          <w:p w14:paraId="677D257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57,5%</w:t>
            </w:r>
          </w:p>
        </w:tc>
      </w:tr>
      <w:tr w:rsidR="003F4CFF" w:rsidRPr="0018206D" w14:paraId="19703C5E"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733001F0"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13C7372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Индивидуальный предприниматель</w:t>
            </w:r>
          </w:p>
        </w:tc>
        <w:tc>
          <w:tcPr>
            <w:tcW w:w="804" w:type="pct"/>
            <w:tcBorders>
              <w:top w:val="single" w:sz="4" w:space="0" w:color="7F7F7F"/>
              <w:left w:val="nil"/>
              <w:bottom w:val="single" w:sz="4" w:space="0" w:color="7F7F7F"/>
              <w:right w:val="nil"/>
            </w:tcBorders>
            <w:shd w:val="clear" w:color="auto" w:fill="auto"/>
            <w:hideMark/>
          </w:tcPr>
          <w:p w14:paraId="5C9C448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259</w:t>
            </w:r>
          </w:p>
        </w:tc>
        <w:tc>
          <w:tcPr>
            <w:tcW w:w="731" w:type="pct"/>
            <w:tcBorders>
              <w:top w:val="single" w:sz="4" w:space="0" w:color="7F7F7F"/>
              <w:left w:val="nil"/>
              <w:bottom w:val="single" w:sz="4" w:space="0" w:color="7F7F7F"/>
              <w:right w:val="nil"/>
            </w:tcBorders>
            <w:shd w:val="clear" w:color="auto" w:fill="auto"/>
            <w:hideMark/>
          </w:tcPr>
          <w:p w14:paraId="71FD31E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15,2%</w:t>
            </w:r>
          </w:p>
        </w:tc>
      </w:tr>
      <w:tr w:rsidR="003F4CFF" w:rsidRPr="0018206D" w14:paraId="37FBC2BD"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01C8A6B6"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09B04F5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Коммандитное товарищество</w:t>
            </w:r>
          </w:p>
        </w:tc>
        <w:tc>
          <w:tcPr>
            <w:tcW w:w="804" w:type="pct"/>
            <w:tcBorders>
              <w:top w:val="nil"/>
              <w:left w:val="nil"/>
              <w:bottom w:val="nil"/>
              <w:right w:val="nil"/>
            </w:tcBorders>
            <w:shd w:val="clear" w:color="auto" w:fill="auto"/>
            <w:hideMark/>
          </w:tcPr>
          <w:p w14:paraId="4BDF769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w:t>
            </w:r>
          </w:p>
        </w:tc>
        <w:tc>
          <w:tcPr>
            <w:tcW w:w="731" w:type="pct"/>
            <w:tcBorders>
              <w:top w:val="nil"/>
              <w:left w:val="nil"/>
              <w:bottom w:val="nil"/>
              <w:right w:val="nil"/>
            </w:tcBorders>
            <w:shd w:val="clear" w:color="auto" w:fill="auto"/>
            <w:hideMark/>
          </w:tcPr>
          <w:p w14:paraId="56D4ACF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0,1%</w:t>
            </w:r>
          </w:p>
        </w:tc>
      </w:tr>
      <w:tr w:rsidR="003F4CFF" w:rsidRPr="0018206D" w14:paraId="2AE1FE81"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506AAC0B"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2757049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Полное товарищество</w:t>
            </w:r>
          </w:p>
        </w:tc>
        <w:tc>
          <w:tcPr>
            <w:tcW w:w="804" w:type="pct"/>
            <w:tcBorders>
              <w:top w:val="single" w:sz="4" w:space="0" w:color="7F7F7F"/>
              <w:left w:val="nil"/>
              <w:bottom w:val="single" w:sz="4" w:space="0" w:color="7F7F7F"/>
              <w:right w:val="nil"/>
            </w:tcBorders>
            <w:shd w:val="clear" w:color="auto" w:fill="auto"/>
            <w:hideMark/>
          </w:tcPr>
          <w:p w14:paraId="5058634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w:t>
            </w:r>
          </w:p>
        </w:tc>
        <w:tc>
          <w:tcPr>
            <w:tcW w:w="731" w:type="pct"/>
            <w:tcBorders>
              <w:top w:val="single" w:sz="4" w:space="0" w:color="7F7F7F"/>
              <w:left w:val="nil"/>
              <w:bottom w:val="single" w:sz="4" w:space="0" w:color="7F7F7F"/>
              <w:right w:val="nil"/>
            </w:tcBorders>
            <w:shd w:val="clear" w:color="auto" w:fill="auto"/>
            <w:hideMark/>
          </w:tcPr>
          <w:p w14:paraId="69E5AB1A"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0,2%</w:t>
            </w:r>
          </w:p>
        </w:tc>
      </w:tr>
      <w:tr w:rsidR="003F4CFF" w:rsidRPr="0018206D" w14:paraId="2A16BC5C"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3AED7095"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4204D62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Затрудняюсь ответить, отказ</w:t>
            </w:r>
          </w:p>
        </w:tc>
        <w:tc>
          <w:tcPr>
            <w:tcW w:w="804" w:type="pct"/>
            <w:tcBorders>
              <w:top w:val="nil"/>
              <w:left w:val="nil"/>
              <w:bottom w:val="nil"/>
              <w:right w:val="nil"/>
            </w:tcBorders>
            <w:shd w:val="clear" w:color="auto" w:fill="auto"/>
            <w:hideMark/>
          </w:tcPr>
          <w:p w14:paraId="4E99523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71</w:t>
            </w:r>
          </w:p>
        </w:tc>
        <w:tc>
          <w:tcPr>
            <w:tcW w:w="731" w:type="pct"/>
            <w:tcBorders>
              <w:top w:val="nil"/>
              <w:left w:val="nil"/>
              <w:bottom w:val="nil"/>
              <w:right w:val="nil"/>
            </w:tcBorders>
            <w:shd w:val="clear" w:color="auto" w:fill="auto"/>
            <w:hideMark/>
          </w:tcPr>
          <w:p w14:paraId="6AF3E7F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4,2%</w:t>
            </w:r>
          </w:p>
        </w:tc>
      </w:tr>
      <w:tr w:rsidR="003F4CFF" w:rsidRPr="0018206D" w14:paraId="5BE1224A"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4544CFCB"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7BE4655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Муниципальная, государственная организация, казенное учреждение (из строки «Другое»)</w:t>
            </w:r>
          </w:p>
        </w:tc>
        <w:tc>
          <w:tcPr>
            <w:tcW w:w="804" w:type="pct"/>
            <w:tcBorders>
              <w:top w:val="single" w:sz="4" w:space="0" w:color="7F7F7F"/>
              <w:left w:val="nil"/>
              <w:bottom w:val="single" w:sz="4" w:space="0" w:color="7F7F7F"/>
              <w:right w:val="nil"/>
            </w:tcBorders>
            <w:shd w:val="clear" w:color="auto" w:fill="auto"/>
            <w:hideMark/>
          </w:tcPr>
          <w:p w14:paraId="0410256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135</w:t>
            </w:r>
          </w:p>
        </w:tc>
        <w:tc>
          <w:tcPr>
            <w:tcW w:w="731" w:type="pct"/>
            <w:tcBorders>
              <w:top w:val="single" w:sz="4" w:space="0" w:color="7F7F7F"/>
              <w:left w:val="nil"/>
              <w:bottom w:val="single" w:sz="4" w:space="0" w:color="7F7F7F"/>
              <w:right w:val="nil"/>
            </w:tcBorders>
            <w:shd w:val="clear" w:color="auto" w:fill="auto"/>
            <w:hideMark/>
          </w:tcPr>
          <w:p w14:paraId="7A77AAD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7,9%</w:t>
            </w:r>
          </w:p>
        </w:tc>
      </w:tr>
      <w:tr w:rsidR="003F4CFF" w:rsidRPr="0018206D" w14:paraId="3A7138E0"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66ED4F37"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3904E51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НКО, общественная организация (из строки «Другое»)</w:t>
            </w:r>
          </w:p>
        </w:tc>
        <w:tc>
          <w:tcPr>
            <w:tcW w:w="804" w:type="pct"/>
            <w:tcBorders>
              <w:top w:val="nil"/>
              <w:left w:val="nil"/>
              <w:bottom w:val="nil"/>
              <w:right w:val="nil"/>
            </w:tcBorders>
            <w:shd w:val="clear" w:color="auto" w:fill="auto"/>
            <w:hideMark/>
          </w:tcPr>
          <w:p w14:paraId="0BD69E9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20</w:t>
            </w:r>
          </w:p>
        </w:tc>
        <w:tc>
          <w:tcPr>
            <w:tcW w:w="731" w:type="pct"/>
            <w:tcBorders>
              <w:top w:val="nil"/>
              <w:left w:val="nil"/>
              <w:bottom w:val="nil"/>
              <w:right w:val="nil"/>
            </w:tcBorders>
            <w:shd w:val="clear" w:color="auto" w:fill="auto"/>
            <w:hideMark/>
          </w:tcPr>
          <w:p w14:paraId="438E056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1,2%</w:t>
            </w:r>
          </w:p>
        </w:tc>
      </w:tr>
      <w:tr w:rsidR="003F4CFF" w:rsidRPr="0018206D" w14:paraId="2D909589"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249FACAA"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1CAFAD9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КФХ, колхоз (из строки «Другое»)</w:t>
            </w:r>
          </w:p>
        </w:tc>
        <w:tc>
          <w:tcPr>
            <w:tcW w:w="804" w:type="pct"/>
            <w:tcBorders>
              <w:top w:val="single" w:sz="4" w:space="0" w:color="7F7F7F"/>
              <w:left w:val="nil"/>
              <w:bottom w:val="single" w:sz="4" w:space="0" w:color="7F7F7F"/>
              <w:right w:val="nil"/>
            </w:tcBorders>
            <w:shd w:val="clear" w:color="auto" w:fill="auto"/>
            <w:hideMark/>
          </w:tcPr>
          <w:p w14:paraId="1AA2ECF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7</w:t>
            </w:r>
          </w:p>
        </w:tc>
        <w:tc>
          <w:tcPr>
            <w:tcW w:w="731" w:type="pct"/>
            <w:tcBorders>
              <w:top w:val="single" w:sz="4" w:space="0" w:color="7F7F7F"/>
              <w:left w:val="nil"/>
              <w:bottom w:val="single" w:sz="4" w:space="0" w:color="7F7F7F"/>
              <w:right w:val="nil"/>
            </w:tcBorders>
            <w:shd w:val="clear" w:color="auto" w:fill="auto"/>
            <w:hideMark/>
          </w:tcPr>
          <w:p w14:paraId="7769B6A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0,4%</w:t>
            </w:r>
          </w:p>
        </w:tc>
      </w:tr>
      <w:tr w:rsidR="003F4CFF" w:rsidRPr="0018206D" w14:paraId="5B78922B"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1EC5683C"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163C99D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ТСЖ (из строки «Другое»)</w:t>
            </w:r>
          </w:p>
        </w:tc>
        <w:tc>
          <w:tcPr>
            <w:tcW w:w="804" w:type="pct"/>
            <w:tcBorders>
              <w:top w:val="nil"/>
              <w:left w:val="nil"/>
              <w:bottom w:val="nil"/>
              <w:right w:val="nil"/>
            </w:tcBorders>
            <w:shd w:val="clear" w:color="auto" w:fill="auto"/>
            <w:hideMark/>
          </w:tcPr>
          <w:p w14:paraId="2DE7ABD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10</w:t>
            </w:r>
          </w:p>
        </w:tc>
        <w:tc>
          <w:tcPr>
            <w:tcW w:w="731" w:type="pct"/>
            <w:tcBorders>
              <w:top w:val="nil"/>
              <w:left w:val="nil"/>
              <w:bottom w:val="nil"/>
              <w:right w:val="nil"/>
            </w:tcBorders>
            <w:shd w:val="clear" w:color="auto" w:fill="auto"/>
            <w:hideMark/>
          </w:tcPr>
          <w:p w14:paraId="2BB8614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,6%</w:t>
            </w:r>
          </w:p>
        </w:tc>
      </w:tr>
      <w:tr w:rsidR="003F4CFF" w:rsidRPr="0018206D" w14:paraId="79969380" w14:textId="77777777" w:rsidTr="00A12C43">
        <w:trPr>
          <w:cantSplit/>
          <w:trHeight w:val="20"/>
        </w:trPr>
        <w:tc>
          <w:tcPr>
            <w:tcW w:w="1458" w:type="pct"/>
            <w:vMerge/>
            <w:tcBorders>
              <w:top w:val="nil"/>
              <w:left w:val="nil"/>
              <w:bottom w:val="single" w:sz="4" w:space="0" w:color="7F7F7F"/>
              <w:right w:val="nil"/>
            </w:tcBorders>
            <w:shd w:val="clear" w:color="auto" w:fill="auto"/>
            <w:hideMark/>
          </w:tcPr>
          <w:p w14:paraId="3B8C705C"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15BF531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Другое</w:t>
            </w:r>
          </w:p>
        </w:tc>
        <w:tc>
          <w:tcPr>
            <w:tcW w:w="804" w:type="pct"/>
            <w:tcBorders>
              <w:top w:val="single" w:sz="4" w:space="0" w:color="7F7F7F"/>
              <w:left w:val="nil"/>
              <w:bottom w:val="single" w:sz="4" w:space="0" w:color="7F7F7F"/>
              <w:right w:val="nil"/>
            </w:tcBorders>
            <w:shd w:val="clear" w:color="auto" w:fill="auto"/>
            <w:hideMark/>
          </w:tcPr>
          <w:p w14:paraId="67E4434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40</w:t>
            </w:r>
          </w:p>
        </w:tc>
        <w:tc>
          <w:tcPr>
            <w:tcW w:w="731" w:type="pct"/>
            <w:tcBorders>
              <w:top w:val="single" w:sz="4" w:space="0" w:color="7F7F7F"/>
              <w:left w:val="nil"/>
              <w:bottom w:val="single" w:sz="4" w:space="0" w:color="7F7F7F"/>
              <w:right w:val="nil"/>
            </w:tcBorders>
            <w:shd w:val="clear" w:color="auto" w:fill="auto"/>
            <w:hideMark/>
          </w:tcPr>
          <w:p w14:paraId="3AF58FB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2,4%</w:t>
            </w:r>
          </w:p>
        </w:tc>
      </w:tr>
      <w:tr w:rsidR="003F4CFF" w:rsidRPr="0018206D" w14:paraId="6B7C2E3E" w14:textId="77777777" w:rsidTr="00A12C43">
        <w:trPr>
          <w:cantSplit/>
          <w:trHeight w:val="20"/>
        </w:trPr>
        <w:tc>
          <w:tcPr>
            <w:tcW w:w="1458" w:type="pct"/>
            <w:vMerge w:val="restart"/>
            <w:tcBorders>
              <w:top w:val="single" w:sz="4" w:space="0" w:color="7F7F7F"/>
              <w:left w:val="nil"/>
              <w:bottom w:val="nil"/>
              <w:right w:val="nil"/>
            </w:tcBorders>
            <w:shd w:val="clear" w:color="auto" w:fill="auto"/>
            <w:hideMark/>
          </w:tcPr>
          <w:p w14:paraId="20A58EA9" w14:textId="77777777" w:rsidR="003F4CFF" w:rsidRPr="0018206D" w:rsidRDefault="003F4CFF" w:rsidP="003F4CFF">
            <w:pPr>
              <w:rPr>
                <w:rFonts w:ascii="Times New Roman" w:eastAsia="Times New Roman" w:hAnsi="Times New Roman" w:cs="Times New Roman"/>
                <w:bCs/>
                <w:color w:val="000000"/>
                <w:sz w:val="18"/>
                <w:szCs w:val="18"/>
              </w:rPr>
            </w:pPr>
            <w:r w:rsidRPr="0018206D">
              <w:rPr>
                <w:rFonts w:ascii="Times New Roman" w:eastAsia="Times New Roman" w:hAnsi="Times New Roman" w:cs="Times New Roman"/>
                <w:bCs/>
                <w:color w:val="000000"/>
                <w:sz w:val="18"/>
                <w:szCs w:val="18"/>
              </w:rPr>
              <w:t>СФЕРА ЭКОНОМИЧЕСКОЙ ДЕЯТЕЛЬНОСТИ</w:t>
            </w:r>
          </w:p>
        </w:tc>
        <w:tc>
          <w:tcPr>
            <w:tcW w:w="2006" w:type="pct"/>
            <w:tcBorders>
              <w:top w:val="single" w:sz="4" w:space="0" w:color="7F7F7F"/>
              <w:left w:val="nil"/>
              <w:bottom w:val="single" w:sz="4" w:space="0" w:color="7F7F7F"/>
              <w:right w:val="nil"/>
            </w:tcBorders>
            <w:shd w:val="clear" w:color="auto" w:fill="auto"/>
            <w:hideMark/>
          </w:tcPr>
          <w:p w14:paraId="0A5EB84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услуг дошкольного образования</w:t>
            </w:r>
          </w:p>
        </w:tc>
        <w:tc>
          <w:tcPr>
            <w:tcW w:w="804" w:type="pct"/>
            <w:tcBorders>
              <w:top w:val="single" w:sz="4" w:space="0" w:color="7F7F7F"/>
              <w:left w:val="nil"/>
              <w:bottom w:val="single" w:sz="4" w:space="0" w:color="7F7F7F"/>
              <w:right w:val="nil"/>
            </w:tcBorders>
            <w:shd w:val="clear" w:color="auto" w:fill="auto"/>
            <w:hideMark/>
          </w:tcPr>
          <w:p w14:paraId="6ED0F95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55</w:t>
            </w:r>
          </w:p>
        </w:tc>
        <w:tc>
          <w:tcPr>
            <w:tcW w:w="731" w:type="pct"/>
            <w:tcBorders>
              <w:top w:val="single" w:sz="4" w:space="0" w:color="7F7F7F"/>
              <w:left w:val="nil"/>
              <w:bottom w:val="single" w:sz="4" w:space="0" w:color="7F7F7F"/>
              <w:right w:val="nil"/>
            </w:tcBorders>
            <w:shd w:val="clear" w:color="auto" w:fill="auto"/>
            <w:hideMark/>
          </w:tcPr>
          <w:p w14:paraId="61FABEF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3,2%</w:t>
            </w:r>
          </w:p>
        </w:tc>
      </w:tr>
      <w:tr w:rsidR="003F4CFF" w:rsidRPr="0018206D" w14:paraId="763E01FC"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1606E2AF"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2133054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общего образования</w:t>
            </w:r>
          </w:p>
        </w:tc>
        <w:tc>
          <w:tcPr>
            <w:tcW w:w="804" w:type="pct"/>
            <w:tcBorders>
              <w:top w:val="single" w:sz="4" w:space="0" w:color="7F7F7F"/>
              <w:left w:val="nil"/>
              <w:bottom w:val="single" w:sz="4" w:space="0" w:color="7F7F7F"/>
              <w:right w:val="nil"/>
            </w:tcBorders>
            <w:shd w:val="clear" w:color="auto" w:fill="auto"/>
            <w:hideMark/>
          </w:tcPr>
          <w:p w14:paraId="3D5D528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50</w:t>
            </w:r>
          </w:p>
        </w:tc>
        <w:tc>
          <w:tcPr>
            <w:tcW w:w="731" w:type="pct"/>
            <w:tcBorders>
              <w:top w:val="single" w:sz="4" w:space="0" w:color="7F7F7F"/>
              <w:left w:val="nil"/>
              <w:bottom w:val="single" w:sz="4" w:space="0" w:color="7F7F7F"/>
              <w:right w:val="nil"/>
            </w:tcBorders>
            <w:shd w:val="clear" w:color="auto" w:fill="auto"/>
            <w:hideMark/>
          </w:tcPr>
          <w:p w14:paraId="4032C1B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2,9%</w:t>
            </w:r>
          </w:p>
        </w:tc>
      </w:tr>
      <w:tr w:rsidR="003F4CFF" w:rsidRPr="0018206D" w14:paraId="1E30F0A8"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43DF1A75"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6106C25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услуг среднего профессионального образования</w:t>
            </w:r>
          </w:p>
        </w:tc>
        <w:tc>
          <w:tcPr>
            <w:tcW w:w="804" w:type="pct"/>
            <w:tcBorders>
              <w:top w:val="single" w:sz="4" w:space="0" w:color="7F7F7F"/>
              <w:left w:val="nil"/>
              <w:bottom w:val="single" w:sz="4" w:space="0" w:color="7F7F7F"/>
              <w:right w:val="nil"/>
            </w:tcBorders>
            <w:shd w:val="clear" w:color="auto" w:fill="auto"/>
            <w:hideMark/>
          </w:tcPr>
          <w:p w14:paraId="5B5B24A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50</w:t>
            </w:r>
          </w:p>
        </w:tc>
        <w:tc>
          <w:tcPr>
            <w:tcW w:w="731" w:type="pct"/>
            <w:tcBorders>
              <w:top w:val="single" w:sz="4" w:space="0" w:color="7F7F7F"/>
              <w:left w:val="nil"/>
              <w:bottom w:val="single" w:sz="4" w:space="0" w:color="7F7F7F"/>
              <w:right w:val="nil"/>
            </w:tcBorders>
            <w:shd w:val="clear" w:color="auto" w:fill="auto"/>
            <w:hideMark/>
          </w:tcPr>
          <w:p w14:paraId="529AF83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2,9%</w:t>
            </w:r>
          </w:p>
        </w:tc>
      </w:tr>
      <w:tr w:rsidR="003F4CFF" w:rsidRPr="0018206D" w14:paraId="5A012BC0"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568D29FB"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009070E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услуг дополнительного образования детей</w:t>
            </w:r>
          </w:p>
        </w:tc>
        <w:tc>
          <w:tcPr>
            <w:tcW w:w="804" w:type="pct"/>
            <w:tcBorders>
              <w:top w:val="single" w:sz="4" w:space="0" w:color="7F7F7F"/>
              <w:left w:val="nil"/>
              <w:bottom w:val="single" w:sz="4" w:space="0" w:color="7F7F7F"/>
              <w:right w:val="nil"/>
            </w:tcBorders>
            <w:shd w:val="clear" w:color="auto" w:fill="auto"/>
            <w:hideMark/>
          </w:tcPr>
          <w:p w14:paraId="40491FC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30</w:t>
            </w:r>
          </w:p>
        </w:tc>
        <w:tc>
          <w:tcPr>
            <w:tcW w:w="731" w:type="pct"/>
            <w:tcBorders>
              <w:top w:val="single" w:sz="4" w:space="0" w:color="7F7F7F"/>
              <w:left w:val="nil"/>
              <w:bottom w:val="single" w:sz="4" w:space="0" w:color="7F7F7F"/>
              <w:right w:val="nil"/>
            </w:tcBorders>
            <w:shd w:val="clear" w:color="auto" w:fill="auto"/>
            <w:hideMark/>
          </w:tcPr>
          <w:p w14:paraId="5054A31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1,8%</w:t>
            </w:r>
          </w:p>
        </w:tc>
      </w:tr>
      <w:tr w:rsidR="003F4CFF" w:rsidRPr="0018206D" w14:paraId="7D78F641"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79F85DC2"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4831C2BA"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услуг детского отдыха и оздоровления</w:t>
            </w:r>
          </w:p>
        </w:tc>
        <w:tc>
          <w:tcPr>
            <w:tcW w:w="804" w:type="pct"/>
            <w:tcBorders>
              <w:top w:val="single" w:sz="4" w:space="0" w:color="7F7F7F"/>
              <w:left w:val="nil"/>
              <w:bottom w:val="single" w:sz="4" w:space="0" w:color="7F7F7F"/>
              <w:right w:val="nil"/>
            </w:tcBorders>
            <w:shd w:val="clear" w:color="auto" w:fill="auto"/>
            <w:hideMark/>
          </w:tcPr>
          <w:p w14:paraId="38083F1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40</w:t>
            </w:r>
          </w:p>
        </w:tc>
        <w:tc>
          <w:tcPr>
            <w:tcW w:w="731" w:type="pct"/>
            <w:tcBorders>
              <w:top w:val="single" w:sz="4" w:space="0" w:color="7F7F7F"/>
              <w:left w:val="nil"/>
              <w:bottom w:val="single" w:sz="4" w:space="0" w:color="7F7F7F"/>
              <w:right w:val="nil"/>
            </w:tcBorders>
            <w:shd w:val="clear" w:color="auto" w:fill="auto"/>
            <w:hideMark/>
          </w:tcPr>
          <w:p w14:paraId="2F6980A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2,4%</w:t>
            </w:r>
          </w:p>
        </w:tc>
      </w:tr>
      <w:tr w:rsidR="003F4CFF" w:rsidRPr="0018206D" w14:paraId="3D872C19"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248C2449"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2F58C3F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услуг розничной торговли лекарственными препаратами, медицинскими изделиями и сопутствующими товарами</w:t>
            </w:r>
          </w:p>
        </w:tc>
        <w:tc>
          <w:tcPr>
            <w:tcW w:w="804" w:type="pct"/>
            <w:tcBorders>
              <w:top w:val="single" w:sz="4" w:space="0" w:color="7F7F7F"/>
              <w:left w:val="nil"/>
              <w:bottom w:val="single" w:sz="4" w:space="0" w:color="7F7F7F"/>
              <w:right w:val="nil"/>
            </w:tcBorders>
            <w:shd w:val="clear" w:color="auto" w:fill="auto"/>
            <w:hideMark/>
          </w:tcPr>
          <w:p w14:paraId="7B636E9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110</w:t>
            </w:r>
          </w:p>
        </w:tc>
        <w:tc>
          <w:tcPr>
            <w:tcW w:w="731" w:type="pct"/>
            <w:tcBorders>
              <w:top w:val="single" w:sz="4" w:space="0" w:color="7F7F7F"/>
              <w:left w:val="nil"/>
              <w:bottom w:val="single" w:sz="4" w:space="0" w:color="7F7F7F"/>
              <w:right w:val="nil"/>
            </w:tcBorders>
            <w:shd w:val="clear" w:color="auto" w:fill="auto"/>
            <w:hideMark/>
          </w:tcPr>
          <w:p w14:paraId="3097759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6,5%</w:t>
            </w:r>
          </w:p>
        </w:tc>
      </w:tr>
      <w:tr w:rsidR="003F4CFF" w:rsidRPr="0018206D" w14:paraId="6B32865A"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05B399CC"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561FCB0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психолого-педагогического сопровождения детей с ограниченными возможностями здоровья</w:t>
            </w:r>
          </w:p>
        </w:tc>
        <w:tc>
          <w:tcPr>
            <w:tcW w:w="804" w:type="pct"/>
            <w:tcBorders>
              <w:top w:val="single" w:sz="4" w:space="0" w:color="7F7F7F"/>
              <w:left w:val="nil"/>
              <w:bottom w:val="single" w:sz="4" w:space="0" w:color="7F7F7F"/>
              <w:right w:val="nil"/>
            </w:tcBorders>
            <w:shd w:val="clear" w:color="auto" w:fill="auto"/>
            <w:hideMark/>
          </w:tcPr>
          <w:p w14:paraId="1CBB991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30</w:t>
            </w:r>
          </w:p>
        </w:tc>
        <w:tc>
          <w:tcPr>
            <w:tcW w:w="731" w:type="pct"/>
            <w:tcBorders>
              <w:top w:val="single" w:sz="4" w:space="0" w:color="7F7F7F"/>
              <w:left w:val="nil"/>
              <w:bottom w:val="single" w:sz="4" w:space="0" w:color="7F7F7F"/>
              <w:right w:val="nil"/>
            </w:tcBorders>
            <w:shd w:val="clear" w:color="auto" w:fill="auto"/>
            <w:hideMark/>
          </w:tcPr>
          <w:p w14:paraId="63EBE16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1,8%</w:t>
            </w:r>
          </w:p>
        </w:tc>
      </w:tr>
      <w:tr w:rsidR="003F4CFF" w:rsidRPr="0018206D" w14:paraId="58796703"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0C592069"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523D1D6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социальных услуг</w:t>
            </w:r>
          </w:p>
        </w:tc>
        <w:tc>
          <w:tcPr>
            <w:tcW w:w="804" w:type="pct"/>
            <w:tcBorders>
              <w:top w:val="single" w:sz="4" w:space="0" w:color="7F7F7F"/>
              <w:left w:val="nil"/>
              <w:bottom w:val="single" w:sz="4" w:space="0" w:color="7F7F7F"/>
              <w:right w:val="nil"/>
            </w:tcBorders>
            <w:shd w:val="clear" w:color="auto" w:fill="auto"/>
            <w:hideMark/>
          </w:tcPr>
          <w:p w14:paraId="0D9E00A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30</w:t>
            </w:r>
          </w:p>
        </w:tc>
        <w:tc>
          <w:tcPr>
            <w:tcW w:w="731" w:type="pct"/>
            <w:tcBorders>
              <w:top w:val="single" w:sz="4" w:space="0" w:color="7F7F7F"/>
              <w:left w:val="nil"/>
              <w:bottom w:val="single" w:sz="4" w:space="0" w:color="7F7F7F"/>
              <w:right w:val="nil"/>
            </w:tcBorders>
            <w:shd w:val="clear" w:color="auto" w:fill="auto"/>
            <w:hideMark/>
          </w:tcPr>
          <w:p w14:paraId="018B4F9A"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1,8%</w:t>
            </w:r>
          </w:p>
        </w:tc>
      </w:tr>
      <w:tr w:rsidR="003F4CFF" w:rsidRPr="0018206D" w14:paraId="5647D93E"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4471D467"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5DEE517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теплоснабжения (производство тепловой энергии)</w:t>
            </w:r>
          </w:p>
        </w:tc>
        <w:tc>
          <w:tcPr>
            <w:tcW w:w="804" w:type="pct"/>
            <w:tcBorders>
              <w:top w:val="single" w:sz="4" w:space="0" w:color="7F7F7F"/>
              <w:left w:val="nil"/>
              <w:bottom w:val="single" w:sz="4" w:space="0" w:color="7F7F7F"/>
              <w:right w:val="nil"/>
            </w:tcBorders>
            <w:shd w:val="clear" w:color="auto" w:fill="auto"/>
            <w:hideMark/>
          </w:tcPr>
          <w:p w14:paraId="1AB7A76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40</w:t>
            </w:r>
          </w:p>
        </w:tc>
        <w:tc>
          <w:tcPr>
            <w:tcW w:w="731" w:type="pct"/>
            <w:tcBorders>
              <w:top w:val="single" w:sz="4" w:space="0" w:color="7F7F7F"/>
              <w:left w:val="nil"/>
              <w:bottom w:val="single" w:sz="4" w:space="0" w:color="7F7F7F"/>
              <w:right w:val="nil"/>
            </w:tcBorders>
            <w:shd w:val="clear" w:color="auto" w:fill="auto"/>
            <w:hideMark/>
          </w:tcPr>
          <w:p w14:paraId="129E199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2,4%</w:t>
            </w:r>
          </w:p>
        </w:tc>
      </w:tr>
      <w:tr w:rsidR="003F4CFF" w:rsidRPr="0018206D" w14:paraId="40602F7B"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1D660C3F"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6EF095D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Вывоз твердых коммунальных отходов</w:t>
            </w:r>
          </w:p>
        </w:tc>
        <w:tc>
          <w:tcPr>
            <w:tcW w:w="804" w:type="pct"/>
            <w:tcBorders>
              <w:top w:val="single" w:sz="4" w:space="0" w:color="7F7F7F"/>
              <w:left w:val="nil"/>
              <w:bottom w:val="single" w:sz="4" w:space="0" w:color="7F7F7F"/>
              <w:right w:val="nil"/>
            </w:tcBorders>
            <w:shd w:val="clear" w:color="auto" w:fill="auto"/>
            <w:hideMark/>
          </w:tcPr>
          <w:p w14:paraId="1EB23C5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70</w:t>
            </w:r>
          </w:p>
        </w:tc>
        <w:tc>
          <w:tcPr>
            <w:tcW w:w="731" w:type="pct"/>
            <w:tcBorders>
              <w:top w:val="single" w:sz="4" w:space="0" w:color="7F7F7F"/>
              <w:left w:val="nil"/>
              <w:bottom w:val="single" w:sz="4" w:space="0" w:color="7F7F7F"/>
              <w:right w:val="nil"/>
            </w:tcBorders>
            <w:shd w:val="clear" w:color="auto" w:fill="auto"/>
            <w:hideMark/>
          </w:tcPr>
          <w:p w14:paraId="36C1B59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4,1%</w:t>
            </w:r>
          </w:p>
        </w:tc>
      </w:tr>
      <w:tr w:rsidR="003F4CFF" w:rsidRPr="0018206D" w14:paraId="4E29570B"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450A626B"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3A6E697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выполнения работ по благоустройству городской среды</w:t>
            </w:r>
          </w:p>
        </w:tc>
        <w:tc>
          <w:tcPr>
            <w:tcW w:w="804" w:type="pct"/>
            <w:tcBorders>
              <w:top w:val="single" w:sz="4" w:space="0" w:color="7F7F7F"/>
              <w:left w:val="nil"/>
              <w:bottom w:val="single" w:sz="4" w:space="0" w:color="7F7F7F"/>
              <w:right w:val="nil"/>
            </w:tcBorders>
            <w:shd w:val="clear" w:color="auto" w:fill="auto"/>
            <w:hideMark/>
          </w:tcPr>
          <w:p w14:paraId="38D0650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45</w:t>
            </w:r>
          </w:p>
        </w:tc>
        <w:tc>
          <w:tcPr>
            <w:tcW w:w="731" w:type="pct"/>
            <w:tcBorders>
              <w:top w:val="single" w:sz="4" w:space="0" w:color="7F7F7F"/>
              <w:left w:val="nil"/>
              <w:bottom w:val="single" w:sz="4" w:space="0" w:color="7F7F7F"/>
              <w:right w:val="nil"/>
            </w:tcBorders>
            <w:shd w:val="clear" w:color="auto" w:fill="auto"/>
            <w:hideMark/>
          </w:tcPr>
          <w:p w14:paraId="2DC087E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2,6%</w:t>
            </w:r>
          </w:p>
        </w:tc>
      </w:tr>
      <w:tr w:rsidR="003F4CFF" w:rsidRPr="0018206D" w14:paraId="56C410D8"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22FD2374"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6445E68A"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выполнения работ по содержанию и текущему ремонту общего имущества собственников помещений в многоквартирном доме</w:t>
            </w:r>
          </w:p>
        </w:tc>
        <w:tc>
          <w:tcPr>
            <w:tcW w:w="804" w:type="pct"/>
            <w:tcBorders>
              <w:top w:val="single" w:sz="4" w:space="0" w:color="7F7F7F"/>
              <w:left w:val="nil"/>
              <w:bottom w:val="single" w:sz="4" w:space="0" w:color="7F7F7F"/>
              <w:right w:val="nil"/>
            </w:tcBorders>
            <w:shd w:val="clear" w:color="auto" w:fill="auto"/>
            <w:hideMark/>
          </w:tcPr>
          <w:p w14:paraId="68AA2E5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40</w:t>
            </w:r>
          </w:p>
        </w:tc>
        <w:tc>
          <w:tcPr>
            <w:tcW w:w="731" w:type="pct"/>
            <w:tcBorders>
              <w:top w:val="single" w:sz="4" w:space="0" w:color="7F7F7F"/>
              <w:left w:val="nil"/>
              <w:bottom w:val="single" w:sz="4" w:space="0" w:color="7F7F7F"/>
              <w:right w:val="nil"/>
            </w:tcBorders>
            <w:shd w:val="clear" w:color="auto" w:fill="auto"/>
            <w:hideMark/>
          </w:tcPr>
          <w:p w14:paraId="63BFF91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2,4%</w:t>
            </w:r>
          </w:p>
        </w:tc>
      </w:tr>
      <w:tr w:rsidR="003F4CFF" w:rsidRPr="0018206D" w14:paraId="151539B7"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3AC7035D"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7FD8D8E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поставки сжиженного газа в баллонах</w:t>
            </w:r>
          </w:p>
        </w:tc>
        <w:tc>
          <w:tcPr>
            <w:tcW w:w="804" w:type="pct"/>
            <w:tcBorders>
              <w:top w:val="single" w:sz="4" w:space="0" w:color="7F7F7F"/>
              <w:left w:val="nil"/>
              <w:bottom w:val="single" w:sz="4" w:space="0" w:color="7F7F7F"/>
              <w:right w:val="nil"/>
            </w:tcBorders>
            <w:shd w:val="clear" w:color="auto" w:fill="auto"/>
            <w:hideMark/>
          </w:tcPr>
          <w:p w14:paraId="3D06191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35</w:t>
            </w:r>
          </w:p>
        </w:tc>
        <w:tc>
          <w:tcPr>
            <w:tcW w:w="731" w:type="pct"/>
            <w:tcBorders>
              <w:top w:val="single" w:sz="4" w:space="0" w:color="7F7F7F"/>
              <w:left w:val="nil"/>
              <w:bottom w:val="single" w:sz="4" w:space="0" w:color="7F7F7F"/>
              <w:right w:val="nil"/>
            </w:tcBorders>
            <w:shd w:val="clear" w:color="auto" w:fill="auto"/>
            <w:hideMark/>
          </w:tcPr>
          <w:p w14:paraId="2DFE6FD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2,1%</w:t>
            </w:r>
          </w:p>
        </w:tc>
      </w:tr>
      <w:tr w:rsidR="003F4CFF" w:rsidRPr="0018206D" w14:paraId="784B5406"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6A53D434"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2D00CDF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купли-продажи электрической энергии (мощности) на розничном рынке электрической энергии (мощности)</w:t>
            </w:r>
          </w:p>
        </w:tc>
        <w:tc>
          <w:tcPr>
            <w:tcW w:w="804" w:type="pct"/>
            <w:tcBorders>
              <w:top w:val="single" w:sz="4" w:space="0" w:color="7F7F7F"/>
              <w:left w:val="nil"/>
              <w:bottom w:val="single" w:sz="4" w:space="0" w:color="7F7F7F"/>
              <w:right w:val="nil"/>
            </w:tcBorders>
            <w:shd w:val="clear" w:color="auto" w:fill="auto"/>
            <w:hideMark/>
          </w:tcPr>
          <w:p w14:paraId="12EA7F5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50</w:t>
            </w:r>
          </w:p>
        </w:tc>
        <w:tc>
          <w:tcPr>
            <w:tcW w:w="731" w:type="pct"/>
            <w:tcBorders>
              <w:top w:val="single" w:sz="4" w:space="0" w:color="7F7F7F"/>
              <w:left w:val="nil"/>
              <w:bottom w:val="single" w:sz="4" w:space="0" w:color="7F7F7F"/>
              <w:right w:val="nil"/>
            </w:tcBorders>
            <w:shd w:val="clear" w:color="auto" w:fill="auto"/>
            <w:hideMark/>
          </w:tcPr>
          <w:p w14:paraId="4923AA5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2,9%</w:t>
            </w:r>
          </w:p>
        </w:tc>
      </w:tr>
      <w:tr w:rsidR="003F4CFF" w:rsidRPr="0018206D" w14:paraId="52763571"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7CE36AC1"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3B8362A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804" w:type="pct"/>
            <w:tcBorders>
              <w:top w:val="single" w:sz="4" w:space="0" w:color="7F7F7F"/>
              <w:left w:val="nil"/>
              <w:bottom w:val="single" w:sz="4" w:space="0" w:color="7F7F7F"/>
              <w:right w:val="nil"/>
            </w:tcBorders>
            <w:shd w:val="clear" w:color="auto" w:fill="auto"/>
            <w:hideMark/>
          </w:tcPr>
          <w:p w14:paraId="3A6B7F5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50</w:t>
            </w:r>
          </w:p>
        </w:tc>
        <w:tc>
          <w:tcPr>
            <w:tcW w:w="731" w:type="pct"/>
            <w:tcBorders>
              <w:top w:val="single" w:sz="4" w:space="0" w:color="7F7F7F"/>
              <w:left w:val="nil"/>
              <w:bottom w:val="single" w:sz="4" w:space="0" w:color="7F7F7F"/>
              <w:right w:val="nil"/>
            </w:tcBorders>
            <w:shd w:val="clear" w:color="auto" w:fill="auto"/>
            <w:hideMark/>
          </w:tcPr>
          <w:p w14:paraId="4901506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2,9%</w:t>
            </w:r>
          </w:p>
        </w:tc>
      </w:tr>
      <w:tr w:rsidR="003F4CFF" w:rsidRPr="0018206D" w14:paraId="5C69E191"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1BED0878"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6F6AA3F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оказания услуг по перевозке пассажиров автомобильным транспортом по муниципальным маршрутам регулярных перевозок</w:t>
            </w:r>
          </w:p>
        </w:tc>
        <w:tc>
          <w:tcPr>
            <w:tcW w:w="804" w:type="pct"/>
            <w:tcBorders>
              <w:top w:val="single" w:sz="4" w:space="0" w:color="7F7F7F"/>
              <w:left w:val="nil"/>
              <w:bottom w:val="single" w:sz="4" w:space="0" w:color="7F7F7F"/>
              <w:right w:val="nil"/>
            </w:tcBorders>
            <w:shd w:val="clear" w:color="auto" w:fill="auto"/>
            <w:hideMark/>
          </w:tcPr>
          <w:p w14:paraId="6920C8F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80</w:t>
            </w:r>
          </w:p>
        </w:tc>
        <w:tc>
          <w:tcPr>
            <w:tcW w:w="731" w:type="pct"/>
            <w:tcBorders>
              <w:top w:val="single" w:sz="4" w:space="0" w:color="7F7F7F"/>
              <w:left w:val="nil"/>
              <w:bottom w:val="single" w:sz="4" w:space="0" w:color="7F7F7F"/>
              <w:right w:val="nil"/>
            </w:tcBorders>
            <w:shd w:val="clear" w:color="auto" w:fill="auto"/>
            <w:hideMark/>
          </w:tcPr>
          <w:p w14:paraId="29CA995A"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2,9%</w:t>
            </w:r>
          </w:p>
        </w:tc>
      </w:tr>
      <w:tr w:rsidR="003F4CFF" w:rsidRPr="0018206D" w14:paraId="7760DC47"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64FF69A4"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35849CF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оказания услуг по перевозке пассажиров автомобильным транспортом по межмуниципальным маршрутам регулярных перевозок</w:t>
            </w:r>
          </w:p>
        </w:tc>
        <w:tc>
          <w:tcPr>
            <w:tcW w:w="804" w:type="pct"/>
            <w:tcBorders>
              <w:top w:val="single" w:sz="4" w:space="0" w:color="7F7F7F"/>
              <w:left w:val="nil"/>
              <w:bottom w:val="single" w:sz="4" w:space="0" w:color="7F7F7F"/>
              <w:right w:val="nil"/>
            </w:tcBorders>
            <w:shd w:val="clear" w:color="auto" w:fill="auto"/>
            <w:hideMark/>
          </w:tcPr>
          <w:p w14:paraId="3B87324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50</w:t>
            </w:r>
          </w:p>
        </w:tc>
        <w:tc>
          <w:tcPr>
            <w:tcW w:w="731" w:type="pct"/>
            <w:tcBorders>
              <w:top w:val="single" w:sz="4" w:space="0" w:color="7F7F7F"/>
              <w:left w:val="nil"/>
              <w:bottom w:val="single" w:sz="4" w:space="0" w:color="7F7F7F"/>
              <w:right w:val="nil"/>
            </w:tcBorders>
            <w:shd w:val="clear" w:color="auto" w:fill="auto"/>
            <w:hideMark/>
          </w:tcPr>
          <w:p w14:paraId="4CA1D47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2,9%</w:t>
            </w:r>
          </w:p>
        </w:tc>
      </w:tr>
      <w:tr w:rsidR="003F4CFF" w:rsidRPr="0018206D" w14:paraId="3952B336"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59EF8415"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54AAEFD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оказания услуг по перевозке пассажиров и багажа легковым такси на территории субъекта Российской Федерации</w:t>
            </w:r>
          </w:p>
        </w:tc>
        <w:tc>
          <w:tcPr>
            <w:tcW w:w="804" w:type="pct"/>
            <w:tcBorders>
              <w:top w:val="single" w:sz="4" w:space="0" w:color="7F7F7F"/>
              <w:left w:val="nil"/>
              <w:bottom w:val="single" w:sz="4" w:space="0" w:color="7F7F7F"/>
              <w:right w:val="nil"/>
            </w:tcBorders>
            <w:shd w:val="clear" w:color="auto" w:fill="auto"/>
            <w:hideMark/>
          </w:tcPr>
          <w:p w14:paraId="3CC11A7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50</w:t>
            </w:r>
          </w:p>
        </w:tc>
        <w:tc>
          <w:tcPr>
            <w:tcW w:w="731" w:type="pct"/>
            <w:tcBorders>
              <w:top w:val="single" w:sz="4" w:space="0" w:color="7F7F7F"/>
              <w:left w:val="nil"/>
              <w:bottom w:val="single" w:sz="4" w:space="0" w:color="7F7F7F"/>
              <w:right w:val="nil"/>
            </w:tcBorders>
            <w:shd w:val="clear" w:color="auto" w:fill="auto"/>
            <w:hideMark/>
          </w:tcPr>
          <w:p w14:paraId="5721735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4,7%</w:t>
            </w:r>
          </w:p>
        </w:tc>
      </w:tr>
      <w:tr w:rsidR="003F4CFF" w:rsidRPr="0018206D" w14:paraId="06480C9A"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34B1F9F5"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2ACEEF9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услуг связи, в том числе услуг по предоставлению широкополосного доступа к информационно-телекоммуникационной сети «Интернет»</w:t>
            </w:r>
          </w:p>
        </w:tc>
        <w:tc>
          <w:tcPr>
            <w:tcW w:w="804" w:type="pct"/>
            <w:tcBorders>
              <w:top w:val="single" w:sz="4" w:space="0" w:color="7F7F7F"/>
              <w:left w:val="nil"/>
              <w:bottom w:val="single" w:sz="4" w:space="0" w:color="7F7F7F"/>
              <w:right w:val="nil"/>
            </w:tcBorders>
            <w:shd w:val="clear" w:color="auto" w:fill="auto"/>
            <w:hideMark/>
          </w:tcPr>
          <w:p w14:paraId="5FCA478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65</w:t>
            </w:r>
          </w:p>
        </w:tc>
        <w:tc>
          <w:tcPr>
            <w:tcW w:w="731" w:type="pct"/>
            <w:tcBorders>
              <w:top w:val="single" w:sz="4" w:space="0" w:color="7F7F7F"/>
              <w:left w:val="nil"/>
              <w:bottom w:val="single" w:sz="4" w:space="0" w:color="7F7F7F"/>
              <w:right w:val="nil"/>
            </w:tcBorders>
            <w:shd w:val="clear" w:color="auto" w:fill="auto"/>
            <w:hideMark/>
          </w:tcPr>
          <w:p w14:paraId="6E27C1F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3,8%</w:t>
            </w:r>
          </w:p>
        </w:tc>
      </w:tr>
      <w:tr w:rsidR="003F4CFF" w:rsidRPr="0018206D" w14:paraId="7A1DEEAE"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15181F87"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597E3EA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804" w:type="pct"/>
            <w:tcBorders>
              <w:top w:val="single" w:sz="4" w:space="0" w:color="7F7F7F"/>
              <w:left w:val="nil"/>
              <w:bottom w:val="single" w:sz="4" w:space="0" w:color="7F7F7F"/>
              <w:right w:val="nil"/>
            </w:tcBorders>
            <w:shd w:val="clear" w:color="auto" w:fill="auto"/>
            <w:hideMark/>
          </w:tcPr>
          <w:p w14:paraId="5B35965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80</w:t>
            </w:r>
          </w:p>
        </w:tc>
        <w:tc>
          <w:tcPr>
            <w:tcW w:w="731" w:type="pct"/>
            <w:tcBorders>
              <w:top w:val="single" w:sz="4" w:space="0" w:color="7F7F7F"/>
              <w:left w:val="nil"/>
              <w:bottom w:val="single" w:sz="4" w:space="0" w:color="7F7F7F"/>
              <w:right w:val="nil"/>
            </w:tcBorders>
            <w:shd w:val="clear" w:color="auto" w:fill="auto"/>
            <w:hideMark/>
          </w:tcPr>
          <w:p w14:paraId="31D6022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4,7%</w:t>
            </w:r>
          </w:p>
        </w:tc>
      </w:tr>
      <w:tr w:rsidR="003F4CFF" w:rsidRPr="0018206D" w14:paraId="3086D818"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695A78DA"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4EDB35E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строительства объектов капитального строительства, за исключением жилищного и дорожного строительства</w:t>
            </w:r>
          </w:p>
        </w:tc>
        <w:tc>
          <w:tcPr>
            <w:tcW w:w="804" w:type="pct"/>
            <w:tcBorders>
              <w:top w:val="single" w:sz="4" w:space="0" w:color="7F7F7F"/>
              <w:left w:val="nil"/>
              <w:bottom w:val="single" w:sz="4" w:space="0" w:color="7F7F7F"/>
              <w:right w:val="nil"/>
            </w:tcBorders>
            <w:shd w:val="clear" w:color="auto" w:fill="auto"/>
            <w:hideMark/>
          </w:tcPr>
          <w:p w14:paraId="4AB0090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100</w:t>
            </w:r>
          </w:p>
        </w:tc>
        <w:tc>
          <w:tcPr>
            <w:tcW w:w="731" w:type="pct"/>
            <w:tcBorders>
              <w:top w:val="single" w:sz="4" w:space="0" w:color="7F7F7F"/>
              <w:left w:val="nil"/>
              <w:bottom w:val="single" w:sz="4" w:space="0" w:color="7F7F7F"/>
              <w:right w:val="nil"/>
            </w:tcBorders>
            <w:shd w:val="clear" w:color="auto" w:fill="auto"/>
            <w:hideMark/>
          </w:tcPr>
          <w:p w14:paraId="5E5651A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5,9%</w:t>
            </w:r>
          </w:p>
        </w:tc>
      </w:tr>
      <w:tr w:rsidR="003F4CFF" w:rsidRPr="0018206D" w14:paraId="2DF2A3F7"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401CF08D"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3145374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дорожной деятельности (за исключением проектирования)</w:t>
            </w:r>
          </w:p>
        </w:tc>
        <w:tc>
          <w:tcPr>
            <w:tcW w:w="804" w:type="pct"/>
            <w:tcBorders>
              <w:top w:val="single" w:sz="4" w:space="0" w:color="7F7F7F"/>
              <w:left w:val="nil"/>
              <w:bottom w:val="single" w:sz="4" w:space="0" w:color="7F7F7F"/>
              <w:right w:val="nil"/>
            </w:tcBorders>
            <w:shd w:val="clear" w:color="auto" w:fill="auto"/>
            <w:hideMark/>
          </w:tcPr>
          <w:p w14:paraId="4766616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85</w:t>
            </w:r>
          </w:p>
        </w:tc>
        <w:tc>
          <w:tcPr>
            <w:tcW w:w="731" w:type="pct"/>
            <w:tcBorders>
              <w:top w:val="single" w:sz="4" w:space="0" w:color="7F7F7F"/>
              <w:left w:val="nil"/>
              <w:bottom w:val="single" w:sz="4" w:space="0" w:color="7F7F7F"/>
              <w:right w:val="nil"/>
            </w:tcBorders>
            <w:shd w:val="clear" w:color="auto" w:fill="auto"/>
            <w:hideMark/>
          </w:tcPr>
          <w:p w14:paraId="3DB3989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5,0%</w:t>
            </w:r>
          </w:p>
        </w:tc>
      </w:tr>
      <w:tr w:rsidR="003F4CFF" w:rsidRPr="0018206D" w14:paraId="3296AA89"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508907E8"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34012C9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архитектурно-строительного проектирования</w:t>
            </w:r>
          </w:p>
        </w:tc>
        <w:tc>
          <w:tcPr>
            <w:tcW w:w="804" w:type="pct"/>
            <w:tcBorders>
              <w:top w:val="single" w:sz="4" w:space="0" w:color="7F7F7F"/>
              <w:left w:val="nil"/>
              <w:bottom w:val="single" w:sz="4" w:space="0" w:color="7F7F7F"/>
              <w:right w:val="nil"/>
            </w:tcBorders>
            <w:shd w:val="clear" w:color="auto" w:fill="auto"/>
            <w:hideMark/>
          </w:tcPr>
          <w:p w14:paraId="2C1795F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50</w:t>
            </w:r>
          </w:p>
        </w:tc>
        <w:tc>
          <w:tcPr>
            <w:tcW w:w="731" w:type="pct"/>
            <w:tcBorders>
              <w:top w:val="single" w:sz="4" w:space="0" w:color="7F7F7F"/>
              <w:left w:val="nil"/>
              <w:bottom w:val="single" w:sz="4" w:space="0" w:color="7F7F7F"/>
              <w:right w:val="nil"/>
            </w:tcBorders>
            <w:shd w:val="clear" w:color="auto" w:fill="auto"/>
            <w:hideMark/>
          </w:tcPr>
          <w:p w14:paraId="1FE1C03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2,9%</w:t>
            </w:r>
          </w:p>
        </w:tc>
      </w:tr>
      <w:tr w:rsidR="003F4CFF" w:rsidRPr="0018206D" w14:paraId="0AF013A0"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59190CFB"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3113D06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племенного животноводства</w:t>
            </w:r>
          </w:p>
        </w:tc>
        <w:tc>
          <w:tcPr>
            <w:tcW w:w="804" w:type="pct"/>
            <w:tcBorders>
              <w:top w:val="single" w:sz="4" w:space="0" w:color="7F7F7F"/>
              <w:left w:val="nil"/>
              <w:bottom w:val="single" w:sz="4" w:space="0" w:color="7F7F7F"/>
              <w:right w:val="nil"/>
            </w:tcBorders>
            <w:shd w:val="clear" w:color="auto" w:fill="auto"/>
            <w:hideMark/>
          </w:tcPr>
          <w:p w14:paraId="602EC36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35</w:t>
            </w:r>
          </w:p>
        </w:tc>
        <w:tc>
          <w:tcPr>
            <w:tcW w:w="731" w:type="pct"/>
            <w:tcBorders>
              <w:top w:val="single" w:sz="4" w:space="0" w:color="7F7F7F"/>
              <w:left w:val="nil"/>
              <w:bottom w:val="single" w:sz="4" w:space="0" w:color="7F7F7F"/>
              <w:right w:val="nil"/>
            </w:tcBorders>
            <w:shd w:val="clear" w:color="auto" w:fill="auto"/>
            <w:hideMark/>
          </w:tcPr>
          <w:p w14:paraId="7D0A306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2,1%</w:t>
            </w:r>
          </w:p>
        </w:tc>
      </w:tr>
      <w:tr w:rsidR="003F4CFF" w:rsidRPr="0018206D" w14:paraId="4E92F7A4"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372D8EC2"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69CA73B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семеноводства</w:t>
            </w:r>
          </w:p>
        </w:tc>
        <w:tc>
          <w:tcPr>
            <w:tcW w:w="804" w:type="pct"/>
            <w:tcBorders>
              <w:top w:val="single" w:sz="4" w:space="0" w:color="7F7F7F"/>
              <w:left w:val="nil"/>
              <w:bottom w:val="single" w:sz="4" w:space="0" w:color="7F7F7F"/>
              <w:right w:val="nil"/>
            </w:tcBorders>
            <w:shd w:val="clear" w:color="auto" w:fill="auto"/>
            <w:hideMark/>
          </w:tcPr>
          <w:p w14:paraId="16C5A85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35</w:t>
            </w:r>
          </w:p>
        </w:tc>
        <w:tc>
          <w:tcPr>
            <w:tcW w:w="731" w:type="pct"/>
            <w:tcBorders>
              <w:top w:val="single" w:sz="4" w:space="0" w:color="7F7F7F"/>
              <w:left w:val="nil"/>
              <w:bottom w:val="single" w:sz="4" w:space="0" w:color="7F7F7F"/>
              <w:right w:val="nil"/>
            </w:tcBorders>
            <w:shd w:val="clear" w:color="auto" w:fill="auto"/>
            <w:hideMark/>
          </w:tcPr>
          <w:p w14:paraId="37D702C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2,1%</w:t>
            </w:r>
          </w:p>
        </w:tc>
      </w:tr>
      <w:tr w:rsidR="003F4CFF" w:rsidRPr="0018206D" w14:paraId="510770AE"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77333CDF"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03B31F3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вылова водных биоресурсов</w:t>
            </w:r>
          </w:p>
        </w:tc>
        <w:tc>
          <w:tcPr>
            <w:tcW w:w="804" w:type="pct"/>
            <w:tcBorders>
              <w:top w:val="single" w:sz="4" w:space="0" w:color="7F7F7F"/>
              <w:left w:val="nil"/>
              <w:bottom w:val="single" w:sz="4" w:space="0" w:color="7F7F7F"/>
              <w:right w:val="nil"/>
            </w:tcBorders>
            <w:shd w:val="clear" w:color="auto" w:fill="auto"/>
            <w:hideMark/>
          </w:tcPr>
          <w:p w14:paraId="09C2341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35</w:t>
            </w:r>
          </w:p>
        </w:tc>
        <w:tc>
          <w:tcPr>
            <w:tcW w:w="731" w:type="pct"/>
            <w:tcBorders>
              <w:top w:val="single" w:sz="4" w:space="0" w:color="7F7F7F"/>
              <w:left w:val="nil"/>
              <w:bottom w:val="single" w:sz="4" w:space="0" w:color="7F7F7F"/>
              <w:right w:val="nil"/>
            </w:tcBorders>
            <w:shd w:val="clear" w:color="auto" w:fill="auto"/>
            <w:hideMark/>
          </w:tcPr>
          <w:p w14:paraId="7A5604EA"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2,1%</w:t>
            </w:r>
          </w:p>
        </w:tc>
      </w:tr>
      <w:tr w:rsidR="003F4CFF" w:rsidRPr="0018206D" w14:paraId="310A0ADF"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257A9DCD"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6C048C1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переработки водных биоресурсов</w:t>
            </w:r>
          </w:p>
        </w:tc>
        <w:tc>
          <w:tcPr>
            <w:tcW w:w="804" w:type="pct"/>
            <w:tcBorders>
              <w:top w:val="single" w:sz="4" w:space="0" w:color="7F7F7F"/>
              <w:left w:val="nil"/>
              <w:bottom w:val="single" w:sz="4" w:space="0" w:color="7F7F7F"/>
              <w:right w:val="nil"/>
            </w:tcBorders>
            <w:shd w:val="clear" w:color="auto" w:fill="auto"/>
            <w:hideMark/>
          </w:tcPr>
          <w:p w14:paraId="057F97F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35</w:t>
            </w:r>
          </w:p>
        </w:tc>
        <w:tc>
          <w:tcPr>
            <w:tcW w:w="731" w:type="pct"/>
            <w:tcBorders>
              <w:top w:val="single" w:sz="4" w:space="0" w:color="7F7F7F"/>
              <w:left w:val="nil"/>
              <w:bottom w:val="single" w:sz="4" w:space="0" w:color="7F7F7F"/>
              <w:right w:val="nil"/>
            </w:tcBorders>
            <w:shd w:val="clear" w:color="auto" w:fill="auto"/>
            <w:hideMark/>
          </w:tcPr>
          <w:p w14:paraId="0AF696F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2,1%</w:t>
            </w:r>
          </w:p>
        </w:tc>
      </w:tr>
      <w:tr w:rsidR="003F4CFF" w:rsidRPr="0018206D" w14:paraId="183678EF"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694FECFE"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3A43C04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товарной аквакультуры</w:t>
            </w:r>
          </w:p>
        </w:tc>
        <w:tc>
          <w:tcPr>
            <w:tcW w:w="804" w:type="pct"/>
            <w:tcBorders>
              <w:top w:val="single" w:sz="4" w:space="0" w:color="7F7F7F"/>
              <w:left w:val="nil"/>
              <w:bottom w:val="single" w:sz="4" w:space="0" w:color="7F7F7F"/>
              <w:right w:val="nil"/>
            </w:tcBorders>
            <w:shd w:val="clear" w:color="auto" w:fill="auto"/>
            <w:hideMark/>
          </w:tcPr>
          <w:p w14:paraId="5433AB1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35</w:t>
            </w:r>
          </w:p>
        </w:tc>
        <w:tc>
          <w:tcPr>
            <w:tcW w:w="731" w:type="pct"/>
            <w:tcBorders>
              <w:top w:val="single" w:sz="4" w:space="0" w:color="7F7F7F"/>
              <w:left w:val="nil"/>
              <w:bottom w:val="single" w:sz="4" w:space="0" w:color="7F7F7F"/>
              <w:right w:val="nil"/>
            </w:tcBorders>
            <w:shd w:val="clear" w:color="auto" w:fill="auto"/>
            <w:hideMark/>
          </w:tcPr>
          <w:p w14:paraId="5D36BE7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2,1%</w:t>
            </w:r>
          </w:p>
        </w:tc>
      </w:tr>
      <w:tr w:rsidR="003F4CFF" w:rsidRPr="0018206D" w14:paraId="0EC245DF"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7CCA3326"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7419403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добычи общераспространенных полезных ископаемых на участках недр местного значения</w:t>
            </w:r>
          </w:p>
        </w:tc>
        <w:tc>
          <w:tcPr>
            <w:tcW w:w="804" w:type="pct"/>
            <w:tcBorders>
              <w:top w:val="single" w:sz="4" w:space="0" w:color="7F7F7F"/>
              <w:left w:val="nil"/>
              <w:bottom w:val="single" w:sz="4" w:space="0" w:color="7F7F7F"/>
              <w:right w:val="nil"/>
            </w:tcBorders>
            <w:shd w:val="clear" w:color="auto" w:fill="auto"/>
            <w:hideMark/>
          </w:tcPr>
          <w:p w14:paraId="07C0C71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50</w:t>
            </w:r>
          </w:p>
        </w:tc>
        <w:tc>
          <w:tcPr>
            <w:tcW w:w="731" w:type="pct"/>
            <w:tcBorders>
              <w:top w:val="single" w:sz="4" w:space="0" w:color="7F7F7F"/>
              <w:left w:val="nil"/>
              <w:bottom w:val="single" w:sz="4" w:space="0" w:color="7F7F7F"/>
              <w:right w:val="nil"/>
            </w:tcBorders>
            <w:shd w:val="clear" w:color="auto" w:fill="auto"/>
            <w:hideMark/>
          </w:tcPr>
          <w:p w14:paraId="09A15EE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2,9%</w:t>
            </w:r>
          </w:p>
        </w:tc>
      </w:tr>
      <w:tr w:rsidR="003F4CFF" w:rsidRPr="0018206D" w14:paraId="32ADE85A"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4DFF24D9"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5035727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легкой промышленности</w:t>
            </w:r>
          </w:p>
        </w:tc>
        <w:tc>
          <w:tcPr>
            <w:tcW w:w="804" w:type="pct"/>
            <w:tcBorders>
              <w:top w:val="single" w:sz="4" w:space="0" w:color="7F7F7F"/>
              <w:left w:val="nil"/>
              <w:bottom w:val="single" w:sz="4" w:space="0" w:color="7F7F7F"/>
              <w:right w:val="nil"/>
            </w:tcBorders>
            <w:shd w:val="clear" w:color="auto" w:fill="auto"/>
            <w:hideMark/>
          </w:tcPr>
          <w:p w14:paraId="2D74628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55</w:t>
            </w:r>
          </w:p>
        </w:tc>
        <w:tc>
          <w:tcPr>
            <w:tcW w:w="731" w:type="pct"/>
            <w:tcBorders>
              <w:top w:val="single" w:sz="4" w:space="0" w:color="7F7F7F"/>
              <w:left w:val="nil"/>
              <w:bottom w:val="single" w:sz="4" w:space="0" w:color="7F7F7F"/>
              <w:right w:val="nil"/>
            </w:tcBorders>
            <w:shd w:val="clear" w:color="auto" w:fill="auto"/>
            <w:hideMark/>
          </w:tcPr>
          <w:p w14:paraId="64F5543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3,2%</w:t>
            </w:r>
          </w:p>
        </w:tc>
      </w:tr>
      <w:tr w:rsidR="003F4CFF" w:rsidRPr="0018206D" w14:paraId="611E5133"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54B79B03"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auto"/>
              <w:right w:val="nil"/>
            </w:tcBorders>
            <w:shd w:val="clear" w:color="auto" w:fill="auto"/>
            <w:hideMark/>
          </w:tcPr>
          <w:p w14:paraId="22C2A58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обработки древесины и производства изделий из дерева</w:t>
            </w:r>
          </w:p>
        </w:tc>
        <w:tc>
          <w:tcPr>
            <w:tcW w:w="804" w:type="pct"/>
            <w:tcBorders>
              <w:top w:val="single" w:sz="4" w:space="0" w:color="7F7F7F"/>
              <w:left w:val="nil"/>
              <w:bottom w:val="single" w:sz="4" w:space="0" w:color="auto"/>
              <w:right w:val="nil"/>
            </w:tcBorders>
            <w:shd w:val="clear" w:color="auto" w:fill="auto"/>
            <w:hideMark/>
          </w:tcPr>
          <w:p w14:paraId="2054BA9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60</w:t>
            </w:r>
          </w:p>
        </w:tc>
        <w:tc>
          <w:tcPr>
            <w:tcW w:w="731" w:type="pct"/>
            <w:tcBorders>
              <w:top w:val="single" w:sz="4" w:space="0" w:color="7F7F7F"/>
              <w:left w:val="nil"/>
              <w:bottom w:val="single" w:sz="4" w:space="0" w:color="auto"/>
              <w:right w:val="nil"/>
            </w:tcBorders>
            <w:shd w:val="clear" w:color="auto" w:fill="auto"/>
            <w:hideMark/>
          </w:tcPr>
          <w:p w14:paraId="6D86A2B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3,5%</w:t>
            </w:r>
          </w:p>
        </w:tc>
      </w:tr>
      <w:tr w:rsidR="003F4CFF" w:rsidRPr="0018206D" w14:paraId="34308B3A"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631E0D3B"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auto"/>
              <w:left w:val="nil"/>
              <w:bottom w:val="single" w:sz="4" w:space="0" w:color="7F7F7F"/>
              <w:right w:val="nil"/>
            </w:tcBorders>
            <w:shd w:val="clear" w:color="auto" w:fill="auto"/>
            <w:hideMark/>
          </w:tcPr>
          <w:p w14:paraId="12EE8C5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производства кирпича</w:t>
            </w:r>
          </w:p>
        </w:tc>
        <w:tc>
          <w:tcPr>
            <w:tcW w:w="804" w:type="pct"/>
            <w:tcBorders>
              <w:top w:val="single" w:sz="4" w:space="0" w:color="auto"/>
              <w:left w:val="nil"/>
              <w:bottom w:val="single" w:sz="4" w:space="0" w:color="7F7F7F"/>
              <w:right w:val="nil"/>
            </w:tcBorders>
            <w:shd w:val="clear" w:color="auto" w:fill="auto"/>
            <w:hideMark/>
          </w:tcPr>
          <w:p w14:paraId="648BB64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40</w:t>
            </w:r>
          </w:p>
        </w:tc>
        <w:tc>
          <w:tcPr>
            <w:tcW w:w="731" w:type="pct"/>
            <w:tcBorders>
              <w:top w:val="single" w:sz="4" w:space="0" w:color="auto"/>
              <w:left w:val="nil"/>
              <w:bottom w:val="single" w:sz="4" w:space="0" w:color="7F7F7F"/>
              <w:right w:val="nil"/>
            </w:tcBorders>
            <w:shd w:val="clear" w:color="auto" w:fill="auto"/>
            <w:hideMark/>
          </w:tcPr>
          <w:p w14:paraId="5EDBE01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2,4%</w:t>
            </w:r>
          </w:p>
        </w:tc>
      </w:tr>
      <w:tr w:rsidR="003F4CFF" w:rsidRPr="0018206D" w14:paraId="39191889" w14:textId="77777777" w:rsidTr="00A12C43">
        <w:trPr>
          <w:cantSplit/>
          <w:trHeight w:val="20"/>
        </w:trPr>
        <w:tc>
          <w:tcPr>
            <w:tcW w:w="1458" w:type="pct"/>
            <w:vMerge/>
            <w:tcBorders>
              <w:top w:val="single" w:sz="4" w:space="0" w:color="7F7F7F"/>
              <w:left w:val="nil"/>
              <w:bottom w:val="nil"/>
              <w:right w:val="nil"/>
            </w:tcBorders>
            <w:shd w:val="clear" w:color="auto" w:fill="auto"/>
            <w:hideMark/>
          </w:tcPr>
          <w:p w14:paraId="455A04BD"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2974AA3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Рынок производства бетона</w:t>
            </w:r>
          </w:p>
        </w:tc>
        <w:tc>
          <w:tcPr>
            <w:tcW w:w="804" w:type="pct"/>
            <w:tcBorders>
              <w:top w:val="nil"/>
              <w:left w:val="nil"/>
              <w:bottom w:val="nil"/>
              <w:right w:val="nil"/>
            </w:tcBorders>
            <w:shd w:val="clear" w:color="auto" w:fill="auto"/>
            <w:hideMark/>
          </w:tcPr>
          <w:p w14:paraId="7BB3CF5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35</w:t>
            </w:r>
          </w:p>
        </w:tc>
        <w:tc>
          <w:tcPr>
            <w:tcW w:w="731" w:type="pct"/>
            <w:tcBorders>
              <w:top w:val="nil"/>
              <w:left w:val="nil"/>
              <w:bottom w:val="nil"/>
              <w:right w:val="nil"/>
            </w:tcBorders>
            <w:shd w:val="clear" w:color="auto" w:fill="auto"/>
            <w:hideMark/>
          </w:tcPr>
          <w:p w14:paraId="3C26D72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2,1%</w:t>
            </w:r>
          </w:p>
        </w:tc>
      </w:tr>
      <w:tr w:rsidR="003F4CFF" w:rsidRPr="0018206D" w14:paraId="5BE2A98C" w14:textId="77777777" w:rsidTr="00A12C43">
        <w:trPr>
          <w:cantSplit/>
          <w:trHeight w:val="20"/>
        </w:trPr>
        <w:tc>
          <w:tcPr>
            <w:tcW w:w="1458" w:type="pct"/>
            <w:vMerge w:val="restart"/>
            <w:tcBorders>
              <w:top w:val="single" w:sz="4" w:space="0" w:color="7F7F7F"/>
              <w:left w:val="nil"/>
              <w:bottom w:val="single" w:sz="4" w:space="0" w:color="7F7F7F"/>
              <w:right w:val="nil"/>
            </w:tcBorders>
            <w:shd w:val="clear" w:color="auto" w:fill="auto"/>
            <w:hideMark/>
          </w:tcPr>
          <w:p w14:paraId="12CF150A" w14:textId="77777777" w:rsidR="003F4CFF" w:rsidRPr="0018206D" w:rsidRDefault="003F4CFF" w:rsidP="003F4CFF">
            <w:pPr>
              <w:rPr>
                <w:rFonts w:ascii="Times New Roman" w:eastAsia="Times New Roman" w:hAnsi="Times New Roman" w:cs="Times New Roman"/>
                <w:bCs/>
                <w:color w:val="000000"/>
                <w:sz w:val="18"/>
                <w:szCs w:val="18"/>
              </w:rPr>
            </w:pPr>
            <w:r w:rsidRPr="0018206D">
              <w:rPr>
                <w:rFonts w:ascii="Times New Roman" w:eastAsia="Times New Roman" w:hAnsi="Times New Roman" w:cs="Times New Roman"/>
                <w:bCs/>
                <w:color w:val="000000"/>
                <w:sz w:val="18"/>
                <w:szCs w:val="18"/>
              </w:rPr>
              <w:t>Муниципальное образование</w:t>
            </w:r>
          </w:p>
        </w:tc>
        <w:tc>
          <w:tcPr>
            <w:tcW w:w="2006" w:type="pct"/>
            <w:tcBorders>
              <w:top w:val="single" w:sz="4" w:space="0" w:color="7F7F7F"/>
              <w:left w:val="nil"/>
              <w:bottom w:val="single" w:sz="4" w:space="0" w:color="7F7F7F"/>
              <w:right w:val="nil"/>
            </w:tcBorders>
            <w:shd w:val="clear" w:color="auto" w:fill="auto"/>
            <w:hideMark/>
          </w:tcPr>
          <w:p w14:paraId="2D66EF3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г. Бердск</w:t>
            </w:r>
          </w:p>
        </w:tc>
        <w:tc>
          <w:tcPr>
            <w:tcW w:w="804" w:type="pct"/>
            <w:tcBorders>
              <w:top w:val="single" w:sz="4" w:space="0" w:color="7F7F7F"/>
              <w:left w:val="nil"/>
              <w:bottom w:val="single" w:sz="4" w:space="0" w:color="7F7F7F"/>
              <w:right w:val="nil"/>
            </w:tcBorders>
            <w:shd w:val="clear" w:color="auto" w:fill="auto"/>
            <w:hideMark/>
          </w:tcPr>
          <w:p w14:paraId="60F4990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73</w:t>
            </w:r>
          </w:p>
        </w:tc>
        <w:tc>
          <w:tcPr>
            <w:tcW w:w="731" w:type="pct"/>
            <w:tcBorders>
              <w:top w:val="single" w:sz="4" w:space="0" w:color="7F7F7F"/>
              <w:left w:val="nil"/>
              <w:bottom w:val="single" w:sz="4" w:space="0" w:color="7F7F7F"/>
              <w:right w:val="nil"/>
            </w:tcBorders>
            <w:shd w:val="clear" w:color="auto" w:fill="auto"/>
            <w:hideMark/>
          </w:tcPr>
          <w:p w14:paraId="229F7F4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4,3%</w:t>
            </w:r>
          </w:p>
        </w:tc>
      </w:tr>
      <w:tr w:rsidR="003F4CFF" w:rsidRPr="0018206D" w14:paraId="53C6BCD9"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218F4923"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10F57F1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г. Искитим</w:t>
            </w:r>
          </w:p>
        </w:tc>
        <w:tc>
          <w:tcPr>
            <w:tcW w:w="804" w:type="pct"/>
            <w:tcBorders>
              <w:top w:val="nil"/>
              <w:left w:val="nil"/>
              <w:bottom w:val="nil"/>
              <w:right w:val="nil"/>
            </w:tcBorders>
            <w:shd w:val="clear" w:color="auto" w:fill="auto"/>
            <w:hideMark/>
          </w:tcPr>
          <w:p w14:paraId="351836E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46</w:t>
            </w:r>
          </w:p>
        </w:tc>
        <w:tc>
          <w:tcPr>
            <w:tcW w:w="731" w:type="pct"/>
            <w:tcBorders>
              <w:top w:val="nil"/>
              <w:left w:val="nil"/>
              <w:bottom w:val="nil"/>
              <w:right w:val="nil"/>
            </w:tcBorders>
            <w:shd w:val="clear" w:color="auto" w:fill="auto"/>
            <w:hideMark/>
          </w:tcPr>
          <w:p w14:paraId="7CFEBDD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2,7%</w:t>
            </w:r>
          </w:p>
        </w:tc>
      </w:tr>
      <w:tr w:rsidR="003F4CFF" w:rsidRPr="0018206D" w14:paraId="18C30A41"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0A47AA86"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7A659A6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г. Новосибирск</w:t>
            </w:r>
          </w:p>
        </w:tc>
        <w:tc>
          <w:tcPr>
            <w:tcW w:w="804" w:type="pct"/>
            <w:tcBorders>
              <w:top w:val="single" w:sz="4" w:space="0" w:color="7F7F7F"/>
              <w:left w:val="nil"/>
              <w:bottom w:val="single" w:sz="4" w:space="0" w:color="7F7F7F"/>
              <w:right w:val="nil"/>
            </w:tcBorders>
            <w:shd w:val="clear" w:color="auto" w:fill="auto"/>
            <w:hideMark/>
          </w:tcPr>
          <w:p w14:paraId="26E1B62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890</w:t>
            </w:r>
          </w:p>
        </w:tc>
        <w:tc>
          <w:tcPr>
            <w:tcW w:w="731" w:type="pct"/>
            <w:tcBorders>
              <w:top w:val="single" w:sz="4" w:space="0" w:color="7F7F7F"/>
              <w:left w:val="nil"/>
              <w:bottom w:val="single" w:sz="4" w:space="0" w:color="7F7F7F"/>
              <w:right w:val="nil"/>
            </w:tcBorders>
            <w:shd w:val="clear" w:color="auto" w:fill="auto"/>
            <w:hideMark/>
          </w:tcPr>
          <w:p w14:paraId="3C1550A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52,4%</w:t>
            </w:r>
          </w:p>
        </w:tc>
      </w:tr>
      <w:tr w:rsidR="003F4CFF" w:rsidRPr="0018206D" w14:paraId="1633F1DE"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0D6D2A52"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2FFD42F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г. Обь</w:t>
            </w:r>
          </w:p>
        </w:tc>
        <w:tc>
          <w:tcPr>
            <w:tcW w:w="804" w:type="pct"/>
            <w:tcBorders>
              <w:top w:val="nil"/>
              <w:left w:val="nil"/>
              <w:bottom w:val="nil"/>
              <w:right w:val="nil"/>
            </w:tcBorders>
            <w:shd w:val="clear" w:color="auto" w:fill="auto"/>
            <w:hideMark/>
          </w:tcPr>
          <w:p w14:paraId="21FDBF0A"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18</w:t>
            </w:r>
          </w:p>
        </w:tc>
        <w:tc>
          <w:tcPr>
            <w:tcW w:w="731" w:type="pct"/>
            <w:tcBorders>
              <w:top w:val="nil"/>
              <w:left w:val="nil"/>
              <w:bottom w:val="nil"/>
              <w:right w:val="nil"/>
            </w:tcBorders>
            <w:shd w:val="clear" w:color="auto" w:fill="auto"/>
            <w:hideMark/>
          </w:tcPr>
          <w:p w14:paraId="1E96B1E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1,1%</w:t>
            </w:r>
          </w:p>
        </w:tc>
      </w:tr>
      <w:tr w:rsidR="003F4CFF" w:rsidRPr="0018206D" w14:paraId="2E1CEA49"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61D28A4B"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6510455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р. п. Кольцово</w:t>
            </w:r>
          </w:p>
        </w:tc>
        <w:tc>
          <w:tcPr>
            <w:tcW w:w="804" w:type="pct"/>
            <w:tcBorders>
              <w:top w:val="single" w:sz="4" w:space="0" w:color="7F7F7F"/>
              <w:left w:val="nil"/>
              <w:bottom w:val="single" w:sz="4" w:space="0" w:color="7F7F7F"/>
              <w:right w:val="nil"/>
            </w:tcBorders>
            <w:shd w:val="clear" w:color="auto" w:fill="auto"/>
            <w:hideMark/>
          </w:tcPr>
          <w:p w14:paraId="3C423D7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12</w:t>
            </w:r>
          </w:p>
        </w:tc>
        <w:tc>
          <w:tcPr>
            <w:tcW w:w="731" w:type="pct"/>
            <w:tcBorders>
              <w:top w:val="single" w:sz="4" w:space="0" w:color="7F7F7F"/>
              <w:left w:val="nil"/>
              <w:bottom w:val="single" w:sz="4" w:space="0" w:color="7F7F7F"/>
              <w:right w:val="nil"/>
            </w:tcBorders>
            <w:shd w:val="clear" w:color="auto" w:fill="auto"/>
            <w:hideMark/>
          </w:tcPr>
          <w:p w14:paraId="543C733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0,7%</w:t>
            </w:r>
          </w:p>
        </w:tc>
      </w:tr>
      <w:tr w:rsidR="003F4CFF" w:rsidRPr="0018206D" w14:paraId="4B92721B"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2654BC2D"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1BC3D30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Баганский район</w:t>
            </w:r>
          </w:p>
        </w:tc>
        <w:tc>
          <w:tcPr>
            <w:tcW w:w="804" w:type="pct"/>
            <w:tcBorders>
              <w:top w:val="nil"/>
              <w:left w:val="nil"/>
              <w:bottom w:val="nil"/>
              <w:right w:val="nil"/>
            </w:tcBorders>
            <w:shd w:val="clear" w:color="auto" w:fill="auto"/>
            <w:hideMark/>
          </w:tcPr>
          <w:p w14:paraId="428394BA"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12</w:t>
            </w:r>
          </w:p>
        </w:tc>
        <w:tc>
          <w:tcPr>
            <w:tcW w:w="731" w:type="pct"/>
            <w:tcBorders>
              <w:top w:val="nil"/>
              <w:left w:val="nil"/>
              <w:bottom w:val="nil"/>
              <w:right w:val="nil"/>
            </w:tcBorders>
            <w:shd w:val="clear" w:color="auto" w:fill="auto"/>
            <w:hideMark/>
          </w:tcPr>
          <w:p w14:paraId="4CED6D9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0,7%</w:t>
            </w:r>
          </w:p>
        </w:tc>
      </w:tr>
      <w:tr w:rsidR="003F4CFF" w:rsidRPr="0018206D" w14:paraId="065C36EA"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4C304263"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726F9BD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Барабинский район</w:t>
            </w:r>
          </w:p>
        </w:tc>
        <w:tc>
          <w:tcPr>
            <w:tcW w:w="804" w:type="pct"/>
            <w:tcBorders>
              <w:top w:val="single" w:sz="4" w:space="0" w:color="7F7F7F"/>
              <w:left w:val="nil"/>
              <w:bottom w:val="single" w:sz="4" w:space="0" w:color="7F7F7F"/>
              <w:right w:val="nil"/>
            </w:tcBorders>
            <w:shd w:val="clear" w:color="auto" w:fill="auto"/>
            <w:hideMark/>
          </w:tcPr>
          <w:p w14:paraId="3EBB6D9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29</w:t>
            </w:r>
          </w:p>
        </w:tc>
        <w:tc>
          <w:tcPr>
            <w:tcW w:w="731" w:type="pct"/>
            <w:tcBorders>
              <w:top w:val="single" w:sz="4" w:space="0" w:color="7F7F7F"/>
              <w:left w:val="nil"/>
              <w:bottom w:val="single" w:sz="4" w:space="0" w:color="7F7F7F"/>
              <w:right w:val="nil"/>
            </w:tcBorders>
            <w:shd w:val="clear" w:color="auto" w:fill="auto"/>
            <w:hideMark/>
          </w:tcPr>
          <w:p w14:paraId="376705F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1,7%</w:t>
            </w:r>
          </w:p>
        </w:tc>
      </w:tr>
      <w:tr w:rsidR="003F4CFF" w:rsidRPr="0018206D" w14:paraId="64AC4874"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1AB3573F"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6D26D41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Болотнинский район</w:t>
            </w:r>
          </w:p>
        </w:tc>
        <w:tc>
          <w:tcPr>
            <w:tcW w:w="804" w:type="pct"/>
            <w:tcBorders>
              <w:top w:val="nil"/>
              <w:left w:val="nil"/>
              <w:bottom w:val="nil"/>
              <w:right w:val="nil"/>
            </w:tcBorders>
            <w:shd w:val="clear" w:color="auto" w:fill="auto"/>
            <w:hideMark/>
          </w:tcPr>
          <w:p w14:paraId="05A460A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19</w:t>
            </w:r>
          </w:p>
        </w:tc>
        <w:tc>
          <w:tcPr>
            <w:tcW w:w="731" w:type="pct"/>
            <w:tcBorders>
              <w:top w:val="nil"/>
              <w:left w:val="nil"/>
              <w:bottom w:val="nil"/>
              <w:right w:val="nil"/>
            </w:tcBorders>
            <w:shd w:val="clear" w:color="auto" w:fill="auto"/>
            <w:hideMark/>
          </w:tcPr>
          <w:p w14:paraId="0E1C09A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1,1%</w:t>
            </w:r>
          </w:p>
        </w:tc>
      </w:tr>
      <w:tr w:rsidR="003F4CFF" w:rsidRPr="0018206D" w14:paraId="66CDFC10"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406467BA"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66EC1F6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Венгеровский район</w:t>
            </w:r>
          </w:p>
        </w:tc>
        <w:tc>
          <w:tcPr>
            <w:tcW w:w="804" w:type="pct"/>
            <w:tcBorders>
              <w:top w:val="single" w:sz="4" w:space="0" w:color="7F7F7F"/>
              <w:left w:val="nil"/>
              <w:bottom w:val="single" w:sz="4" w:space="0" w:color="7F7F7F"/>
              <w:right w:val="nil"/>
            </w:tcBorders>
            <w:shd w:val="clear" w:color="auto" w:fill="auto"/>
            <w:hideMark/>
          </w:tcPr>
          <w:p w14:paraId="0B7D0A7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13</w:t>
            </w:r>
          </w:p>
        </w:tc>
        <w:tc>
          <w:tcPr>
            <w:tcW w:w="731" w:type="pct"/>
            <w:tcBorders>
              <w:top w:val="single" w:sz="4" w:space="0" w:color="7F7F7F"/>
              <w:left w:val="nil"/>
              <w:bottom w:val="single" w:sz="4" w:space="0" w:color="7F7F7F"/>
              <w:right w:val="nil"/>
            </w:tcBorders>
            <w:shd w:val="clear" w:color="auto" w:fill="auto"/>
            <w:hideMark/>
          </w:tcPr>
          <w:p w14:paraId="5707F1A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0,8%</w:t>
            </w:r>
          </w:p>
        </w:tc>
      </w:tr>
      <w:tr w:rsidR="003F4CFF" w:rsidRPr="0018206D" w14:paraId="66771E14"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074BE9B4"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0651437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Доволенский район</w:t>
            </w:r>
          </w:p>
        </w:tc>
        <w:tc>
          <w:tcPr>
            <w:tcW w:w="804" w:type="pct"/>
            <w:tcBorders>
              <w:top w:val="nil"/>
              <w:left w:val="nil"/>
              <w:bottom w:val="nil"/>
              <w:right w:val="nil"/>
            </w:tcBorders>
            <w:shd w:val="clear" w:color="auto" w:fill="auto"/>
            <w:hideMark/>
          </w:tcPr>
          <w:p w14:paraId="76969C2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15</w:t>
            </w:r>
          </w:p>
        </w:tc>
        <w:tc>
          <w:tcPr>
            <w:tcW w:w="731" w:type="pct"/>
            <w:tcBorders>
              <w:top w:val="nil"/>
              <w:left w:val="nil"/>
              <w:bottom w:val="nil"/>
              <w:right w:val="nil"/>
            </w:tcBorders>
            <w:shd w:val="clear" w:color="auto" w:fill="auto"/>
            <w:hideMark/>
          </w:tcPr>
          <w:p w14:paraId="0AF14F2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0,9%</w:t>
            </w:r>
          </w:p>
        </w:tc>
      </w:tr>
      <w:tr w:rsidR="003F4CFF" w:rsidRPr="0018206D" w14:paraId="629CF310"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02C9CFF8"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133C036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Здвинский район</w:t>
            </w:r>
          </w:p>
        </w:tc>
        <w:tc>
          <w:tcPr>
            <w:tcW w:w="804" w:type="pct"/>
            <w:tcBorders>
              <w:top w:val="single" w:sz="4" w:space="0" w:color="7F7F7F"/>
              <w:left w:val="nil"/>
              <w:bottom w:val="single" w:sz="4" w:space="0" w:color="7F7F7F"/>
              <w:right w:val="nil"/>
            </w:tcBorders>
            <w:shd w:val="clear" w:color="auto" w:fill="auto"/>
            <w:hideMark/>
          </w:tcPr>
          <w:p w14:paraId="005A997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17</w:t>
            </w:r>
          </w:p>
        </w:tc>
        <w:tc>
          <w:tcPr>
            <w:tcW w:w="731" w:type="pct"/>
            <w:tcBorders>
              <w:top w:val="single" w:sz="4" w:space="0" w:color="7F7F7F"/>
              <w:left w:val="nil"/>
              <w:bottom w:val="single" w:sz="4" w:space="0" w:color="7F7F7F"/>
              <w:right w:val="nil"/>
            </w:tcBorders>
            <w:shd w:val="clear" w:color="auto" w:fill="auto"/>
            <w:hideMark/>
          </w:tcPr>
          <w:p w14:paraId="2EBEA3C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1,0%</w:t>
            </w:r>
          </w:p>
        </w:tc>
      </w:tr>
      <w:tr w:rsidR="003F4CFF" w:rsidRPr="0018206D" w14:paraId="78345A17"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3A258DC5"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4DBC9A0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Искитимский район</w:t>
            </w:r>
          </w:p>
        </w:tc>
        <w:tc>
          <w:tcPr>
            <w:tcW w:w="804" w:type="pct"/>
            <w:tcBorders>
              <w:top w:val="nil"/>
              <w:left w:val="nil"/>
              <w:bottom w:val="nil"/>
              <w:right w:val="nil"/>
            </w:tcBorders>
            <w:shd w:val="clear" w:color="auto" w:fill="auto"/>
            <w:hideMark/>
          </w:tcPr>
          <w:p w14:paraId="576EDC9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40</w:t>
            </w:r>
          </w:p>
        </w:tc>
        <w:tc>
          <w:tcPr>
            <w:tcW w:w="731" w:type="pct"/>
            <w:tcBorders>
              <w:top w:val="nil"/>
              <w:left w:val="nil"/>
              <w:bottom w:val="nil"/>
              <w:right w:val="nil"/>
            </w:tcBorders>
            <w:shd w:val="clear" w:color="auto" w:fill="auto"/>
            <w:hideMark/>
          </w:tcPr>
          <w:p w14:paraId="5312182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2,4%</w:t>
            </w:r>
          </w:p>
        </w:tc>
      </w:tr>
      <w:tr w:rsidR="003F4CFF" w:rsidRPr="0018206D" w14:paraId="21AE6D96"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0B7115BA"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0C5B2D4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Карасукский район</w:t>
            </w:r>
          </w:p>
        </w:tc>
        <w:tc>
          <w:tcPr>
            <w:tcW w:w="804" w:type="pct"/>
            <w:tcBorders>
              <w:top w:val="single" w:sz="4" w:space="0" w:color="7F7F7F"/>
              <w:left w:val="nil"/>
              <w:bottom w:val="single" w:sz="4" w:space="0" w:color="7F7F7F"/>
              <w:right w:val="nil"/>
            </w:tcBorders>
            <w:shd w:val="clear" w:color="auto" w:fill="auto"/>
            <w:hideMark/>
          </w:tcPr>
          <w:p w14:paraId="20E5CDA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32</w:t>
            </w:r>
          </w:p>
        </w:tc>
        <w:tc>
          <w:tcPr>
            <w:tcW w:w="731" w:type="pct"/>
            <w:tcBorders>
              <w:top w:val="single" w:sz="4" w:space="0" w:color="7F7F7F"/>
              <w:left w:val="nil"/>
              <w:bottom w:val="single" w:sz="4" w:space="0" w:color="7F7F7F"/>
              <w:right w:val="nil"/>
            </w:tcBorders>
            <w:shd w:val="clear" w:color="auto" w:fill="auto"/>
            <w:hideMark/>
          </w:tcPr>
          <w:p w14:paraId="2B100C2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1,9%</w:t>
            </w:r>
          </w:p>
        </w:tc>
      </w:tr>
      <w:tr w:rsidR="003F4CFF" w:rsidRPr="0018206D" w14:paraId="22D3D62B"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3BAEE949"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40386E8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Каргатский район</w:t>
            </w:r>
          </w:p>
        </w:tc>
        <w:tc>
          <w:tcPr>
            <w:tcW w:w="804" w:type="pct"/>
            <w:tcBorders>
              <w:top w:val="nil"/>
              <w:left w:val="nil"/>
              <w:bottom w:val="nil"/>
              <w:right w:val="nil"/>
            </w:tcBorders>
            <w:shd w:val="clear" w:color="auto" w:fill="auto"/>
            <w:hideMark/>
          </w:tcPr>
          <w:p w14:paraId="4FF54F8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13</w:t>
            </w:r>
          </w:p>
        </w:tc>
        <w:tc>
          <w:tcPr>
            <w:tcW w:w="731" w:type="pct"/>
            <w:tcBorders>
              <w:top w:val="nil"/>
              <w:left w:val="nil"/>
              <w:bottom w:val="nil"/>
              <w:right w:val="nil"/>
            </w:tcBorders>
            <w:shd w:val="clear" w:color="auto" w:fill="auto"/>
            <w:hideMark/>
          </w:tcPr>
          <w:p w14:paraId="10F85B5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0,8%</w:t>
            </w:r>
          </w:p>
        </w:tc>
      </w:tr>
      <w:tr w:rsidR="003F4CFF" w:rsidRPr="0018206D" w14:paraId="3E7C8D82"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33CBFBC0"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3385BD3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Колыванский район</w:t>
            </w:r>
          </w:p>
        </w:tc>
        <w:tc>
          <w:tcPr>
            <w:tcW w:w="804" w:type="pct"/>
            <w:tcBorders>
              <w:top w:val="single" w:sz="4" w:space="0" w:color="7F7F7F"/>
              <w:left w:val="nil"/>
              <w:bottom w:val="single" w:sz="4" w:space="0" w:color="7F7F7F"/>
              <w:right w:val="nil"/>
            </w:tcBorders>
            <w:shd w:val="clear" w:color="auto" w:fill="auto"/>
            <w:hideMark/>
          </w:tcPr>
          <w:p w14:paraId="2CB8668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18</w:t>
            </w:r>
          </w:p>
        </w:tc>
        <w:tc>
          <w:tcPr>
            <w:tcW w:w="731" w:type="pct"/>
            <w:tcBorders>
              <w:top w:val="single" w:sz="4" w:space="0" w:color="7F7F7F"/>
              <w:left w:val="nil"/>
              <w:bottom w:val="single" w:sz="4" w:space="0" w:color="7F7F7F"/>
              <w:right w:val="nil"/>
            </w:tcBorders>
            <w:shd w:val="clear" w:color="auto" w:fill="auto"/>
            <w:hideMark/>
          </w:tcPr>
          <w:p w14:paraId="394245C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1,1%</w:t>
            </w:r>
          </w:p>
        </w:tc>
      </w:tr>
      <w:tr w:rsidR="003F4CFF" w:rsidRPr="0018206D" w14:paraId="42D2B82A"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4B4D8B5E"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78E8788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Коченевский район</w:t>
            </w:r>
          </w:p>
        </w:tc>
        <w:tc>
          <w:tcPr>
            <w:tcW w:w="804" w:type="pct"/>
            <w:tcBorders>
              <w:top w:val="nil"/>
              <w:left w:val="nil"/>
              <w:bottom w:val="nil"/>
              <w:right w:val="nil"/>
            </w:tcBorders>
            <w:shd w:val="clear" w:color="auto" w:fill="auto"/>
            <w:hideMark/>
          </w:tcPr>
          <w:p w14:paraId="0963C129"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13</w:t>
            </w:r>
          </w:p>
        </w:tc>
        <w:tc>
          <w:tcPr>
            <w:tcW w:w="731" w:type="pct"/>
            <w:tcBorders>
              <w:top w:val="nil"/>
              <w:left w:val="nil"/>
              <w:bottom w:val="nil"/>
              <w:right w:val="nil"/>
            </w:tcBorders>
            <w:shd w:val="clear" w:color="auto" w:fill="auto"/>
            <w:hideMark/>
          </w:tcPr>
          <w:p w14:paraId="52F602B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0,8%</w:t>
            </w:r>
          </w:p>
        </w:tc>
      </w:tr>
      <w:tr w:rsidR="003F4CFF" w:rsidRPr="0018206D" w14:paraId="5FFDCA04"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28EFF801"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190A028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Кочковский район</w:t>
            </w:r>
          </w:p>
        </w:tc>
        <w:tc>
          <w:tcPr>
            <w:tcW w:w="804" w:type="pct"/>
            <w:tcBorders>
              <w:top w:val="single" w:sz="4" w:space="0" w:color="7F7F7F"/>
              <w:left w:val="nil"/>
              <w:bottom w:val="single" w:sz="4" w:space="0" w:color="7F7F7F"/>
              <w:right w:val="nil"/>
            </w:tcBorders>
            <w:shd w:val="clear" w:color="auto" w:fill="auto"/>
            <w:hideMark/>
          </w:tcPr>
          <w:p w14:paraId="301099F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12</w:t>
            </w:r>
          </w:p>
        </w:tc>
        <w:tc>
          <w:tcPr>
            <w:tcW w:w="731" w:type="pct"/>
            <w:tcBorders>
              <w:top w:val="single" w:sz="4" w:space="0" w:color="7F7F7F"/>
              <w:left w:val="nil"/>
              <w:bottom w:val="single" w:sz="4" w:space="0" w:color="7F7F7F"/>
              <w:right w:val="nil"/>
            </w:tcBorders>
            <w:shd w:val="clear" w:color="auto" w:fill="auto"/>
            <w:hideMark/>
          </w:tcPr>
          <w:p w14:paraId="07EE674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0,7%</w:t>
            </w:r>
          </w:p>
        </w:tc>
      </w:tr>
      <w:tr w:rsidR="003F4CFF" w:rsidRPr="0018206D" w14:paraId="6704718E"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263BDB83"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6161052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Краснозерский район</w:t>
            </w:r>
          </w:p>
        </w:tc>
        <w:tc>
          <w:tcPr>
            <w:tcW w:w="804" w:type="pct"/>
            <w:tcBorders>
              <w:top w:val="nil"/>
              <w:left w:val="nil"/>
              <w:bottom w:val="nil"/>
              <w:right w:val="nil"/>
            </w:tcBorders>
            <w:shd w:val="clear" w:color="auto" w:fill="auto"/>
            <w:hideMark/>
          </w:tcPr>
          <w:p w14:paraId="6210B8A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26</w:t>
            </w:r>
          </w:p>
        </w:tc>
        <w:tc>
          <w:tcPr>
            <w:tcW w:w="731" w:type="pct"/>
            <w:tcBorders>
              <w:top w:val="nil"/>
              <w:left w:val="nil"/>
              <w:bottom w:val="nil"/>
              <w:right w:val="nil"/>
            </w:tcBorders>
            <w:shd w:val="clear" w:color="auto" w:fill="auto"/>
            <w:hideMark/>
          </w:tcPr>
          <w:p w14:paraId="3689FEE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1,5%</w:t>
            </w:r>
          </w:p>
        </w:tc>
      </w:tr>
      <w:tr w:rsidR="003F4CFF" w:rsidRPr="0018206D" w14:paraId="55B6594B"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308530AD"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00A9196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Куйбышевский район</w:t>
            </w:r>
          </w:p>
        </w:tc>
        <w:tc>
          <w:tcPr>
            <w:tcW w:w="804" w:type="pct"/>
            <w:tcBorders>
              <w:top w:val="single" w:sz="4" w:space="0" w:color="7F7F7F"/>
              <w:left w:val="nil"/>
              <w:bottom w:val="single" w:sz="4" w:space="0" w:color="7F7F7F"/>
              <w:right w:val="nil"/>
            </w:tcBorders>
            <w:shd w:val="clear" w:color="auto" w:fill="auto"/>
            <w:hideMark/>
          </w:tcPr>
          <w:p w14:paraId="723FE22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55</w:t>
            </w:r>
          </w:p>
        </w:tc>
        <w:tc>
          <w:tcPr>
            <w:tcW w:w="731" w:type="pct"/>
            <w:tcBorders>
              <w:top w:val="single" w:sz="4" w:space="0" w:color="7F7F7F"/>
              <w:left w:val="nil"/>
              <w:bottom w:val="single" w:sz="4" w:space="0" w:color="7F7F7F"/>
              <w:right w:val="nil"/>
            </w:tcBorders>
            <w:shd w:val="clear" w:color="auto" w:fill="auto"/>
            <w:hideMark/>
          </w:tcPr>
          <w:p w14:paraId="17D4B1D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3,2%</w:t>
            </w:r>
          </w:p>
        </w:tc>
      </w:tr>
      <w:tr w:rsidR="003F4CFF" w:rsidRPr="0018206D" w14:paraId="496BEDC1"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4F8C7F31"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5BF858A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Купинский район</w:t>
            </w:r>
          </w:p>
        </w:tc>
        <w:tc>
          <w:tcPr>
            <w:tcW w:w="804" w:type="pct"/>
            <w:tcBorders>
              <w:top w:val="nil"/>
              <w:left w:val="nil"/>
              <w:bottom w:val="nil"/>
              <w:right w:val="nil"/>
            </w:tcBorders>
            <w:shd w:val="clear" w:color="auto" w:fill="auto"/>
            <w:hideMark/>
          </w:tcPr>
          <w:p w14:paraId="616F224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25</w:t>
            </w:r>
          </w:p>
        </w:tc>
        <w:tc>
          <w:tcPr>
            <w:tcW w:w="731" w:type="pct"/>
            <w:tcBorders>
              <w:top w:val="nil"/>
              <w:left w:val="nil"/>
              <w:bottom w:val="nil"/>
              <w:right w:val="nil"/>
            </w:tcBorders>
            <w:shd w:val="clear" w:color="auto" w:fill="auto"/>
            <w:hideMark/>
          </w:tcPr>
          <w:p w14:paraId="7F826BB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1,5%</w:t>
            </w:r>
          </w:p>
        </w:tc>
      </w:tr>
      <w:tr w:rsidR="003F4CFF" w:rsidRPr="0018206D" w14:paraId="46808763"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4C8CD2AA"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517A9D8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Кыштовский район</w:t>
            </w:r>
          </w:p>
        </w:tc>
        <w:tc>
          <w:tcPr>
            <w:tcW w:w="804" w:type="pct"/>
            <w:tcBorders>
              <w:top w:val="single" w:sz="4" w:space="0" w:color="7F7F7F"/>
              <w:left w:val="nil"/>
              <w:bottom w:val="single" w:sz="4" w:space="0" w:color="7F7F7F"/>
              <w:right w:val="nil"/>
            </w:tcBorders>
            <w:shd w:val="clear" w:color="auto" w:fill="auto"/>
            <w:hideMark/>
          </w:tcPr>
          <w:p w14:paraId="67F9E86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14</w:t>
            </w:r>
          </w:p>
        </w:tc>
        <w:tc>
          <w:tcPr>
            <w:tcW w:w="731" w:type="pct"/>
            <w:tcBorders>
              <w:top w:val="single" w:sz="4" w:space="0" w:color="7F7F7F"/>
              <w:left w:val="nil"/>
              <w:bottom w:val="single" w:sz="4" w:space="0" w:color="7F7F7F"/>
              <w:right w:val="nil"/>
            </w:tcBorders>
            <w:shd w:val="clear" w:color="auto" w:fill="auto"/>
            <w:hideMark/>
          </w:tcPr>
          <w:p w14:paraId="7954D51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0,8%</w:t>
            </w:r>
          </w:p>
        </w:tc>
      </w:tr>
      <w:tr w:rsidR="003F4CFF" w:rsidRPr="0018206D" w14:paraId="6095EB38"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4BD6B050"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0636D49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Маслянинский район</w:t>
            </w:r>
          </w:p>
        </w:tc>
        <w:tc>
          <w:tcPr>
            <w:tcW w:w="804" w:type="pct"/>
            <w:tcBorders>
              <w:top w:val="nil"/>
              <w:left w:val="nil"/>
              <w:bottom w:val="nil"/>
              <w:right w:val="nil"/>
            </w:tcBorders>
            <w:shd w:val="clear" w:color="auto" w:fill="auto"/>
            <w:hideMark/>
          </w:tcPr>
          <w:p w14:paraId="008765E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28</w:t>
            </w:r>
          </w:p>
        </w:tc>
        <w:tc>
          <w:tcPr>
            <w:tcW w:w="731" w:type="pct"/>
            <w:tcBorders>
              <w:top w:val="nil"/>
              <w:left w:val="nil"/>
              <w:bottom w:val="nil"/>
              <w:right w:val="nil"/>
            </w:tcBorders>
            <w:shd w:val="clear" w:color="auto" w:fill="auto"/>
            <w:hideMark/>
          </w:tcPr>
          <w:p w14:paraId="655DF53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1,6%</w:t>
            </w:r>
          </w:p>
        </w:tc>
      </w:tr>
      <w:tr w:rsidR="003F4CFF" w:rsidRPr="0018206D" w14:paraId="6AB873CF"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726DA246"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72F75CF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Мошковский район</w:t>
            </w:r>
          </w:p>
        </w:tc>
        <w:tc>
          <w:tcPr>
            <w:tcW w:w="804" w:type="pct"/>
            <w:tcBorders>
              <w:top w:val="single" w:sz="4" w:space="0" w:color="7F7F7F"/>
              <w:left w:val="nil"/>
              <w:bottom w:val="single" w:sz="4" w:space="0" w:color="7F7F7F"/>
              <w:right w:val="nil"/>
            </w:tcBorders>
            <w:shd w:val="clear" w:color="auto" w:fill="auto"/>
            <w:hideMark/>
          </w:tcPr>
          <w:p w14:paraId="16B5CA7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25</w:t>
            </w:r>
          </w:p>
        </w:tc>
        <w:tc>
          <w:tcPr>
            <w:tcW w:w="731" w:type="pct"/>
            <w:tcBorders>
              <w:top w:val="single" w:sz="4" w:space="0" w:color="7F7F7F"/>
              <w:left w:val="nil"/>
              <w:bottom w:val="single" w:sz="4" w:space="0" w:color="7F7F7F"/>
              <w:right w:val="nil"/>
            </w:tcBorders>
            <w:shd w:val="clear" w:color="auto" w:fill="auto"/>
            <w:hideMark/>
          </w:tcPr>
          <w:p w14:paraId="5726131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1,5%</w:t>
            </w:r>
          </w:p>
        </w:tc>
      </w:tr>
      <w:tr w:rsidR="003F4CFF" w:rsidRPr="0018206D" w14:paraId="55D366F4"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413FCD73"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47B99B4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Новосибирский район</w:t>
            </w:r>
          </w:p>
        </w:tc>
        <w:tc>
          <w:tcPr>
            <w:tcW w:w="804" w:type="pct"/>
            <w:tcBorders>
              <w:top w:val="nil"/>
              <w:left w:val="nil"/>
              <w:bottom w:val="nil"/>
              <w:right w:val="nil"/>
            </w:tcBorders>
            <w:shd w:val="clear" w:color="auto" w:fill="auto"/>
            <w:hideMark/>
          </w:tcPr>
          <w:p w14:paraId="3686DF3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53</w:t>
            </w:r>
          </w:p>
        </w:tc>
        <w:tc>
          <w:tcPr>
            <w:tcW w:w="731" w:type="pct"/>
            <w:tcBorders>
              <w:top w:val="nil"/>
              <w:left w:val="nil"/>
              <w:bottom w:val="nil"/>
              <w:right w:val="nil"/>
            </w:tcBorders>
            <w:shd w:val="clear" w:color="auto" w:fill="auto"/>
            <w:hideMark/>
          </w:tcPr>
          <w:p w14:paraId="6F2E147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3,1%</w:t>
            </w:r>
          </w:p>
        </w:tc>
      </w:tr>
      <w:tr w:rsidR="003F4CFF" w:rsidRPr="0018206D" w14:paraId="6CF550FE"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2A217D20"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61CA105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Ордынский район</w:t>
            </w:r>
          </w:p>
        </w:tc>
        <w:tc>
          <w:tcPr>
            <w:tcW w:w="804" w:type="pct"/>
            <w:tcBorders>
              <w:top w:val="single" w:sz="4" w:space="0" w:color="7F7F7F"/>
              <w:left w:val="nil"/>
              <w:bottom w:val="single" w:sz="4" w:space="0" w:color="7F7F7F"/>
              <w:right w:val="nil"/>
            </w:tcBorders>
            <w:shd w:val="clear" w:color="auto" w:fill="auto"/>
            <w:hideMark/>
          </w:tcPr>
          <w:p w14:paraId="1FE199A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21</w:t>
            </w:r>
          </w:p>
        </w:tc>
        <w:tc>
          <w:tcPr>
            <w:tcW w:w="731" w:type="pct"/>
            <w:tcBorders>
              <w:top w:val="single" w:sz="4" w:space="0" w:color="7F7F7F"/>
              <w:left w:val="nil"/>
              <w:bottom w:val="single" w:sz="4" w:space="0" w:color="7F7F7F"/>
              <w:right w:val="nil"/>
            </w:tcBorders>
            <w:shd w:val="clear" w:color="auto" w:fill="auto"/>
            <w:hideMark/>
          </w:tcPr>
          <w:p w14:paraId="2CD11A9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1,2%</w:t>
            </w:r>
          </w:p>
        </w:tc>
      </w:tr>
      <w:tr w:rsidR="003F4CFF" w:rsidRPr="0018206D" w14:paraId="3BC3B636"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1A310714"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65E945D5"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Северный район</w:t>
            </w:r>
          </w:p>
        </w:tc>
        <w:tc>
          <w:tcPr>
            <w:tcW w:w="804" w:type="pct"/>
            <w:tcBorders>
              <w:top w:val="nil"/>
              <w:left w:val="nil"/>
              <w:bottom w:val="nil"/>
              <w:right w:val="nil"/>
            </w:tcBorders>
            <w:shd w:val="clear" w:color="auto" w:fill="auto"/>
            <w:hideMark/>
          </w:tcPr>
          <w:p w14:paraId="4128E5BA"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9</w:t>
            </w:r>
          </w:p>
        </w:tc>
        <w:tc>
          <w:tcPr>
            <w:tcW w:w="731" w:type="pct"/>
            <w:tcBorders>
              <w:top w:val="nil"/>
              <w:left w:val="nil"/>
              <w:bottom w:val="nil"/>
              <w:right w:val="nil"/>
            </w:tcBorders>
            <w:shd w:val="clear" w:color="auto" w:fill="auto"/>
            <w:hideMark/>
          </w:tcPr>
          <w:p w14:paraId="5901F93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0,5%</w:t>
            </w:r>
          </w:p>
        </w:tc>
      </w:tr>
      <w:tr w:rsidR="003F4CFF" w:rsidRPr="0018206D" w14:paraId="1211DB16"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5E3204AA"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3FE9DFCD"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Сузунский район</w:t>
            </w:r>
          </w:p>
        </w:tc>
        <w:tc>
          <w:tcPr>
            <w:tcW w:w="804" w:type="pct"/>
            <w:tcBorders>
              <w:top w:val="single" w:sz="4" w:space="0" w:color="7F7F7F"/>
              <w:left w:val="nil"/>
              <w:bottom w:val="single" w:sz="4" w:space="0" w:color="7F7F7F"/>
              <w:right w:val="nil"/>
            </w:tcBorders>
            <w:shd w:val="clear" w:color="auto" w:fill="auto"/>
            <w:hideMark/>
          </w:tcPr>
          <w:p w14:paraId="0A3B807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29</w:t>
            </w:r>
          </w:p>
        </w:tc>
        <w:tc>
          <w:tcPr>
            <w:tcW w:w="731" w:type="pct"/>
            <w:tcBorders>
              <w:top w:val="single" w:sz="4" w:space="0" w:color="7F7F7F"/>
              <w:left w:val="nil"/>
              <w:bottom w:val="single" w:sz="4" w:space="0" w:color="7F7F7F"/>
              <w:right w:val="nil"/>
            </w:tcBorders>
            <w:shd w:val="clear" w:color="auto" w:fill="auto"/>
            <w:hideMark/>
          </w:tcPr>
          <w:p w14:paraId="27BCD3B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1,7%</w:t>
            </w:r>
          </w:p>
        </w:tc>
      </w:tr>
      <w:tr w:rsidR="003F4CFF" w:rsidRPr="0018206D" w14:paraId="08E15459"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520E8DCB"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1362846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Татарский район</w:t>
            </w:r>
          </w:p>
        </w:tc>
        <w:tc>
          <w:tcPr>
            <w:tcW w:w="804" w:type="pct"/>
            <w:tcBorders>
              <w:top w:val="nil"/>
              <w:left w:val="nil"/>
              <w:bottom w:val="nil"/>
              <w:right w:val="nil"/>
            </w:tcBorders>
            <w:shd w:val="clear" w:color="auto" w:fill="auto"/>
            <w:hideMark/>
          </w:tcPr>
          <w:p w14:paraId="457F481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20</w:t>
            </w:r>
          </w:p>
        </w:tc>
        <w:tc>
          <w:tcPr>
            <w:tcW w:w="731" w:type="pct"/>
            <w:tcBorders>
              <w:top w:val="nil"/>
              <w:left w:val="nil"/>
              <w:bottom w:val="nil"/>
              <w:right w:val="nil"/>
            </w:tcBorders>
            <w:shd w:val="clear" w:color="auto" w:fill="auto"/>
            <w:hideMark/>
          </w:tcPr>
          <w:p w14:paraId="3EFCF21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1,2%</w:t>
            </w:r>
          </w:p>
        </w:tc>
      </w:tr>
      <w:tr w:rsidR="003F4CFF" w:rsidRPr="0018206D" w14:paraId="523EF4FD"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476D9FF1"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539DB093"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Тогучинский район</w:t>
            </w:r>
          </w:p>
        </w:tc>
        <w:tc>
          <w:tcPr>
            <w:tcW w:w="804" w:type="pct"/>
            <w:tcBorders>
              <w:top w:val="single" w:sz="4" w:space="0" w:color="7F7F7F"/>
              <w:left w:val="nil"/>
              <w:bottom w:val="single" w:sz="4" w:space="0" w:color="7F7F7F"/>
              <w:right w:val="nil"/>
            </w:tcBorders>
            <w:shd w:val="clear" w:color="auto" w:fill="auto"/>
            <w:hideMark/>
          </w:tcPr>
          <w:p w14:paraId="638BD0F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33</w:t>
            </w:r>
          </w:p>
        </w:tc>
        <w:tc>
          <w:tcPr>
            <w:tcW w:w="731" w:type="pct"/>
            <w:tcBorders>
              <w:top w:val="single" w:sz="4" w:space="0" w:color="7F7F7F"/>
              <w:left w:val="nil"/>
              <w:bottom w:val="single" w:sz="4" w:space="0" w:color="7F7F7F"/>
              <w:right w:val="nil"/>
            </w:tcBorders>
            <w:shd w:val="clear" w:color="auto" w:fill="auto"/>
            <w:hideMark/>
          </w:tcPr>
          <w:p w14:paraId="05DB89B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1,9%</w:t>
            </w:r>
          </w:p>
        </w:tc>
      </w:tr>
      <w:tr w:rsidR="003F4CFF" w:rsidRPr="0018206D" w14:paraId="0ABBC5CE"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54498100"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22E6B6D7"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Убинский район</w:t>
            </w:r>
          </w:p>
        </w:tc>
        <w:tc>
          <w:tcPr>
            <w:tcW w:w="804" w:type="pct"/>
            <w:tcBorders>
              <w:top w:val="nil"/>
              <w:left w:val="nil"/>
              <w:bottom w:val="nil"/>
              <w:right w:val="nil"/>
            </w:tcBorders>
            <w:shd w:val="clear" w:color="auto" w:fill="auto"/>
            <w:hideMark/>
          </w:tcPr>
          <w:p w14:paraId="080127C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12</w:t>
            </w:r>
          </w:p>
        </w:tc>
        <w:tc>
          <w:tcPr>
            <w:tcW w:w="731" w:type="pct"/>
            <w:tcBorders>
              <w:top w:val="nil"/>
              <w:left w:val="nil"/>
              <w:bottom w:val="nil"/>
              <w:right w:val="nil"/>
            </w:tcBorders>
            <w:shd w:val="clear" w:color="auto" w:fill="auto"/>
            <w:hideMark/>
          </w:tcPr>
          <w:p w14:paraId="2F5FD6A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0,7%</w:t>
            </w:r>
          </w:p>
        </w:tc>
      </w:tr>
      <w:tr w:rsidR="003F4CFF" w:rsidRPr="0018206D" w14:paraId="252B0983"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60A01539"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785B1E0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Усть-Таркский район</w:t>
            </w:r>
          </w:p>
        </w:tc>
        <w:tc>
          <w:tcPr>
            <w:tcW w:w="804" w:type="pct"/>
            <w:tcBorders>
              <w:top w:val="single" w:sz="4" w:space="0" w:color="7F7F7F"/>
              <w:left w:val="nil"/>
              <w:bottom w:val="single" w:sz="4" w:space="0" w:color="7F7F7F"/>
              <w:right w:val="nil"/>
            </w:tcBorders>
            <w:shd w:val="clear" w:color="auto" w:fill="auto"/>
            <w:hideMark/>
          </w:tcPr>
          <w:p w14:paraId="5A9C933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6</w:t>
            </w:r>
          </w:p>
        </w:tc>
        <w:tc>
          <w:tcPr>
            <w:tcW w:w="731" w:type="pct"/>
            <w:tcBorders>
              <w:top w:val="single" w:sz="4" w:space="0" w:color="7F7F7F"/>
              <w:left w:val="nil"/>
              <w:bottom w:val="single" w:sz="4" w:space="0" w:color="7F7F7F"/>
              <w:right w:val="nil"/>
            </w:tcBorders>
            <w:shd w:val="clear" w:color="auto" w:fill="auto"/>
            <w:hideMark/>
          </w:tcPr>
          <w:p w14:paraId="43C9861E"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0,4%</w:t>
            </w:r>
          </w:p>
        </w:tc>
      </w:tr>
      <w:tr w:rsidR="003F4CFF" w:rsidRPr="0018206D" w14:paraId="43F15D2B"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7F18AD8B"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70C6AE3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Чановский район</w:t>
            </w:r>
          </w:p>
        </w:tc>
        <w:tc>
          <w:tcPr>
            <w:tcW w:w="804" w:type="pct"/>
            <w:tcBorders>
              <w:top w:val="nil"/>
              <w:left w:val="nil"/>
              <w:bottom w:val="nil"/>
              <w:right w:val="nil"/>
            </w:tcBorders>
            <w:shd w:val="clear" w:color="auto" w:fill="auto"/>
            <w:hideMark/>
          </w:tcPr>
          <w:p w14:paraId="11169CF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16</w:t>
            </w:r>
          </w:p>
        </w:tc>
        <w:tc>
          <w:tcPr>
            <w:tcW w:w="731" w:type="pct"/>
            <w:tcBorders>
              <w:top w:val="nil"/>
              <w:left w:val="nil"/>
              <w:bottom w:val="nil"/>
              <w:right w:val="nil"/>
            </w:tcBorders>
            <w:shd w:val="clear" w:color="auto" w:fill="auto"/>
            <w:hideMark/>
          </w:tcPr>
          <w:p w14:paraId="2B8FBA78"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0,9%</w:t>
            </w:r>
          </w:p>
        </w:tc>
      </w:tr>
      <w:tr w:rsidR="003F4CFF" w:rsidRPr="0018206D" w14:paraId="49866CBC"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1D9010B7"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3ADE0B02"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Черепановский район</w:t>
            </w:r>
          </w:p>
        </w:tc>
        <w:tc>
          <w:tcPr>
            <w:tcW w:w="804" w:type="pct"/>
            <w:tcBorders>
              <w:top w:val="single" w:sz="4" w:space="0" w:color="7F7F7F"/>
              <w:left w:val="nil"/>
              <w:bottom w:val="single" w:sz="4" w:space="0" w:color="7F7F7F"/>
              <w:right w:val="nil"/>
            </w:tcBorders>
            <w:shd w:val="clear" w:color="auto" w:fill="auto"/>
            <w:hideMark/>
          </w:tcPr>
          <w:p w14:paraId="73590CF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26</w:t>
            </w:r>
          </w:p>
        </w:tc>
        <w:tc>
          <w:tcPr>
            <w:tcW w:w="731" w:type="pct"/>
            <w:tcBorders>
              <w:top w:val="single" w:sz="4" w:space="0" w:color="7F7F7F"/>
              <w:left w:val="nil"/>
              <w:bottom w:val="single" w:sz="4" w:space="0" w:color="7F7F7F"/>
              <w:right w:val="nil"/>
            </w:tcBorders>
            <w:shd w:val="clear" w:color="auto" w:fill="auto"/>
            <w:hideMark/>
          </w:tcPr>
          <w:p w14:paraId="3A5427C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1,5%</w:t>
            </w:r>
          </w:p>
        </w:tc>
      </w:tr>
      <w:tr w:rsidR="003F4CFF" w:rsidRPr="0018206D" w14:paraId="390EF856"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45063CAB"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nil"/>
              <w:left w:val="nil"/>
              <w:bottom w:val="nil"/>
              <w:right w:val="nil"/>
            </w:tcBorders>
            <w:shd w:val="clear" w:color="auto" w:fill="auto"/>
            <w:hideMark/>
          </w:tcPr>
          <w:p w14:paraId="1B5233D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Чистоозерный район</w:t>
            </w:r>
          </w:p>
        </w:tc>
        <w:tc>
          <w:tcPr>
            <w:tcW w:w="804" w:type="pct"/>
            <w:tcBorders>
              <w:top w:val="nil"/>
              <w:left w:val="nil"/>
              <w:bottom w:val="nil"/>
              <w:right w:val="nil"/>
            </w:tcBorders>
            <w:shd w:val="clear" w:color="auto" w:fill="auto"/>
            <w:hideMark/>
          </w:tcPr>
          <w:p w14:paraId="3B9B1F56"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17</w:t>
            </w:r>
          </w:p>
        </w:tc>
        <w:tc>
          <w:tcPr>
            <w:tcW w:w="731" w:type="pct"/>
            <w:tcBorders>
              <w:top w:val="nil"/>
              <w:left w:val="nil"/>
              <w:bottom w:val="nil"/>
              <w:right w:val="nil"/>
            </w:tcBorders>
            <w:shd w:val="clear" w:color="auto" w:fill="auto"/>
            <w:hideMark/>
          </w:tcPr>
          <w:p w14:paraId="490DFF7B"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1,0%</w:t>
            </w:r>
          </w:p>
        </w:tc>
      </w:tr>
      <w:tr w:rsidR="003F4CFF" w:rsidRPr="0018206D" w14:paraId="1C851910" w14:textId="77777777" w:rsidTr="00A12C43">
        <w:trPr>
          <w:cantSplit/>
          <w:trHeight w:val="20"/>
        </w:trPr>
        <w:tc>
          <w:tcPr>
            <w:tcW w:w="1458" w:type="pct"/>
            <w:vMerge/>
            <w:tcBorders>
              <w:top w:val="single" w:sz="4" w:space="0" w:color="7F7F7F"/>
              <w:left w:val="nil"/>
              <w:bottom w:val="single" w:sz="4" w:space="0" w:color="7F7F7F"/>
              <w:right w:val="nil"/>
            </w:tcBorders>
            <w:shd w:val="clear" w:color="auto" w:fill="auto"/>
            <w:hideMark/>
          </w:tcPr>
          <w:p w14:paraId="0E59CF3D"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7F7F7F"/>
              <w:right w:val="nil"/>
            </w:tcBorders>
            <w:shd w:val="clear" w:color="auto" w:fill="auto"/>
            <w:hideMark/>
          </w:tcPr>
          <w:p w14:paraId="2670226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Чулымский район</w:t>
            </w:r>
          </w:p>
        </w:tc>
        <w:tc>
          <w:tcPr>
            <w:tcW w:w="804" w:type="pct"/>
            <w:tcBorders>
              <w:top w:val="single" w:sz="4" w:space="0" w:color="7F7F7F"/>
              <w:left w:val="nil"/>
              <w:bottom w:val="single" w:sz="4" w:space="0" w:color="7F7F7F"/>
              <w:right w:val="nil"/>
            </w:tcBorders>
            <w:shd w:val="clear" w:color="auto" w:fill="auto"/>
            <w:hideMark/>
          </w:tcPr>
          <w:p w14:paraId="36E417E4"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13</w:t>
            </w:r>
          </w:p>
        </w:tc>
        <w:tc>
          <w:tcPr>
            <w:tcW w:w="731" w:type="pct"/>
            <w:tcBorders>
              <w:top w:val="single" w:sz="4" w:space="0" w:color="7F7F7F"/>
              <w:left w:val="nil"/>
              <w:bottom w:val="single" w:sz="4" w:space="0" w:color="7F7F7F"/>
              <w:right w:val="nil"/>
            </w:tcBorders>
            <w:shd w:val="clear" w:color="auto" w:fill="auto"/>
            <w:hideMark/>
          </w:tcPr>
          <w:p w14:paraId="67755D31"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0,8%</w:t>
            </w:r>
          </w:p>
        </w:tc>
      </w:tr>
      <w:tr w:rsidR="003F4CFF" w:rsidRPr="0018206D" w14:paraId="3E344A97" w14:textId="77777777" w:rsidTr="00A12C43">
        <w:trPr>
          <w:cantSplit/>
          <w:trHeight w:val="20"/>
        </w:trPr>
        <w:tc>
          <w:tcPr>
            <w:tcW w:w="1458" w:type="pct"/>
            <w:tcBorders>
              <w:top w:val="single" w:sz="4" w:space="0" w:color="7F7F7F"/>
              <w:left w:val="nil"/>
              <w:bottom w:val="single" w:sz="4" w:space="0" w:color="auto"/>
              <w:right w:val="nil"/>
            </w:tcBorders>
            <w:shd w:val="clear" w:color="auto" w:fill="auto"/>
          </w:tcPr>
          <w:p w14:paraId="391F42BF" w14:textId="77777777" w:rsidR="003F4CFF" w:rsidRPr="0018206D" w:rsidRDefault="003F4CFF" w:rsidP="003F4CFF">
            <w:pPr>
              <w:rPr>
                <w:rFonts w:ascii="Times New Roman" w:eastAsia="Times New Roman" w:hAnsi="Times New Roman" w:cs="Times New Roman"/>
                <w:bCs/>
                <w:color w:val="000000"/>
                <w:sz w:val="18"/>
                <w:szCs w:val="18"/>
              </w:rPr>
            </w:pPr>
          </w:p>
        </w:tc>
        <w:tc>
          <w:tcPr>
            <w:tcW w:w="2006" w:type="pct"/>
            <w:tcBorders>
              <w:top w:val="single" w:sz="4" w:space="0" w:color="7F7F7F"/>
              <w:left w:val="nil"/>
              <w:bottom w:val="single" w:sz="4" w:space="0" w:color="auto"/>
              <w:right w:val="nil"/>
            </w:tcBorders>
            <w:shd w:val="clear" w:color="auto" w:fill="auto"/>
            <w:hideMark/>
          </w:tcPr>
          <w:p w14:paraId="7F505B3F"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ИТОГО</w:t>
            </w:r>
          </w:p>
        </w:tc>
        <w:tc>
          <w:tcPr>
            <w:tcW w:w="804" w:type="pct"/>
            <w:tcBorders>
              <w:top w:val="single" w:sz="4" w:space="0" w:color="7F7F7F"/>
              <w:left w:val="nil"/>
              <w:bottom w:val="single" w:sz="4" w:space="0" w:color="auto"/>
              <w:right w:val="nil"/>
            </w:tcBorders>
            <w:shd w:val="clear" w:color="auto" w:fill="auto"/>
            <w:hideMark/>
          </w:tcPr>
          <w:p w14:paraId="48C97320"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1700</w:t>
            </w:r>
          </w:p>
        </w:tc>
        <w:tc>
          <w:tcPr>
            <w:tcW w:w="731" w:type="pct"/>
            <w:tcBorders>
              <w:top w:val="single" w:sz="4" w:space="0" w:color="7F7F7F"/>
              <w:left w:val="nil"/>
              <w:bottom w:val="single" w:sz="4" w:space="0" w:color="auto"/>
              <w:right w:val="nil"/>
            </w:tcBorders>
            <w:shd w:val="clear" w:color="auto" w:fill="auto"/>
            <w:hideMark/>
          </w:tcPr>
          <w:p w14:paraId="73527A8C" w14:textId="77777777" w:rsidR="003F4CFF" w:rsidRPr="004A7B7F" w:rsidRDefault="003F4CFF" w:rsidP="003F4CFF">
            <w:pPr>
              <w:rPr>
                <w:rFonts w:ascii="Times New Roman" w:eastAsia="Times New Roman" w:hAnsi="Times New Roman" w:cs="Times New Roman"/>
                <w:bCs/>
                <w:sz w:val="18"/>
                <w:szCs w:val="18"/>
              </w:rPr>
            </w:pPr>
            <w:r w:rsidRPr="004A7B7F">
              <w:rPr>
                <w:rFonts w:ascii="Times New Roman" w:eastAsia="Times New Roman" w:hAnsi="Times New Roman" w:cs="Times New Roman"/>
                <w:bCs/>
                <w:sz w:val="18"/>
                <w:szCs w:val="18"/>
              </w:rPr>
              <w:t>100,0%</w:t>
            </w:r>
          </w:p>
        </w:tc>
      </w:tr>
    </w:tbl>
    <w:p w14:paraId="771E54E6"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
          <w:bCs/>
          <w:sz w:val="28"/>
          <w:szCs w:val="28"/>
        </w:rPr>
        <w:t>Оценка уро</w:t>
      </w:r>
      <w:r>
        <w:rPr>
          <w:rFonts w:ascii="Times New Roman" w:hAnsi="Times New Roman" w:cs="Times New Roman"/>
          <w:b/>
          <w:bCs/>
          <w:sz w:val="28"/>
          <w:szCs w:val="28"/>
        </w:rPr>
        <w:t>вня успешности развития бизнеса.</w:t>
      </w:r>
      <w:r w:rsidRPr="00EC5135">
        <w:rPr>
          <w:rFonts w:ascii="Times New Roman" w:hAnsi="Times New Roman" w:cs="Times New Roman"/>
          <w:b/>
          <w:bCs/>
          <w:sz w:val="28"/>
          <w:szCs w:val="28"/>
        </w:rPr>
        <w:t xml:space="preserve"> </w:t>
      </w:r>
      <w:r>
        <w:rPr>
          <w:rFonts w:ascii="Times New Roman" w:hAnsi="Times New Roman" w:cs="Times New Roman"/>
          <w:bCs/>
          <w:sz w:val="28"/>
          <w:szCs w:val="28"/>
        </w:rPr>
        <w:t>Д</w:t>
      </w:r>
      <w:r w:rsidRPr="00EC5135">
        <w:rPr>
          <w:rFonts w:ascii="Times New Roman" w:hAnsi="Times New Roman" w:cs="Times New Roman"/>
          <w:bCs/>
          <w:sz w:val="28"/>
          <w:szCs w:val="28"/>
        </w:rPr>
        <w:t xml:space="preserve">оля позитивных оценок развития своего бизнеса незначительно превышает долю негативных оценок: 28,2% и 24,8% соответственно. При этом основная часть субъектов предпринимательства (42,4%) не дают однозначных оценок успешности своего бизнеса. </w:t>
      </w:r>
    </w:p>
    <w:p w14:paraId="61ABF7C9"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Чем крупнее предприятие, тем выше оценки успешности своего бизнеса. </w:t>
      </w:r>
      <w:r>
        <w:rPr>
          <w:rFonts w:ascii="Times New Roman" w:hAnsi="Times New Roman" w:cs="Times New Roman"/>
          <w:bCs/>
          <w:sz w:val="28"/>
          <w:szCs w:val="28"/>
        </w:rPr>
        <w:t>Н</w:t>
      </w:r>
      <w:r w:rsidRPr="00EC5135">
        <w:rPr>
          <w:rFonts w:ascii="Times New Roman" w:hAnsi="Times New Roman" w:cs="Times New Roman"/>
          <w:bCs/>
          <w:sz w:val="28"/>
          <w:szCs w:val="28"/>
        </w:rPr>
        <w:t xml:space="preserve">изкие оценки получены от представителей микропредприятий: (29,0% и 19,6% соответственно). </w:t>
      </w:r>
    </w:p>
    <w:p w14:paraId="1D4DBA28"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В разрезе товарных рынков доля положительных оценок варьируется от 2,0% до 74,0%, в разрезе муниципальных образований – от 5,6% до 78,9%. Более высокие </w:t>
      </w:r>
      <w:r w:rsidRPr="00EC5135">
        <w:rPr>
          <w:rFonts w:ascii="Times New Roman" w:hAnsi="Times New Roman" w:cs="Times New Roman"/>
          <w:bCs/>
          <w:sz w:val="28"/>
          <w:szCs w:val="28"/>
        </w:rPr>
        <w:lastRenderedPageBreak/>
        <w:t xml:space="preserve">показатели зафиксированы на рынке услуг среднего профессионального образования и в Болотнинском районе. </w:t>
      </w:r>
    </w:p>
    <w:p w14:paraId="49EB45BB" w14:textId="77777777" w:rsidR="003F4CFF" w:rsidRPr="00B1780C" w:rsidRDefault="003F4CFF" w:rsidP="003F4CFF">
      <w:pPr>
        <w:ind w:firstLine="567"/>
        <w:jc w:val="both"/>
        <w:rPr>
          <w:rFonts w:ascii="Times New Roman" w:hAnsi="Times New Roman" w:cs="Times New Roman"/>
          <w:b/>
          <w:bCs/>
          <w:sz w:val="28"/>
          <w:szCs w:val="28"/>
        </w:rPr>
      </w:pPr>
      <w:r w:rsidRPr="00EC5135">
        <w:rPr>
          <w:rFonts w:ascii="Times New Roman" w:hAnsi="Times New Roman" w:cs="Times New Roman"/>
          <w:b/>
          <w:bCs/>
          <w:sz w:val="28"/>
          <w:szCs w:val="28"/>
        </w:rPr>
        <w:t>Оценка общих условий ведения предпринимате</w:t>
      </w:r>
      <w:r>
        <w:rPr>
          <w:rFonts w:ascii="Times New Roman" w:hAnsi="Times New Roman" w:cs="Times New Roman"/>
          <w:b/>
          <w:bCs/>
          <w:sz w:val="28"/>
          <w:szCs w:val="28"/>
        </w:rPr>
        <w:t xml:space="preserve">льства в Новосибирской области. </w:t>
      </w:r>
      <w:r w:rsidRPr="00C75A9C">
        <w:rPr>
          <w:rFonts w:ascii="Times New Roman" w:hAnsi="Times New Roman" w:cs="Times New Roman"/>
          <w:bCs/>
          <w:sz w:val="28"/>
          <w:szCs w:val="28"/>
        </w:rPr>
        <w:t>48,1% респондентов</w:t>
      </w:r>
      <w:r>
        <w:rPr>
          <w:rFonts w:ascii="Times New Roman" w:hAnsi="Times New Roman" w:cs="Times New Roman"/>
          <w:b/>
          <w:bCs/>
          <w:sz w:val="28"/>
          <w:szCs w:val="28"/>
        </w:rPr>
        <w:t xml:space="preserve"> </w:t>
      </w:r>
      <w:r w:rsidRPr="00EC5135">
        <w:rPr>
          <w:rFonts w:ascii="Times New Roman" w:hAnsi="Times New Roman" w:cs="Times New Roman"/>
          <w:bCs/>
          <w:sz w:val="28"/>
          <w:szCs w:val="28"/>
        </w:rPr>
        <w:t>в ц</w:t>
      </w:r>
      <w:r>
        <w:rPr>
          <w:rFonts w:ascii="Times New Roman" w:hAnsi="Times New Roman" w:cs="Times New Roman"/>
          <w:bCs/>
          <w:sz w:val="28"/>
          <w:szCs w:val="28"/>
        </w:rPr>
        <w:t>елом удовлетворены</w:t>
      </w:r>
      <w:r w:rsidRPr="00C75A9C">
        <w:rPr>
          <w:rFonts w:ascii="Times New Roman" w:hAnsi="Times New Roman" w:cs="Times New Roman"/>
          <w:bCs/>
          <w:sz w:val="28"/>
          <w:szCs w:val="28"/>
        </w:rPr>
        <w:t xml:space="preserve"> общими условиями ведения предпринимательства в Новосибирской области</w:t>
      </w:r>
      <w:r w:rsidRPr="00EC5135">
        <w:rPr>
          <w:rFonts w:ascii="Times New Roman" w:hAnsi="Times New Roman" w:cs="Times New Roman"/>
          <w:bCs/>
          <w:sz w:val="28"/>
          <w:szCs w:val="28"/>
        </w:rPr>
        <w:t xml:space="preserve">. </w:t>
      </w:r>
    </w:p>
    <w:p w14:paraId="61DEEF6C" w14:textId="77777777" w:rsidR="003F4CFF"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Представители крупных предприятий чаще оценивают общие условия ведения предпринимательства как хорошие и удовлетворительные (68,7%). Чем меньше предприятие, тем меньше доля хороших оценок общих условий ведения предпринимательства: от 12,8% среди микропредприятий до 28,4% среди к</w:t>
      </w:r>
      <w:r>
        <w:rPr>
          <w:rFonts w:ascii="Times New Roman" w:hAnsi="Times New Roman" w:cs="Times New Roman"/>
          <w:bCs/>
          <w:sz w:val="28"/>
          <w:szCs w:val="28"/>
        </w:rPr>
        <w:t xml:space="preserve">рупных предприятий. </w:t>
      </w:r>
    </w:p>
    <w:p w14:paraId="4093EFEE"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 разрезе товарных рынков суммарная доля положительных оценок варьируется от 32,5% на рынке</w:t>
      </w:r>
      <w:r>
        <w:rPr>
          <w:rFonts w:ascii="Times New Roman" w:hAnsi="Times New Roman" w:cs="Times New Roman"/>
          <w:bCs/>
          <w:sz w:val="28"/>
          <w:szCs w:val="28"/>
        </w:rPr>
        <w:t xml:space="preserve"> производства кирпича до 87,2% </w:t>
      </w:r>
      <w:r w:rsidRPr="00EC5135">
        <w:rPr>
          <w:rFonts w:ascii="Times New Roman" w:hAnsi="Times New Roman" w:cs="Times New Roman"/>
          <w:bCs/>
          <w:sz w:val="28"/>
          <w:szCs w:val="28"/>
        </w:rPr>
        <w:t>на рынк</w:t>
      </w:r>
      <w:r>
        <w:rPr>
          <w:rFonts w:ascii="Times New Roman" w:hAnsi="Times New Roman" w:cs="Times New Roman"/>
          <w:bCs/>
          <w:sz w:val="28"/>
          <w:szCs w:val="28"/>
        </w:rPr>
        <w:t>е услуг дошкольного образования</w:t>
      </w:r>
      <w:r w:rsidRPr="00EC5135">
        <w:rPr>
          <w:rFonts w:ascii="Times New Roman" w:hAnsi="Times New Roman" w:cs="Times New Roman"/>
          <w:bCs/>
          <w:sz w:val="28"/>
          <w:szCs w:val="28"/>
        </w:rPr>
        <w:t>.</w:t>
      </w:r>
    </w:p>
    <w:p w14:paraId="0668544F"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В разрезе </w:t>
      </w:r>
      <w:r>
        <w:rPr>
          <w:rFonts w:ascii="Times New Roman" w:hAnsi="Times New Roman" w:cs="Times New Roman"/>
          <w:bCs/>
          <w:sz w:val="28"/>
          <w:szCs w:val="28"/>
        </w:rPr>
        <w:t>муниципальных образований (далее – МО)</w:t>
      </w:r>
      <w:r w:rsidRPr="00EC5135">
        <w:rPr>
          <w:rFonts w:ascii="Times New Roman" w:hAnsi="Times New Roman" w:cs="Times New Roman"/>
          <w:bCs/>
          <w:sz w:val="28"/>
          <w:szCs w:val="28"/>
        </w:rPr>
        <w:t xml:space="preserve"> суммарная доля положительных оцено</w:t>
      </w:r>
      <w:r>
        <w:rPr>
          <w:rFonts w:ascii="Times New Roman" w:hAnsi="Times New Roman" w:cs="Times New Roman"/>
          <w:bCs/>
          <w:sz w:val="28"/>
          <w:szCs w:val="28"/>
        </w:rPr>
        <w:t>к варьируется от 33,4% (в р. п. </w:t>
      </w:r>
      <w:r w:rsidRPr="00EC5135">
        <w:rPr>
          <w:rFonts w:ascii="Times New Roman" w:hAnsi="Times New Roman" w:cs="Times New Roman"/>
          <w:bCs/>
          <w:sz w:val="28"/>
          <w:szCs w:val="28"/>
        </w:rPr>
        <w:t>Кольцово) до 92,9–94,8% (в Кыштовском и Болотнинском районах).</w:t>
      </w:r>
    </w:p>
    <w:p w14:paraId="6B76FBD1"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
          <w:bCs/>
          <w:sz w:val="28"/>
          <w:szCs w:val="28"/>
        </w:rPr>
        <w:t xml:space="preserve">Оценка сложности начинания с нуля нового </w:t>
      </w:r>
      <w:r>
        <w:rPr>
          <w:rFonts w:ascii="Times New Roman" w:hAnsi="Times New Roman" w:cs="Times New Roman"/>
          <w:b/>
          <w:bCs/>
          <w:sz w:val="28"/>
          <w:szCs w:val="28"/>
        </w:rPr>
        <w:t>бизнеса в Новосибирской области.</w:t>
      </w:r>
      <w:r w:rsidRPr="00EC5135">
        <w:rPr>
          <w:rFonts w:ascii="Times New Roman" w:hAnsi="Times New Roman" w:cs="Times New Roman"/>
          <w:b/>
          <w:bCs/>
          <w:sz w:val="28"/>
          <w:szCs w:val="28"/>
        </w:rPr>
        <w:t xml:space="preserve"> </w:t>
      </w:r>
      <w:r w:rsidRPr="00C75A9C">
        <w:rPr>
          <w:rFonts w:ascii="Times New Roman" w:hAnsi="Times New Roman" w:cs="Times New Roman"/>
          <w:bCs/>
          <w:sz w:val="28"/>
          <w:szCs w:val="28"/>
        </w:rPr>
        <w:t>Сложность начинания с нуля нового бизнеса в Новосибирской области</w:t>
      </w:r>
      <w:r w:rsidRPr="00EC5135">
        <w:rPr>
          <w:rFonts w:ascii="Times New Roman" w:hAnsi="Times New Roman" w:cs="Times New Roman"/>
          <w:bCs/>
          <w:sz w:val="28"/>
          <w:szCs w:val="28"/>
        </w:rPr>
        <w:t xml:space="preserve"> </w:t>
      </w:r>
      <w:r>
        <w:rPr>
          <w:rFonts w:ascii="Times New Roman" w:hAnsi="Times New Roman" w:cs="Times New Roman"/>
          <w:bCs/>
          <w:sz w:val="28"/>
          <w:szCs w:val="28"/>
        </w:rPr>
        <w:t xml:space="preserve">отметили </w:t>
      </w:r>
      <w:r w:rsidRPr="00EC5135">
        <w:rPr>
          <w:rFonts w:ascii="Times New Roman" w:hAnsi="Times New Roman" w:cs="Times New Roman"/>
          <w:bCs/>
          <w:sz w:val="28"/>
          <w:szCs w:val="28"/>
        </w:rPr>
        <w:t>74,4% опрошенных субъектов предприним</w:t>
      </w:r>
      <w:r>
        <w:rPr>
          <w:rFonts w:ascii="Times New Roman" w:hAnsi="Times New Roman" w:cs="Times New Roman"/>
          <w:bCs/>
          <w:sz w:val="28"/>
          <w:szCs w:val="28"/>
        </w:rPr>
        <w:t>ательства</w:t>
      </w:r>
      <w:r w:rsidRPr="00EC5135">
        <w:rPr>
          <w:rFonts w:ascii="Times New Roman" w:hAnsi="Times New Roman" w:cs="Times New Roman"/>
          <w:bCs/>
          <w:sz w:val="28"/>
          <w:szCs w:val="28"/>
        </w:rPr>
        <w:t>.</w:t>
      </w:r>
    </w:p>
    <w:p w14:paraId="4EA765B4"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В разрезе товарных рынков доля субъектов предпринимательства, отмечающих сложность начинания нового бизнеса с нуля, варьируется от 50% (на рынке производства кирпича и на рынке общего образования) до 94% (на рынке услуг архитектурно-строительного проектирования). </w:t>
      </w:r>
    </w:p>
    <w:p w14:paraId="06F59012"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В разрезе МО доля субъектов предпринимательства, отмечающих сложность начинания нового бизнеса с нуля, варьируется от 33,3% (в р. п. Кольцово) до 100% (в Каргатском районе). </w:t>
      </w:r>
    </w:p>
    <w:p w14:paraId="15A4C8AD"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
          <w:bCs/>
          <w:sz w:val="28"/>
          <w:szCs w:val="28"/>
        </w:rPr>
        <w:t xml:space="preserve">Структура существенных препятствий при выходе на рынок </w:t>
      </w:r>
      <w:r w:rsidRPr="00EC5135">
        <w:rPr>
          <w:rFonts w:ascii="Times New Roman" w:hAnsi="Times New Roman" w:cs="Times New Roman"/>
          <w:bCs/>
          <w:sz w:val="28"/>
          <w:szCs w:val="28"/>
        </w:rPr>
        <w:t>включает следующие основные препятствия (в порядке убывания распространенности):</w:t>
      </w:r>
    </w:p>
    <w:p w14:paraId="6DB348EC" w14:textId="77777777" w:rsidR="003F4CFF" w:rsidRPr="00EC5135" w:rsidRDefault="003F4CFF" w:rsidP="003F4CFF">
      <w:pPr>
        <w:tabs>
          <w:tab w:val="left" w:pos="142"/>
        </w:tabs>
        <w:spacing w:after="160" w:line="259" w:lineRule="auto"/>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высокие начальные издержки (41,6%);</w:t>
      </w:r>
    </w:p>
    <w:p w14:paraId="120168CB" w14:textId="77777777" w:rsidR="003F4CFF" w:rsidRPr="00EC5135" w:rsidRDefault="003F4CFF" w:rsidP="003F4CFF">
      <w:pPr>
        <w:tabs>
          <w:tab w:val="left" w:pos="142"/>
        </w:tabs>
        <w:spacing w:after="160" w:line="259" w:lineRule="auto"/>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насыщенность новых рынков сбыта (27,3%);</w:t>
      </w:r>
    </w:p>
    <w:p w14:paraId="5B1DEC51" w14:textId="77777777" w:rsidR="003F4CFF" w:rsidRPr="00EC5135" w:rsidRDefault="003F4CFF" w:rsidP="003F4CFF">
      <w:pPr>
        <w:tabs>
          <w:tab w:val="left" w:pos="142"/>
        </w:tabs>
        <w:spacing w:after="160" w:line="259" w:lineRule="auto"/>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жесткое противодействие традиционных участников рынка (16,3%);</w:t>
      </w:r>
    </w:p>
    <w:p w14:paraId="25FFBE96" w14:textId="77777777" w:rsidR="003F4CFF" w:rsidRPr="00EC5135" w:rsidRDefault="003F4CFF" w:rsidP="003F4CFF">
      <w:pPr>
        <w:tabs>
          <w:tab w:val="left" w:pos="142"/>
        </w:tabs>
        <w:spacing w:after="160" w:line="259" w:lineRule="auto"/>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привязанность поставщиков и потребителей к традиционным участникам рынка (15,6%);</w:t>
      </w:r>
    </w:p>
    <w:p w14:paraId="5F3F4E31" w14:textId="77777777" w:rsidR="003F4CFF" w:rsidRPr="00EC5135" w:rsidRDefault="003F4CFF" w:rsidP="003F4CFF">
      <w:pPr>
        <w:tabs>
          <w:tab w:val="left" w:pos="142"/>
        </w:tabs>
        <w:spacing w:after="160" w:line="259" w:lineRule="auto"/>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 xml:space="preserve">поддержка местными властями традиционных участников рынка (13,1%); </w:t>
      </w:r>
    </w:p>
    <w:p w14:paraId="1AA79581" w14:textId="77777777" w:rsidR="003F4CFF" w:rsidRPr="00EC5135" w:rsidRDefault="003F4CFF" w:rsidP="003F4CFF">
      <w:pPr>
        <w:tabs>
          <w:tab w:val="left" w:pos="142"/>
        </w:tabs>
        <w:spacing w:after="160" w:line="259" w:lineRule="auto"/>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нет информации о ситуации на новых рынках (8,9%).</w:t>
      </w:r>
    </w:p>
    <w:p w14:paraId="2A1F3854" w14:textId="77777777" w:rsidR="003F4CFF"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В разрезе товарных рынков высокие начальные издержки в качестве существенного препятствия чаще отмечают на рынках товарной аквакультуры (77,1%), услуг по перевозке пассажиров автомобильным транспортом по муниципальным маршрутам регулярных перевозок (66%), добычи полезных ископаемых (66%), переработки водных биоресурсов (65,7%), вылова водных биоресурсов (60%), семеноводства (57,1%), услуг детского отдыха и оздоровления (55%). </w:t>
      </w:r>
    </w:p>
    <w:p w14:paraId="0AC0A66A"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bCs/>
          <w:sz w:val="28"/>
          <w:szCs w:val="28"/>
        </w:rPr>
        <w:lastRenderedPageBreak/>
        <w:t xml:space="preserve">Насыщенность новых рынков сбыта чаще является существенным препятствием для следующих товарных рынков: розничной торговли лекарственными препаратами (62,7%), производство кирпича (60%), производство бетона (60%), легкая промышленность (47,3%) и купля-продажа электроэнергии (42%). </w:t>
      </w:r>
      <w:r w:rsidRPr="00EC5135">
        <w:rPr>
          <w:rFonts w:ascii="Times New Roman" w:hAnsi="Times New Roman" w:cs="Times New Roman"/>
          <w:sz w:val="28"/>
          <w:szCs w:val="28"/>
        </w:rPr>
        <w:t xml:space="preserve">Жесткое противодействие традиционных участников рынка является существенным препятствием для представителей таких товарных рынков как услуги поставки сжиженного газа в баллонах (40%). </w:t>
      </w:r>
    </w:p>
    <w:p w14:paraId="1BBCF751"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Высокие начальные издержки </w:t>
      </w:r>
      <w:r w:rsidRPr="00EC5135">
        <w:rPr>
          <w:rFonts w:ascii="Times New Roman" w:hAnsi="Times New Roman" w:cs="Times New Roman"/>
          <w:sz w:val="28"/>
          <w:szCs w:val="28"/>
        </w:rPr>
        <w:t>являются существенным препятствием</w:t>
      </w:r>
      <w:r w:rsidRPr="00EC5135">
        <w:rPr>
          <w:rFonts w:ascii="Times New Roman" w:hAnsi="Times New Roman" w:cs="Times New Roman"/>
          <w:bCs/>
          <w:sz w:val="28"/>
          <w:szCs w:val="28"/>
        </w:rPr>
        <w:t xml:space="preserve"> при выходе на рынок для всех типов предприятий, независимо от размера. Жесткое противодействие традиционных участников рынка и привязанность поставщик</w:t>
      </w:r>
      <w:r>
        <w:rPr>
          <w:rFonts w:ascii="Times New Roman" w:hAnsi="Times New Roman" w:cs="Times New Roman"/>
          <w:bCs/>
          <w:sz w:val="28"/>
          <w:szCs w:val="28"/>
        </w:rPr>
        <w:t>ов и потребителей к традиционным</w:t>
      </w:r>
      <w:r w:rsidRPr="00EC5135">
        <w:rPr>
          <w:rFonts w:ascii="Times New Roman" w:hAnsi="Times New Roman" w:cs="Times New Roman"/>
          <w:bCs/>
          <w:sz w:val="28"/>
          <w:szCs w:val="28"/>
        </w:rPr>
        <w:t xml:space="preserve"> участникам рынка чаще являются препятствиями для представителей крупных предприятий, а насыщенность новых рынков сбыта – для представителей микропредприятий. </w:t>
      </w:r>
    </w:p>
    <w:p w14:paraId="3B68AADA"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Каждый десятый из опрошенных субъектов предпринимательства говорит об отсутствии существенных препятствий при выходе на рынок (10,6%).</w:t>
      </w:r>
    </w:p>
    <w:p w14:paraId="396F5186"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В разрезе товарных рынков доля субъектов предпринимательства, отмечающих отсутствие препятствий, варьируется от 0% (на рынках услуг по перевозке пассажиров автомобильным транспортом по межмуниципальным маршрутам регулярных перевозок, товарной аквакультуры, производства бетона) до 22,5% (на рынке по содержанию и ремонту в многоквартирном доме). </w:t>
      </w:r>
    </w:p>
    <w:p w14:paraId="7E9763D5" w14:textId="77777777" w:rsidR="003F4CFF"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 разрезе МО доля субъектов предпринимательства, отмечающих отсутствие препятствий, варьируется от 0% (в Здвинском, Коченевском, Кочковском, Северном, Усть-Таркском и Чановском районах) до</w:t>
      </w:r>
      <w:r>
        <w:rPr>
          <w:rFonts w:ascii="Times New Roman" w:hAnsi="Times New Roman" w:cs="Times New Roman"/>
          <w:bCs/>
          <w:sz w:val="28"/>
          <w:szCs w:val="28"/>
        </w:rPr>
        <w:t xml:space="preserve"> 38,5% (в Венгеровском районе).</w:t>
      </w:r>
    </w:p>
    <w:p w14:paraId="10DDE0A3" w14:textId="77777777" w:rsidR="003F4CFF" w:rsidRPr="00EC5135" w:rsidRDefault="003F4CFF" w:rsidP="003F4CFF">
      <w:pPr>
        <w:ind w:firstLine="567"/>
        <w:jc w:val="both"/>
        <w:rPr>
          <w:rFonts w:ascii="Times New Roman" w:hAnsi="Times New Roman" w:cs="Times New Roman"/>
          <w:bCs/>
          <w:sz w:val="28"/>
          <w:szCs w:val="28"/>
        </w:rPr>
      </w:pPr>
      <w:r w:rsidRPr="00B1780C">
        <w:rPr>
          <w:rFonts w:ascii="Times New Roman" w:hAnsi="Times New Roman" w:cs="Times New Roman"/>
          <w:b/>
          <w:bCs/>
          <w:sz w:val="28"/>
          <w:szCs w:val="28"/>
        </w:rPr>
        <w:t>С</w:t>
      </w:r>
      <w:r>
        <w:rPr>
          <w:rFonts w:ascii="Times New Roman" w:hAnsi="Times New Roman" w:cs="Times New Roman"/>
          <w:b/>
          <w:bCs/>
          <w:sz w:val="28"/>
          <w:szCs w:val="28"/>
        </w:rPr>
        <w:t>ложность</w:t>
      </w:r>
      <w:r w:rsidRPr="00B1780C">
        <w:rPr>
          <w:rFonts w:ascii="Times New Roman" w:hAnsi="Times New Roman" w:cs="Times New Roman"/>
          <w:b/>
          <w:bCs/>
          <w:sz w:val="28"/>
          <w:szCs w:val="28"/>
        </w:rPr>
        <w:t xml:space="preserve"> обоснования на рынке в Новосибирской области компании из д</w:t>
      </w:r>
      <w:r w:rsidRPr="00EC5135">
        <w:rPr>
          <w:rFonts w:ascii="Times New Roman" w:hAnsi="Times New Roman" w:cs="Times New Roman"/>
          <w:b/>
          <w:bCs/>
          <w:sz w:val="28"/>
          <w:szCs w:val="28"/>
        </w:rPr>
        <w:t>ругого региона</w:t>
      </w:r>
      <w:r w:rsidRPr="00EC5135">
        <w:rPr>
          <w:rFonts w:ascii="Times New Roman" w:hAnsi="Times New Roman" w:cs="Times New Roman"/>
          <w:bCs/>
          <w:sz w:val="28"/>
          <w:szCs w:val="28"/>
        </w:rPr>
        <w:t xml:space="preserve"> </w:t>
      </w:r>
      <w:r>
        <w:rPr>
          <w:rFonts w:ascii="Times New Roman" w:hAnsi="Times New Roman" w:cs="Times New Roman"/>
          <w:bCs/>
          <w:sz w:val="28"/>
          <w:szCs w:val="28"/>
        </w:rPr>
        <w:t>отметили</w:t>
      </w:r>
      <w:r w:rsidRPr="00EC5135">
        <w:rPr>
          <w:rFonts w:ascii="Times New Roman" w:hAnsi="Times New Roman" w:cs="Times New Roman"/>
          <w:bCs/>
          <w:sz w:val="28"/>
          <w:szCs w:val="28"/>
        </w:rPr>
        <w:t xml:space="preserve"> 40,3% субъектов предпринимательства</w:t>
      </w:r>
      <w:r>
        <w:rPr>
          <w:rFonts w:ascii="Times New Roman" w:hAnsi="Times New Roman" w:cs="Times New Roman"/>
          <w:bCs/>
          <w:sz w:val="28"/>
          <w:szCs w:val="28"/>
        </w:rPr>
        <w:t>.</w:t>
      </w:r>
    </w:p>
    <w:p w14:paraId="2AFF833D"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Чаще сложность обоснования на рынке Новосибирской области компании из другого региона отмечают представители средних предприятий (49,5%). </w:t>
      </w:r>
    </w:p>
    <w:p w14:paraId="275A9394"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В разрезе товарных рынков доля субъектов предпринимательства, отмечающих сложность обоснования на рынке Новосибирской области компании из другого региона, варьируется от 15% (на рынке теплоснабжения) до 67,5% (на рынке производства кирпича). </w:t>
      </w:r>
    </w:p>
    <w:p w14:paraId="58DC5521"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 разрезе МО доля субъектов предпринимательства, отмечающих сложность обоснования на рынке Новосибирской области компании из другого региона, варьируется от 7,7% (в Венгеровском районе) до 83,3% (в Баганском районе).</w:t>
      </w:r>
    </w:p>
    <w:p w14:paraId="17BAADF4" w14:textId="77777777" w:rsidR="003F4CFF" w:rsidRPr="00EC5135" w:rsidRDefault="003F4CFF" w:rsidP="00B66EE5">
      <w:pPr>
        <w:ind w:firstLine="567"/>
        <w:jc w:val="both"/>
        <w:rPr>
          <w:rFonts w:ascii="Times New Roman" w:hAnsi="Times New Roman" w:cs="Times New Roman"/>
          <w:bCs/>
          <w:sz w:val="28"/>
          <w:szCs w:val="28"/>
        </w:rPr>
      </w:pPr>
      <w:r w:rsidRPr="00EC5135">
        <w:rPr>
          <w:rFonts w:ascii="Times New Roman" w:hAnsi="Times New Roman" w:cs="Times New Roman"/>
          <w:b/>
          <w:bCs/>
          <w:sz w:val="28"/>
          <w:szCs w:val="28"/>
        </w:rPr>
        <w:t>Структура основных препятствий, с которыми сталкиваются организации в своей текущей деятельности</w:t>
      </w:r>
      <w:r w:rsidRPr="00EC5135">
        <w:rPr>
          <w:rFonts w:ascii="Times New Roman" w:hAnsi="Times New Roman" w:cs="Times New Roman"/>
          <w:bCs/>
          <w:sz w:val="28"/>
          <w:szCs w:val="28"/>
        </w:rPr>
        <w:t>, выглядит следующим образом (в порядке убывания распространенности):</w:t>
      </w:r>
    </w:p>
    <w:p w14:paraId="6FB030BF" w14:textId="77777777" w:rsidR="003F4CFF" w:rsidRPr="00EC5135" w:rsidRDefault="003F4CFF" w:rsidP="00E77388">
      <w:pPr>
        <w:ind w:firstLine="567"/>
        <w:contextualSpacing/>
        <w:jc w:val="both"/>
        <w:rPr>
          <w:rFonts w:ascii="Times New Roman" w:hAnsi="Times New Roman" w:cs="Times New Roman"/>
          <w:bCs/>
          <w:sz w:val="28"/>
          <w:szCs w:val="28"/>
        </w:rPr>
      </w:pPr>
      <w:r>
        <w:rPr>
          <w:rFonts w:ascii="Times New Roman" w:hAnsi="Times New Roman" w:cs="Times New Roman"/>
          <w:bCs/>
          <w:sz w:val="28"/>
          <w:szCs w:val="28"/>
        </w:rPr>
        <w:t>высокие налоги (19%);</w:t>
      </w:r>
    </w:p>
    <w:p w14:paraId="554AF7B0" w14:textId="77777777" w:rsidR="003F4CFF" w:rsidRPr="00EC5135" w:rsidRDefault="003F4CFF" w:rsidP="00E77388">
      <w:pPr>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нестабильность российского законодательства, регулирующего предприни</w:t>
      </w:r>
      <w:r>
        <w:rPr>
          <w:rFonts w:ascii="Times New Roman" w:hAnsi="Times New Roman" w:cs="Times New Roman"/>
          <w:bCs/>
          <w:sz w:val="28"/>
          <w:szCs w:val="28"/>
        </w:rPr>
        <w:t>мательскую деятельность (17,5%);</w:t>
      </w:r>
    </w:p>
    <w:p w14:paraId="380CEEC8" w14:textId="77777777" w:rsidR="003F4CFF" w:rsidRPr="00EC5135" w:rsidRDefault="003F4CFF" w:rsidP="00E77388">
      <w:pPr>
        <w:ind w:firstLine="567"/>
        <w:contextualSpacing/>
        <w:jc w:val="both"/>
        <w:rPr>
          <w:rFonts w:ascii="Times New Roman" w:hAnsi="Times New Roman" w:cs="Times New Roman"/>
          <w:bCs/>
          <w:sz w:val="28"/>
          <w:szCs w:val="28"/>
        </w:rPr>
      </w:pPr>
      <w:r>
        <w:rPr>
          <w:rFonts w:ascii="Times New Roman" w:hAnsi="Times New Roman" w:cs="Times New Roman"/>
          <w:bCs/>
          <w:sz w:val="28"/>
          <w:szCs w:val="28"/>
        </w:rPr>
        <w:t>доступ к финансированию (17,4%);</w:t>
      </w:r>
    </w:p>
    <w:p w14:paraId="6331524F" w14:textId="77777777" w:rsidR="003F4CFF" w:rsidRPr="00EC5135" w:rsidRDefault="003F4CFF" w:rsidP="00E77388">
      <w:pPr>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коррупция (включая взятки, дискриминацию и предоставление преференций отдельным участникам на зав</w:t>
      </w:r>
      <w:r>
        <w:rPr>
          <w:rFonts w:ascii="Times New Roman" w:hAnsi="Times New Roman" w:cs="Times New Roman"/>
          <w:bCs/>
          <w:sz w:val="28"/>
          <w:szCs w:val="28"/>
        </w:rPr>
        <w:t>едомо неравных условиях) (7,5%);</w:t>
      </w:r>
    </w:p>
    <w:p w14:paraId="762F90DD" w14:textId="77777777" w:rsidR="003F4CFF" w:rsidRPr="00EC5135" w:rsidRDefault="003F4CFF" w:rsidP="00E77388">
      <w:pPr>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lastRenderedPageBreak/>
        <w:t>сложность/затянутость проц</w:t>
      </w:r>
      <w:r>
        <w:rPr>
          <w:rFonts w:ascii="Times New Roman" w:hAnsi="Times New Roman" w:cs="Times New Roman"/>
          <w:bCs/>
          <w:sz w:val="28"/>
          <w:szCs w:val="28"/>
        </w:rPr>
        <w:t>едуры получения лицензий (3,8%);</w:t>
      </w:r>
    </w:p>
    <w:p w14:paraId="19D56B45" w14:textId="77777777" w:rsidR="003F4CFF" w:rsidRPr="00EC5135" w:rsidRDefault="003F4CFF" w:rsidP="00E77388">
      <w:pPr>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сложность получения дост</w:t>
      </w:r>
      <w:r>
        <w:rPr>
          <w:rFonts w:ascii="Times New Roman" w:hAnsi="Times New Roman" w:cs="Times New Roman"/>
          <w:bCs/>
          <w:sz w:val="28"/>
          <w:szCs w:val="28"/>
        </w:rPr>
        <w:t>упа к земельным участкам (3,4%);</w:t>
      </w:r>
      <w:r w:rsidRPr="00EC5135">
        <w:rPr>
          <w:rFonts w:ascii="Times New Roman" w:hAnsi="Times New Roman" w:cs="Times New Roman"/>
          <w:bCs/>
          <w:sz w:val="28"/>
          <w:szCs w:val="28"/>
        </w:rPr>
        <w:t xml:space="preserve"> </w:t>
      </w:r>
    </w:p>
    <w:p w14:paraId="2B80E8A5" w14:textId="77777777" w:rsidR="003F4CFF" w:rsidRPr="00EC5135" w:rsidRDefault="003F4CFF" w:rsidP="00E77388">
      <w:pPr>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недостаточная подготовка сотрудников органов власти (2,5%).</w:t>
      </w:r>
    </w:p>
    <w:p w14:paraId="0B69CCB9" w14:textId="77777777" w:rsidR="003F4CFF" w:rsidRPr="00EC5135" w:rsidRDefault="003F4CFF" w:rsidP="00B66EE5">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Остальные виды препятствий отмечают не более 1% опрошенных субъектов предпринимательства. </w:t>
      </w:r>
    </w:p>
    <w:p w14:paraId="74DF9352"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16,6% опрошенных говорят об отсутствии препятствий в своей текущей деятельности. </w:t>
      </w:r>
    </w:p>
    <w:p w14:paraId="4023A0E2"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Высокие налоги почти в равной степени затрудняют деятельность всех предприятий, независимо от размера, особенно – малых и микропредприятий. Доступ к финансированию служит значимым препятствием для микро- и средних предприятий, нестабильность законодательства и невыполнение законов – для микропредприятий и малых предприятий. Отсутствие препятствий в своей текущей деятельности значительно чаще отмечают крупные предприятия.</w:t>
      </w:r>
    </w:p>
    <w:p w14:paraId="31DFCDC0" w14:textId="567A024D"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
          <w:bCs/>
          <w:sz w:val="28"/>
          <w:szCs w:val="28"/>
        </w:rPr>
        <w:t>Оценка уровня конкуренции на рынках Новосибирской области:</w:t>
      </w:r>
      <w:r w:rsidRPr="00EC5135">
        <w:rPr>
          <w:rFonts w:ascii="Times New Roman" w:hAnsi="Times New Roman" w:cs="Times New Roman"/>
          <w:bCs/>
          <w:sz w:val="28"/>
          <w:szCs w:val="28"/>
        </w:rPr>
        <w:t xml:space="preserve"> основная часть субъектов предпринимательства оценива</w:t>
      </w:r>
      <w:r w:rsidR="00754F9E">
        <w:rPr>
          <w:rFonts w:ascii="Times New Roman" w:hAnsi="Times New Roman" w:cs="Times New Roman"/>
          <w:bCs/>
          <w:sz w:val="28"/>
          <w:szCs w:val="28"/>
        </w:rPr>
        <w:t>е</w:t>
      </w:r>
      <w:r w:rsidRPr="00EC5135">
        <w:rPr>
          <w:rFonts w:ascii="Times New Roman" w:hAnsi="Times New Roman" w:cs="Times New Roman"/>
          <w:bCs/>
          <w:sz w:val="28"/>
          <w:szCs w:val="28"/>
        </w:rPr>
        <w:t>т конкуренцию на своем рынке как высокую (49,3%) и умеренную (32,5%). Доля оценивших конкуренцию как слабую составляет 7,9%, отсутствие конкуренции отмечают 10,3%.</w:t>
      </w:r>
    </w:p>
    <w:p w14:paraId="71E51BCF"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Представители микропредприятий чаще отмечают наличие высокой конкуренции (54,7%), а представители крупных предприятий – реже (37,3%).</w:t>
      </w:r>
    </w:p>
    <w:p w14:paraId="7D68C4F6"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В разрезе товарных рынков доля субъектов предпринимательства, отмечающих высокую конкуренцию на их рынке, варьируется от 8,6% (на рынке товарной аквакультуры) до 81,8% (на рынке розничной торговли лекарственными препаратами). Слабую конкуренцию либо ее отсутствие чаще всего отмечали представители следующих товарных рынков: психолого-педагогическое сопровождение детей с ОВЗ, рынок теплоснабжения, по содержанию и ремонту в многоквартирном доме (более 50% субъектов предпринимательства на этих рынках). </w:t>
      </w:r>
    </w:p>
    <w:p w14:paraId="37591FCF"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 разрезе МО доля субъектов предпринимательства, отмечающих высокую конкуренцию на их рынке, варьируется от 12% (в Мошковском районе) до 66,7% (в р. п. Кольцово).</w:t>
      </w:r>
    </w:p>
    <w:p w14:paraId="71260736"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
          <w:bCs/>
          <w:sz w:val="28"/>
          <w:szCs w:val="28"/>
        </w:rPr>
        <w:t>Оценка дин</w:t>
      </w:r>
      <w:r>
        <w:rPr>
          <w:rFonts w:ascii="Times New Roman" w:hAnsi="Times New Roman" w:cs="Times New Roman"/>
          <w:b/>
          <w:bCs/>
          <w:sz w:val="28"/>
          <w:szCs w:val="28"/>
        </w:rPr>
        <w:t>амики интенсивности конкуренции.</w:t>
      </w:r>
      <w:r>
        <w:rPr>
          <w:rFonts w:ascii="Times New Roman" w:hAnsi="Times New Roman" w:cs="Times New Roman"/>
          <w:bCs/>
          <w:sz w:val="28"/>
          <w:szCs w:val="28"/>
        </w:rPr>
        <w:t xml:space="preserve"> О</w:t>
      </w:r>
      <w:r w:rsidRPr="00EC5135">
        <w:rPr>
          <w:rFonts w:ascii="Times New Roman" w:hAnsi="Times New Roman" w:cs="Times New Roman"/>
          <w:bCs/>
          <w:sz w:val="28"/>
          <w:szCs w:val="28"/>
        </w:rPr>
        <w:t xml:space="preserve">сновная часть субъектов предпринимательства отмечает отсутствие изменений в конкуренции в 2019 г. – 46,6%, об усилении конкуренции говорят 39,9% опрошенных, только 6,7% опрошенных отмечают ослабление конкуренции. </w:t>
      </w:r>
    </w:p>
    <w:p w14:paraId="5AEF999A"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Чаще других отмечают усиление конкуренции на рынке представители микро- и средних предприятий (42,3% и 42,9% соответственно), реже – крупных предприятий (29,9%). </w:t>
      </w:r>
    </w:p>
    <w:p w14:paraId="34E493DE"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 разрезе товарных рынков доля субъектов предпринимательства, отмечающих усиление конкуренции, варьируется от 5,0–20,0% (на рынке теплоснабжения, ЖКХ, добычи полезных ископаемых) до 60–82,7% (на рынке розничной торговли лекарственными препаратами, дополнительного образования, услуг связи).</w:t>
      </w:r>
    </w:p>
    <w:p w14:paraId="40098D35"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 разрезе МО доля отмечающих усиление конкуренции варьируется от 15,4% (в Венгеровском районе) до 79,6% (в Коченевском районе).</w:t>
      </w:r>
    </w:p>
    <w:p w14:paraId="497AF0C3" w14:textId="77777777" w:rsidR="003F4CFF" w:rsidRPr="00EC5135" w:rsidRDefault="003F4CFF" w:rsidP="003F4CFF">
      <w:pPr>
        <w:ind w:firstLine="567"/>
        <w:jc w:val="both"/>
        <w:rPr>
          <w:rFonts w:ascii="Times New Roman" w:hAnsi="Times New Roman" w:cs="Times New Roman"/>
          <w:bCs/>
          <w:sz w:val="28"/>
          <w:szCs w:val="28"/>
        </w:rPr>
      </w:pPr>
      <w:r>
        <w:rPr>
          <w:rFonts w:ascii="Times New Roman" w:hAnsi="Times New Roman" w:cs="Times New Roman"/>
          <w:b/>
          <w:bCs/>
          <w:sz w:val="28"/>
          <w:szCs w:val="28"/>
        </w:rPr>
        <w:lastRenderedPageBreak/>
        <w:t>Оценка количества конкурентов.</w:t>
      </w:r>
      <w:r>
        <w:rPr>
          <w:rFonts w:ascii="Times New Roman" w:hAnsi="Times New Roman" w:cs="Times New Roman"/>
          <w:bCs/>
          <w:sz w:val="28"/>
          <w:szCs w:val="28"/>
        </w:rPr>
        <w:t xml:space="preserve"> Б</w:t>
      </w:r>
      <w:r w:rsidRPr="00EC5135">
        <w:rPr>
          <w:rFonts w:ascii="Times New Roman" w:hAnsi="Times New Roman" w:cs="Times New Roman"/>
          <w:bCs/>
          <w:sz w:val="28"/>
          <w:szCs w:val="28"/>
        </w:rPr>
        <w:t>ольшинство субъектов предпринимательства (67,7%) отмечают, что у них много конкурентов; лишь несколько конкурентов есть у 18,0% опрошенных, отсутствуют конкуренты у 14,3% опрошенных.</w:t>
      </w:r>
    </w:p>
    <w:p w14:paraId="0C733FC3"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Представители микропредприятий чаще остальных имеют большое количество конкурентов (74,1%) и реже отмечают их полное отсутствие (11,6%). </w:t>
      </w:r>
    </w:p>
    <w:p w14:paraId="3C61C3ED"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 разрезе товарных рынков наличие большого числа конкурентов отмечают от 15,0–35,0% (на рынке услуг по теплоснабжению, рынке по содержанию и ремонту в многоквартирном доме и психолого-педагогического сопровождения детей с ОВЗ) до 86,3–91,8% (на рынке розничной торговли лекарственными препаратами, капитального строительства, за исключением жилищного и дорожной деятельности, легкового такси).</w:t>
      </w:r>
    </w:p>
    <w:p w14:paraId="0DA63BC2"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 разрезе МО наличие большого числа конкурентов отмечают от 16,7% (в Усть-Таркском МР) до 91,7% (в Баганском МР).</w:t>
      </w:r>
    </w:p>
    <w:p w14:paraId="3D4F4117"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
          <w:bCs/>
          <w:sz w:val="28"/>
          <w:szCs w:val="28"/>
        </w:rPr>
        <w:t>Оценка динамики числа ко</w:t>
      </w:r>
      <w:r>
        <w:rPr>
          <w:rFonts w:ascii="Times New Roman" w:hAnsi="Times New Roman" w:cs="Times New Roman"/>
          <w:b/>
          <w:bCs/>
          <w:sz w:val="28"/>
          <w:szCs w:val="28"/>
        </w:rPr>
        <w:t>нкурентов за последние три года.</w:t>
      </w:r>
      <w:r>
        <w:rPr>
          <w:rFonts w:ascii="Times New Roman" w:hAnsi="Times New Roman" w:cs="Times New Roman"/>
          <w:bCs/>
          <w:sz w:val="28"/>
          <w:szCs w:val="28"/>
        </w:rPr>
        <w:t xml:space="preserve"> Б</w:t>
      </w:r>
      <w:r w:rsidRPr="00EC5135">
        <w:rPr>
          <w:rFonts w:ascii="Times New Roman" w:hAnsi="Times New Roman" w:cs="Times New Roman"/>
          <w:bCs/>
          <w:sz w:val="28"/>
          <w:szCs w:val="28"/>
        </w:rPr>
        <w:t xml:space="preserve">олее трети опрошенных субъектов предпринимательства (37,0%) отмечают, что за последние 3 года число конкурентов увеличилось, немногим меньше половины (47,8%) говорят об отсутствии изменений, а 15,2% отмечают сокращение числа конкурентов. </w:t>
      </w:r>
    </w:p>
    <w:p w14:paraId="2480F15D"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Представители крупных предприятий гораздо реже отмечают увеличение числа конкурентов (19,4%), чем представители малых (30,9%), микро- (42,3%) и средних (30,8%) предприятий. </w:t>
      </w:r>
    </w:p>
    <w:p w14:paraId="01B846BE"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 разрезе товарных рынков увеличение числа конкурентов отмечают от 0,0–10,0% субъектов предпринимательства (на рынке производства кирпича, теплоснабжения, поставки сжиженного газа в баллонах, купли-продажи электроэнергии) до 55,0–80,9% (на рынке розничной торговли лекарственными препаратами, дополнительного образования детей, вылова водных биоресурсов и легкового такси).</w:t>
      </w:r>
    </w:p>
    <w:p w14:paraId="157EA538"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 разрезе МО увеличение числа конкурентов отмечают от 15,4% субъектов предпринимательства (в Краснозерском МР) до 58,3% (в Кочковском МР).</w:t>
      </w:r>
    </w:p>
    <w:p w14:paraId="3694FFAE"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
          <w:bCs/>
          <w:sz w:val="28"/>
          <w:szCs w:val="28"/>
        </w:rPr>
        <w:t>Влияние на деятельность организаций конкуренции со</w:t>
      </w:r>
      <w:r>
        <w:rPr>
          <w:rFonts w:ascii="Times New Roman" w:hAnsi="Times New Roman" w:cs="Times New Roman"/>
          <w:b/>
          <w:bCs/>
          <w:sz w:val="28"/>
          <w:szCs w:val="28"/>
        </w:rPr>
        <w:t xml:space="preserve"> стороны более крупного бизнеса.</w:t>
      </w:r>
      <w:r>
        <w:rPr>
          <w:rFonts w:ascii="Times New Roman" w:hAnsi="Times New Roman" w:cs="Times New Roman"/>
          <w:bCs/>
          <w:sz w:val="28"/>
          <w:szCs w:val="28"/>
        </w:rPr>
        <w:t xml:space="preserve"> П</w:t>
      </w:r>
      <w:r w:rsidRPr="00EC5135">
        <w:rPr>
          <w:rFonts w:ascii="Times New Roman" w:hAnsi="Times New Roman" w:cs="Times New Roman"/>
          <w:bCs/>
          <w:sz w:val="28"/>
          <w:szCs w:val="28"/>
        </w:rPr>
        <w:t>о оценкам субъектов предпринимательства, отмечается негативное влияние на их деятельность конкуренции со стороны более крупного бизнеса – это отмечает 33,1% опрошенных, положительное влияние со стороны крупного бизнеса отмечает 4,6%, отсутствие влияния – 54,1%.</w:t>
      </w:r>
    </w:p>
    <w:p w14:paraId="0D2198BF"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Представители микропредприятий чаще остальных отмечают, что крупный бизнес вытесняет более мелких игроков с рынка (36,0%), среди малых и средних предприятий эта доля снижается до 27,5–29,2%. При этом треть представителей крупных предприятий также отметили негативное влияние крупного бизнеса (32,8%)</w:t>
      </w:r>
    </w:p>
    <w:p w14:paraId="5CED8564"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 разрезе товарных рынков негативное влияние конкуренции со стороны более крупного бизнеса отмечают от 2,0–10,0% субъектов предпринимательства (на рынке среднего профессионального образования, добычи полезных ископаемых, производства электро</w:t>
      </w:r>
      <w:r w:rsidR="005274F1">
        <w:rPr>
          <w:rFonts w:ascii="Times New Roman" w:hAnsi="Times New Roman" w:cs="Times New Roman"/>
          <w:bCs/>
          <w:sz w:val="28"/>
          <w:szCs w:val="28"/>
        </w:rPr>
        <w:t>энергии) до 57,1–77,3% (на рынке</w:t>
      </w:r>
      <w:r w:rsidRPr="00EC5135">
        <w:rPr>
          <w:rFonts w:ascii="Times New Roman" w:hAnsi="Times New Roman" w:cs="Times New Roman"/>
          <w:bCs/>
          <w:sz w:val="28"/>
          <w:szCs w:val="28"/>
        </w:rPr>
        <w:t xml:space="preserve"> розничной </w:t>
      </w:r>
      <w:r w:rsidRPr="00EC5135">
        <w:rPr>
          <w:rFonts w:ascii="Times New Roman" w:hAnsi="Times New Roman" w:cs="Times New Roman"/>
          <w:bCs/>
          <w:sz w:val="28"/>
          <w:szCs w:val="28"/>
        </w:rPr>
        <w:lastRenderedPageBreak/>
        <w:t>торговли лекарственными препаратами</w:t>
      </w:r>
      <w:r w:rsidR="005274F1">
        <w:rPr>
          <w:rFonts w:ascii="Times New Roman" w:hAnsi="Times New Roman" w:cs="Times New Roman"/>
          <w:bCs/>
          <w:sz w:val="28"/>
          <w:szCs w:val="28"/>
        </w:rPr>
        <w:t>, рынке услуг</w:t>
      </w:r>
      <w:r w:rsidRPr="00EC5135">
        <w:rPr>
          <w:rFonts w:ascii="Times New Roman" w:hAnsi="Times New Roman" w:cs="Times New Roman"/>
          <w:bCs/>
          <w:sz w:val="28"/>
          <w:szCs w:val="28"/>
        </w:rPr>
        <w:t xml:space="preserve"> по благоустройству и </w:t>
      </w:r>
      <w:r w:rsidR="005274F1">
        <w:rPr>
          <w:rFonts w:ascii="Times New Roman" w:hAnsi="Times New Roman" w:cs="Times New Roman"/>
          <w:bCs/>
          <w:sz w:val="28"/>
          <w:szCs w:val="28"/>
        </w:rPr>
        <w:t xml:space="preserve">рынке </w:t>
      </w:r>
      <w:r w:rsidRPr="00EC5135">
        <w:rPr>
          <w:rFonts w:ascii="Times New Roman" w:hAnsi="Times New Roman" w:cs="Times New Roman"/>
          <w:bCs/>
          <w:sz w:val="28"/>
          <w:szCs w:val="28"/>
        </w:rPr>
        <w:t>племенного животноводства).</w:t>
      </w:r>
    </w:p>
    <w:p w14:paraId="1F233B66"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 разрезе МО негативное влияние конкуренции со стороны более крупного бизнеса отмечает от 7,7% субъектов предпринимательства (в Венгеровском районе) до 53,8% (в Коченевском районе).</w:t>
      </w:r>
    </w:p>
    <w:p w14:paraId="25AA8B60"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
          <w:bCs/>
          <w:sz w:val="28"/>
          <w:szCs w:val="28"/>
        </w:rPr>
        <w:t>Основные способы повышения конкурентоспособности, использованные субъектами предпринимательства за последние 3 года</w:t>
      </w:r>
      <w:r w:rsidRPr="00EC5135">
        <w:rPr>
          <w:rFonts w:ascii="Times New Roman" w:hAnsi="Times New Roman" w:cs="Times New Roman"/>
          <w:bCs/>
          <w:sz w:val="28"/>
          <w:szCs w:val="28"/>
        </w:rPr>
        <w:t>:</w:t>
      </w:r>
    </w:p>
    <w:p w14:paraId="1AB1BB1E" w14:textId="77777777" w:rsidR="003F4CFF" w:rsidRPr="00EC5135" w:rsidRDefault="003F4CFF" w:rsidP="003F4CFF">
      <w:pPr>
        <w:spacing w:after="160" w:line="259" w:lineRule="auto"/>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покуп</w:t>
      </w:r>
      <w:r>
        <w:rPr>
          <w:rFonts w:ascii="Times New Roman" w:hAnsi="Times New Roman" w:cs="Times New Roman"/>
          <w:bCs/>
          <w:sz w:val="28"/>
          <w:szCs w:val="28"/>
        </w:rPr>
        <w:t>ка машин и оборудования (39,7%);</w:t>
      </w:r>
    </w:p>
    <w:p w14:paraId="2F642E30" w14:textId="77777777" w:rsidR="003F4CFF" w:rsidRPr="00EC5135" w:rsidRDefault="003F4CFF" w:rsidP="003F4CFF">
      <w:pPr>
        <w:spacing w:after="160" w:line="259" w:lineRule="auto"/>
        <w:ind w:firstLine="567"/>
        <w:contextualSpacing/>
        <w:jc w:val="both"/>
        <w:rPr>
          <w:rFonts w:ascii="Times New Roman" w:hAnsi="Times New Roman" w:cs="Times New Roman"/>
          <w:bCs/>
          <w:sz w:val="28"/>
          <w:szCs w:val="28"/>
        </w:rPr>
      </w:pPr>
      <w:r>
        <w:rPr>
          <w:rFonts w:ascii="Times New Roman" w:hAnsi="Times New Roman" w:cs="Times New Roman"/>
          <w:bCs/>
          <w:sz w:val="28"/>
          <w:szCs w:val="28"/>
        </w:rPr>
        <w:t>обучение персонала (36,7%);</w:t>
      </w:r>
    </w:p>
    <w:p w14:paraId="314CBB6F" w14:textId="77777777" w:rsidR="003F4CFF" w:rsidRDefault="003F4CFF" w:rsidP="003F4CFF">
      <w:pPr>
        <w:spacing w:after="160" w:line="259" w:lineRule="auto"/>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вывод н</w:t>
      </w:r>
      <w:r>
        <w:rPr>
          <w:rFonts w:ascii="Times New Roman" w:hAnsi="Times New Roman" w:cs="Times New Roman"/>
          <w:bCs/>
          <w:sz w:val="28"/>
          <w:szCs w:val="28"/>
        </w:rPr>
        <w:t>а рынок новых продуктов (20,5%);</w:t>
      </w:r>
    </w:p>
    <w:p w14:paraId="67BF5C8D" w14:textId="77777777" w:rsidR="003F4CFF" w:rsidRPr="00EC5135" w:rsidRDefault="003F4CFF" w:rsidP="003F4CFF">
      <w:pPr>
        <w:spacing w:after="160" w:line="259" w:lineRule="auto"/>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использование новых способо</w:t>
      </w:r>
      <w:r>
        <w:rPr>
          <w:rFonts w:ascii="Times New Roman" w:hAnsi="Times New Roman" w:cs="Times New Roman"/>
          <w:bCs/>
          <w:sz w:val="28"/>
          <w:szCs w:val="28"/>
        </w:rPr>
        <w:t>в продвижения продукта (18,9%);</w:t>
      </w:r>
    </w:p>
    <w:p w14:paraId="334E7526" w14:textId="77777777" w:rsidR="003F4CFF" w:rsidRPr="00EC5135" w:rsidRDefault="003F4CFF" w:rsidP="003F4CFF">
      <w:pPr>
        <w:spacing w:after="160" w:line="259" w:lineRule="auto"/>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покупка технологий, патен</w:t>
      </w:r>
      <w:r>
        <w:rPr>
          <w:rFonts w:ascii="Times New Roman" w:hAnsi="Times New Roman" w:cs="Times New Roman"/>
          <w:bCs/>
          <w:sz w:val="28"/>
          <w:szCs w:val="28"/>
        </w:rPr>
        <w:t>тов, лицензий, ноу-хау (14,8%);</w:t>
      </w:r>
    </w:p>
    <w:p w14:paraId="63F10A2B" w14:textId="77777777" w:rsidR="003F4CFF" w:rsidRPr="00EC5135" w:rsidRDefault="003F4CFF" w:rsidP="003F4CFF">
      <w:pPr>
        <w:spacing w:after="160" w:line="259" w:lineRule="auto"/>
        <w:ind w:firstLine="567"/>
        <w:contextualSpacing/>
        <w:jc w:val="both"/>
        <w:rPr>
          <w:rFonts w:ascii="Times New Roman" w:hAnsi="Times New Roman" w:cs="Times New Roman"/>
          <w:bCs/>
          <w:sz w:val="28"/>
          <w:szCs w:val="28"/>
        </w:rPr>
      </w:pPr>
      <w:r w:rsidRPr="00EC5135">
        <w:rPr>
          <w:rFonts w:ascii="Times New Roman" w:hAnsi="Times New Roman" w:cs="Times New Roman"/>
          <w:bCs/>
          <w:sz w:val="28"/>
          <w:szCs w:val="28"/>
        </w:rPr>
        <w:t>развитие и расширение системы представительств (6,4%).</w:t>
      </w:r>
    </w:p>
    <w:p w14:paraId="31200BE2"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Ничего не предпринимали для повышения конкурентоспособности за последние три года 17,6% опрошенных субъектов предпринимательства. Чем крупнее предприятие, тем ниже эта доля.</w:t>
      </w:r>
    </w:p>
    <w:p w14:paraId="3574A509" w14:textId="77777777" w:rsidR="003F4CFF"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 xml:space="preserve">В разрезе МО доля субъектов предпринимательства, ничего не предпринимавших для повышения конкурентоспособности, варьируется от 5% (в Татарском районе) до 37,8% (в Барабинском районе). </w:t>
      </w:r>
    </w:p>
    <w:p w14:paraId="56EC0C21"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bCs/>
          <w:sz w:val="28"/>
          <w:szCs w:val="28"/>
        </w:rPr>
        <w:t>В разрезе товарных рынков доля субъектов предпринимательства, ничего не предпринимавших для повышения конкурентоспособности, варьируется от 2,9% (на рынке производства бетона) до 40% (на рынках по содержанию и ремонту в многоквартирном доме).</w:t>
      </w:r>
    </w:p>
    <w:p w14:paraId="389A413B" w14:textId="77777777" w:rsidR="003F4CFF"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Оценка возможности конкурировать, равного доступа к ресурсам, отсутствия преференций со стороны органов власти и потребителей</w:t>
      </w:r>
      <w:r>
        <w:rPr>
          <w:rFonts w:ascii="Times New Roman" w:hAnsi="Times New Roman" w:cs="Times New Roman"/>
          <w:b/>
          <w:sz w:val="28"/>
          <w:szCs w:val="28"/>
        </w:rPr>
        <w:t xml:space="preserve">. </w:t>
      </w:r>
      <w:r w:rsidRPr="00EC5135">
        <w:rPr>
          <w:rFonts w:ascii="Times New Roman" w:hAnsi="Times New Roman" w:cs="Times New Roman"/>
          <w:bCs/>
          <w:sz w:val="28"/>
          <w:szCs w:val="28"/>
        </w:rPr>
        <w:t>Почти половина (48,8%) опрошенных субъектов предпринимательства считают, что в Новосибирской области есть равные возможности конкурировать, обеспечен равный доступ к ресурсам и отсутствуют преференции со стороны</w:t>
      </w:r>
      <w:r>
        <w:rPr>
          <w:rFonts w:ascii="Times New Roman" w:hAnsi="Times New Roman" w:cs="Times New Roman"/>
          <w:bCs/>
          <w:sz w:val="28"/>
          <w:szCs w:val="28"/>
        </w:rPr>
        <w:t xml:space="preserve"> органов власти и потребителей.</w:t>
      </w:r>
    </w:p>
    <w:p w14:paraId="10C535D9" w14:textId="77777777" w:rsidR="003F4CFF" w:rsidRPr="00C90291" w:rsidRDefault="003F4CFF" w:rsidP="003F4CFF">
      <w:pPr>
        <w:ind w:firstLine="567"/>
        <w:jc w:val="both"/>
        <w:rPr>
          <w:rFonts w:ascii="Times New Roman" w:hAnsi="Times New Roman" w:cs="Times New Roman"/>
          <w:b/>
          <w:sz w:val="28"/>
          <w:szCs w:val="28"/>
        </w:rPr>
      </w:pPr>
      <w:r w:rsidRPr="00EC5135">
        <w:rPr>
          <w:rFonts w:ascii="Times New Roman" w:hAnsi="Times New Roman" w:cs="Times New Roman"/>
          <w:sz w:val="28"/>
          <w:szCs w:val="28"/>
        </w:rPr>
        <w:t xml:space="preserve">На товарных рынках наибольшие доли тех, кто </w:t>
      </w:r>
      <w:r w:rsidRPr="00EC5135">
        <w:rPr>
          <w:rFonts w:ascii="Times New Roman" w:hAnsi="Times New Roman" w:cs="Times New Roman"/>
          <w:bCs/>
          <w:sz w:val="28"/>
          <w:szCs w:val="28"/>
        </w:rPr>
        <w:t xml:space="preserve">видит возможность конкурировать, считает равным доступ к ресурсам, отмечает отсутствие преференций со стороны органов власти и потребителей, зафиксированы среди </w:t>
      </w:r>
      <w:r w:rsidRPr="00EC5135">
        <w:rPr>
          <w:rFonts w:ascii="Times New Roman" w:hAnsi="Times New Roman" w:cs="Times New Roman"/>
          <w:sz w:val="28"/>
          <w:szCs w:val="28"/>
        </w:rPr>
        <w:t>субъектов предпринимательства, предоставляющих услуги дошкольного образования (65,5%), поставки сжиженного газа в баллонах (64,3%), легкой промышленности (63,6%), услуги среднего профессионального образования, психолого-педагогического сопровождения детей с ОВЗ, вылова водных биоресурсов, переработки водных биоресурсов, добычи полезных ископаемых (по каждому 60% соответственно). Наименьшие доли – среди представителей организаций, работающих на рынке</w:t>
      </w:r>
      <w:r>
        <w:rPr>
          <w:rFonts w:ascii="Times New Roman" w:hAnsi="Times New Roman" w:cs="Times New Roman"/>
          <w:sz w:val="28"/>
          <w:szCs w:val="28"/>
        </w:rPr>
        <w:t xml:space="preserve"> услуг общего образования (22%).</w:t>
      </w:r>
    </w:p>
    <w:p w14:paraId="78AF8F42"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Наибольшая доля тех, кто </w:t>
      </w:r>
      <w:r w:rsidRPr="00EC5135">
        <w:rPr>
          <w:rFonts w:ascii="Times New Roman" w:hAnsi="Times New Roman" w:cs="Times New Roman"/>
          <w:bCs/>
          <w:sz w:val="28"/>
          <w:szCs w:val="28"/>
        </w:rPr>
        <w:t xml:space="preserve">видит возможность конкурировать, считает равным доступ к ресурсам, отмечает отсутствие преференций со стороны органов власти и потребителей, отмечается среди представителей </w:t>
      </w:r>
      <w:r w:rsidRPr="00EC5135">
        <w:rPr>
          <w:rFonts w:ascii="Times New Roman" w:hAnsi="Times New Roman" w:cs="Times New Roman"/>
          <w:sz w:val="28"/>
          <w:szCs w:val="28"/>
        </w:rPr>
        <w:t>средних предприятий (62,6%)</w:t>
      </w:r>
      <w:r>
        <w:rPr>
          <w:rFonts w:ascii="Times New Roman" w:hAnsi="Times New Roman" w:cs="Times New Roman"/>
          <w:sz w:val="28"/>
          <w:szCs w:val="28"/>
        </w:rPr>
        <w:t>.</w:t>
      </w:r>
    </w:p>
    <w:p w14:paraId="0217D77C" w14:textId="77777777" w:rsidR="003F4CFF" w:rsidRPr="004970C6" w:rsidRDefault="003F4CFF" w:rsidP="003F4CFF">
      <w:pPr>
        <w:rPr>
          <w:rFonts w:ascii="Times New Roman" w:hAnsi="Times New Roman" w:cs="Times New Roman"/>
          <w:bCs/>
          <w:sz w:val="28"/>
          <w:szCs w:val="28"/>
        </w:rPr>
      </w:pPr>
      <w:r w:rsidRPr="00EC5135">
        <w:rPr>
          <w:rFonts w:eastAsia="Times New Roman"/>
          <w:noProof/>
        </w:rPr>
        <w:lastRenderedPageBreak/>
        <w:drawing>
          <wp:inline distT="0" distB="0" distL="0" distR="0" wp14:anchorId="4F0A1C2F" wp14:editId="51E82990">
            <wp:extent cx="5864860" cy="138620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7B250F0" w14:textId="77777777" w:rsidR="003F4CFF" w:rsidRPr="004970C6" w:rsidRDefault="003F4CFF" w:rsidP="003F4CFF">
      <w:pPr>
        <w:rPr>
          <w:rFonts w:ascii="Times New Roman" w:hAnsi="Times New Roman" w:cs="Times New Roman"/>
          <w:b/>
          <w:sz w:val="24"/>
          <w:szCs w:val="24"/>
        </w:rPr>
      </w:pPr>
      <w:r w:rsidRPr="00547020">
        <w:rPr>
          <w:rFonts w:ascii="Times New Roman" w:hAnsi="Times New Roman" w:cs="Times New Roman"/>
          <w:b/>
          <w:sz w:val="24"/>
          <w:szCs w:val="24"/>
        </w:rPr>
        <w:t>Диаграмма 2–</w:t>
      </w:r>
      <w:r w:rsidRPr="004970C6">
        <w:rPr>
          <w:rFonts w:cs="Times New Roman"/>
          <w:b/>
          <w:sz w:val="24"/>
          <w:szCs w:val="24"/>
        </w:rPr>
        <w:t xml:space="preserve"> </w:t>
      </w:r>
      <w:r w:rsidRPr="004970C6">
        <w:rPr>
          <w:rFonts w:ascii="Times New Roman" w:hAnsi="Times New Roman" w:cs="Times New Roman"/>
          <w:b/>
          <w:sz w:val="24"/>
          <w:szCs w:val="24"/>
        </w:rPr>
        <w:t xml:space="preserve">Оценка </w:t>
      </w:r>
      <w:r w:rsidRPr="004970C6">
        <w:rPr>
          <w:rFonts w:ascii="Times New Roman" w:hAnsi="Times New Roman" w:cs="Times New Roman"/>
          <w:b/>
          <w:bCs/>
          <w:sz w:val="24"/>
          <w:szCs w:val="24"/>
        </w:rPr>
        <w:t>возможности конкурировать, равного доступа к ресурсам, отсутствия преференций со стороны органов власти и потребителей</w:t>
      </w:r>
      <w:r w:rsidRPr="004970C6">
        <w:rPr>
          <w:rFonts w:ascii="Times New Roman" w:hAnsi="Times New Roman" w:cs="Times New Roman"/>
          <w:b/>
          <w:sz w:val="24"/>
          <w:szCs w:val="24"/>
        </w:rPr>
        <w:t xml:space="preserve"> в разрезе размера предприятий (% от числа опрошенных по типу предприятий)</w:t>
      </w:r>
    </w:p>
    <w:p w14:paraId="3ED7FD6D" w14:textId="77777777" w:rsidR="003F4CFF" w:rsidRPr="004970C6" w:rsidRDefault="003F4CFF" w:rsidP="003F4CFF">
      <w:pPr>
        <w:ind w:firstLine="709"/>
        <w:rPr>
          <w:rFonts w:ascii="Times New Roman" w:hAnsi="Times New Roman" w:cs="Times New Roman"/>
          <w:sz w:val="28"/>
          <w:szCs w:val="28"/>
        </w:rPr>
      </w:pPr>
    </w:p>
    <w:p w14:paraId="7F222133" w14:textId="77777777" w:rsidR="003F4CFF" w:rsidRPr="00EC5135" w:rsidRDefault="003F4CFF" w:rsidP="003F4CFF">
      <w:pPr>
        <w:ind w:firstLine="567"/>
        <w:jc w:val="both"/>
        <w:rPr>
          <w:rFonts w:ascii="Times New Roman" w:hAnsi="Times New Roman" w:cs="Times New Roman"/>
          <w:bCs/>
          <w:sz w:val="28"/>
          <w:szCs w:val="28"/>
        </w:rPr>
      </w:pPr>
      <w:r w:rsidRPr="00EC5135">
        <w:rPr>
          <w:rFonts w:ascii="Times New Roman" w:hAnsi="Times New Roman" w:cs="Times New Roman"/>
          <w:sz w:val="28"/>
          <w:szCs w:val="28"/>
        </w:rPr>
        <w:t xml:space="preserve">Наибольшая доля тех, кто </w:t>
      </w:r>
      <w:r w:rsidRPr="00EC5135">
        <w:rPr>
          <w:rFonts w:ascii="Times New Roman" w:hAnsi="Times New Roman" w:cs="Times New Roman"/>
          <w:bCs/>
          <w:sz w:val="28"/>
          <w:szCs w:val="28"/>
        </w:rPr>
        <w:t>видит возможность конкурировать, считает равным доступ к ресурсам, отмечает отсутствие преференций со стороны органов власти и потребителей – среди субъектов предпринимательства из Чановского (68,8%), Маслянинского (67,9%), Черепановского (65,4%), Купинского (64%), Барабинского (62,1%) и Коченевского (61,5%) районов. Меньше всех благоприятных оценок дали субъекты предпринимательства из Сузунского (31%), Венгеровского (30,8%), Краснозерского (30,8</w:t>
      </w:r>
      <w:r>
        <w:rPr>
          <w:rFonts w:ascii="Times New Roman" w:hAnsi="Times New Roman" w:cs="Times New Roman"/>
          <w:bCs/>
          <w:sz w:val="28"/>
          <w:szCs w:val="28"/>
        </w:rPr>
        <w:t xml:space="preserve">%) и Чулымского (23,1%) </w:t>
      </w:r>
      <w:r w:rsidRPr="00C90291">
        <w:rPr>
          <w:rFonts w:ascii="Times New Roman" w:hAnsi="Times New Roman" w:cs="Times New Roman"/>
          <w:bCs/>
          <w:sz w:val="28"/>
          <w:szCs w:val="28"/>
        </w:rPr>
        <w:t>районов.</w:t>
      </w:r>
    </w:p>
    <w:p w14:paraId="5B60A33A" w14:textId="77777777" w:rsidR="003F4CFF" w:rsidRPr="00C90291" w:rsidRDefault="003F4CFF" w:rsidP="003F4CFF">
      <w:pPr>
        <w:ind w:firstLine="567"/>
        <w:jc w:val="both"/>
        <w:rPr>
          <w:rFonts w:ascii="Times New Roman" w:hAnsi="Times New Roman" w:cs="Times New Roman"/>
          <w:b/>
          <w:sz w:val="28"/>
          <w:szCs w:val="28"/>
        </w:rPr>
      </w:pPr>
      <w:r w:rsidRPr="00EC5135">
        <w:rPr>
          <w:rFonts w:ascii="Times New Roman" w:hAnsi="Times New Roman" w:cs="Times New Roman"/>
          <w:b/>
          <w:sz w:val="28"/>
          <w:szCs w:val="28"/>
        </w:rPr>
        <w:t>Структура наиболее существенных административных барьеров</w:t>
      </w:r>
      <w:r>
        <w:rPr>
          <w:rFonts w:ascii="Times New Roman" w:hAnsi="Times New Roman" w:cs="Times New Roman"/>
          <w:b/>
          <w:sz w:val="28"/>
          <w:szCs w:val="28"/>
        </w:rPr>
        <w:t xml:space="preserve">. </w:t>
      </w:r>
      <w:r w:rsidRPr="00EC5135">
        <w:rPr>
          <w:rFonts w:ascii="Times New Roman" w:hAnsi="Times New Roman" w:cs="Times New Roman"/>
          <w:sz w:val="28"/>
          <w:szCs w:val="28"/>
        </w:rPr>
        <w:t>Среди различных видов административных барьеров наиболее существенным, по оценкам субъектов предпринимательства, является нестабильность законодательства, регулирующего предпринимательскую деятельность. Этот факт отмечают 29,9% опрошенных. Второе место в рейтинге значимости занимает сложность, затянутость процедуры получения лицензий, средств государственной поддержки, разрешений, согласований – этот барьер отмечают 22,2</w:t>
      </w:r>
      <w:r w:rsidRPr="004970C6">
        <w:rPr>
          <w:rFonts w:ascii="Times New Roman" w:hAnsi="Times New Roman" w:cs="Times New Roman"/>
          <w:sz w:val="28"/>
          <w:szCs w:val="28"/>
        </w:rPr>
        <w:t>% (диаграмма</w:t>
      </w:r>
      <w:r>
        <w:rPr>
          <w:rFonts w:ascii="Times New Roman" w:hAnsi="Times New Roman" w:cs="Times New Roman"/>
          <w:sz w:val="28"/>
          <w:szCs w:val="28"/>
        </w:rPr>
        <w:t xml:space="preserve"> 3</w:t>
      </w:r>
      <w:r w:rsidRPr="004970C6">
        <w:rPr>
          <w:rFonts w:ascii="Times New Roman" w:hAnsi="Times New Roman" w:cs="Times New Roman"/>
          <w:sz w:val="28"/>
          <w:szCs w:val="28"/>
        </w:rPr>
        <w:t>).</w:t>
      </w:r>
      <w:r w:rsidRPr="00EC5135">
        <w:rPr>
          <w:rFonts w:ascii="Times New Roman" w:hAnsi="Times New Roman" w:cs="Times New Roman"/>
          <w:sz w:val="28"/>
          <w:szCs w:val="28"/>
        </w:rPr>
        <w:t xml:space="preserve"> </w:t>
      </w:r>
    </w:p>
    <w:p w14:paraId="2562D219"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37,7% опрошенных отмечают отсутствие административных барьеров на рынке. </w:t>
      </w:r>
    </w:p>
    <w:p w14:paraId="5B22BD61" w14:textId="77777777" w:rsidR="003F4CFF" w:rsidRDefault="003F4CFF" w:rsidP="003F4CFF">
      <w:pPr>
        <w:spacing w:line="259" w:lineRule="auto"/>
        <w:rPr>
          <w:rFonts w:ascii="Times New Roman" w:hAnsi="Times New Roman" w:cs="Times New Roman"/>
          <w:b/>
          <w:sz w:val="24"/>
          <w:szCs w:val="24"/>
        </w:rPr>
      </w:pPr>
      <w:r w:rsidRPr="00EC5135">
        <w:rPr>
          <w:rFonts w:cs="Times New Roman"/>
          <w:noProof/>
          <w:sz w:val="22"/>
          <w:szCs w:val="22"/>
        </w:rPr>
        <w:drawing>
          <wp:inline distT="0" distB="0" distL="0" distR="0" wp14:anchorId="528F6821" wp14:editId="629AACA0">
            <wp:extent cx="5857875" cy="272161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547020">
        <w:rPr>
          <w:rFonts w:ascii="Times New Roman" w:hAnsi="Times New Roman" w:cs="Times New Roman"/>
          <w:b/>
          <w:sz w:val="24"/>
          <w:szCs w:val="24"/>
        </w:rPr>
        <w:t>Диаграмма 3</w:t>
      </w:r>
      <w:r>
        <w:rPr>
          <w:rFonts w:ascii="Times New Roman" w:hAnsi="Times New Roman" w:cs="Times New Roman"/>
          <w:b/>
          <w:sz w:val="24"/>
          <w:szCs w:val="24"/>
        </w:rPr>
        <w:t> </w:t>
      </w:r>
      <w:r w:rsidRPr="00EC5135">
        <w:rPr>
          <w:rFonts w:ascii="Times New Roman" w:hAnsi="Times New Roman" w:cs="Times New Roman"/>
          <w:b/>
          <w:sz w:val="24"/>
          <w:szCs w:val="24"/>
        </w:rPr>
        <w:t>– Наиболее существенные административные барьеры на товарных рынках</w:t>
      </w:r>
      <w:r>
        <w:rPr>
          <w:rFonts w:ascii="Times New Roman" w:hAnsi="Times New Roman" w:cs="Times New Roman"/>
          <w:b/>
          <w:sz w:val="24"/>
          <w:szCs w:val="24"/>
        </w:rPr>
        <w:t xml:space="preserve"> </w:t>
      </w:r>
      <w:r w:rsidRPr="00EC5135">
        <w:rPr>
          <w:rFonts w:ascii="Times New Roman" w:hAnsi="Times New Roman" w:cs="Times New Roman"/>
          <w:b/>
          <w:sz w:val="24"/>
          <w:szCs w:val="24"/>
        </w:rPr>
        <w:t>(% от числа опрошенных)</w:t>
      </w:r>
    </w:p>
    <w:p w14:paraId="5EC82A32" w14:textId="77777777" w:rsidR="003F4CFF" w:rsidRPr="00EC5135" w:rsidRDefault="003F4CFF" w:rsidP="003F4CFF">
      <w:pPr>
        <w:spacing w:line="259" w:lineRule="auto"/>
        <w:rPr>
          <w:rFonts w:ascii="Times New Roman" w:hAnsi="Times New Roman" w:cs="Times New Roman"/>
          <w:b/>
          <w:sz w:val="24"/>
          <w:szCs w:val="24"/>
        </w:rPr>
      </w:pPr>
    </w:p>
    <w:p w14:paraId="4007B8F3"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lastRenderedPageBreak/>
        <w:t>В разрезе товарных рынков нестабильность законодательства более всего является препятствием для представителей рынков услуг по перевозке пассажиров автомобильным транспортом по муниципальным маршрутам регулярных перевозок (54%), услуг по перевозке пассажиров автомобильным транспортом по межмуниципальным маршрутам регулярных перевозок (50%), племенного животноводства (45,7%), розничной торговли лекарственными препаратами (43,6%), семеноводства (42,9%), архитектурно-стр</w:t>
      </w:r>
      <w:r>
        <w:rPr>
          <w:rFonts w:ascii="Times New Roman" w:hAnsi="Times New Roman" w:cs="Times New Roman"/>
          <w:sz w:val="28"/>
          <w:szCs w:val="28"/>
        </w:rPr>
        <w:t>оительн</w:t>
      </w:r>
      <w:r w:rsidR="005274F1">
        <w:rPr>
          <w:rFonts w:ascii="Times New Roman" w:hAnsi="Times New Roman" w:cs="Times New Roman"/>
          <w:sz w:val="28"/>
          <w:szCs w:val="28"/>
        </w:rPr>
        <w:t>о</w:t>
      </w:r>
      <w:r>
        <w:rPr>
          <w:rFonts w:ascii="Times New Roman" w:hAnsi="Times New Roman" w:cs="Times New Roman"/>
          <w:sz w:val="28"/>
          <w:szCs w:val="28"/>
        </w:rPr>
        <w:t>го проектирования (40%)</w:t>
      </w:r>
      <w:r w:rsidRPr="00EC5135">
        <w:rPr>
          <w:rFonts w:ascii="Times New Roman" w:hAnsi="Times New Roman" w:cs="Times New Roman"/>
          <w:sz w:val="28"/>
          <w:szCs w:val="28"/>
        </w:rPr>
        <w:t>.</w:t>
      </w:r>
    </w:p>
    <w:p w14:paraId="034F14A1"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Сложность </w:t>
      </w:r>
      <w:bookmarkStart w:id="65" w:name="OLE_LINK44"/>
      <w:bookmarkStart w:id="66" w:name="OLE_LINK43"/>
      <w:bookmarkStart w:id="67" w:name="OLE_LINK42"/>
      <w:bookmarkStart w:id="68" w:name="OLE_LINK41"/>
      <w:bookmarkStart w:id="69" w:name="OLE_LINK40"/>
      <w:r w:rsidRPr="00EC5135">
        <w:rPr>
          <w:rFonts w:ascii="Times New Roman" w:hAnsi="Times New Roman" w:cs="Times New Roman"/>
          <w:sz w:val="28"/>
          <w:szCs w:val="28"/>
        </w:rPr>
        <w:t xml:space="preserve">процедуры </w:t>
      </w:r>
      <w:bookmarkEnd w:id="65"/>
      <w:bookmarkEnd w:id="66"/>
      <w:bookmarkEnd w:id="67"/>
      <w:r w:rsidRPr="00EC5135">
        <w:rPr>
          <w:rFonts w:ascii="Times New Roman" w:hAnsi="Times New Roman" w:cs="Times New Roman"/>
          <w:sz w:val="28"/>
          <w:szCs w:val="28"/>
        </w:rPr>
        <w:t xml:space="preserve">получения доступа к земельным участкам </w:t>
      </w:r>
      <w:bookmarkEnd w:id="68"/>
      <w:bookmarkEnd w:id="69"/>
      <w:r w:rsidRPr="00EC5135">
        <w:rPr>
          <w:rFonts w:ascii="Times New Roman" w:hAnsi="Times New Roman" w:cs="Times New Roman"/>
          <w:sz w:val="28"/>
          <w:szCs w:val="28"/>
        </w:rPr>
        <w:t>является наиболее существенным барьером для представителей рынков товарной аквакультуры (45,7), добычи полезных ископаемых (34%), вылова водных биоресурсов (31,4%) и переработки водных биоресурсов (31,4%).</w:t>
      </w:r>
    </w:p>
    <w:p w14:paraId="0BD70982"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Сложность процедуры получения лицензий, средств государственной поддержки, разрешений, согласований в качестве значимого административного барьера чаще отмечают представители рынков розничной торговли лекарственными препаратами (45,5%) и архитектурно-строительного проектирования (44%).</w:t>
      </w:r>
    </w:p>
    <w:p w14:paraId="5394695D"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Коррупцию в качестве значимого административного барьера чаще отмечают представители следующих сфер деятельности: рынок жилищного строительства (28,8%) и рынок дорожной деятельности (27,1%).</w:t>
      </w:r>
    </w:p>
    <w:p w14:paraId="7F9AFAE6"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Ограничение доступа к закупкам компаний с госучастием и субъектов естественных монополий является наиболее существенным барьером для представителей рынков архитектурно-строительного проектирования (28%), по благоустройству (26,7%), поставок сжиженного газа в баллонах (25,7%), производства бетона (25,7%) и жилищного строительства (22,5%). </w:t>
      </w:r>
    </w:p>
    <w:p w14:paraId="77985093"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Ограничение, сложность доступа к поставкам товаров, оказанию услуг и выполнению работ в рамках госзакупок является значимым барьером для представителей рынков услуг детского отдыха и оздоровления (22,5%), архитектурно-строительного проектирования (20%), социальных услуг (20%), производства кирпича (20%), производства бетона (20%).</w:t>
      </w:r>
    </w:p>
    <w:p w14:paraId="2957FD88"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Чаще отмечают отсутствие административных барьеров на их рынке представители следующих товарных рынков: услуг дополнительного образования детей (56,7%), социальных услуг (56,7%), услуг дошкольного образования (56,4%), племенного животноводства (54,3%), по сбору и транспортированию ТКО (52,9%), услуг детского отдыха и оздоровления (52,5%), по содержанию и ремонту в многоквартирном доме (52,5%).</w:t>
      </w:r>
    </w:p>
    <w:p w14:paraId="2FA61410" w14:textId="77777777" w:rsidR="003F4CFF" w:rsidRPr="00EC5135" w:rsidRDefault="003F4CFF" w:rsidP="003F4CFF">
      <w:pPr>
        <w:ind w:firstLine="567"/>
        <w:jc w:val="both"/>
        <w:rPr>
          <w:rFonts w:ascii="Times New Roman" w:hAnsi="Times New Roman" w:cs="Times New Roman"/>
          <w:sz w:val="28"/>
          <w:szCs w:val="28"/>
          <w:lang w:eastAsia="en-US"/>
        </w:rPr>
      </w:pPr>
      <w:r w:rsidRPr="00EC5135">
        <w:rPr>
          <w:rFonts w:ascii="Times New Roman" w:hAnsi="Times New Roman" w:cs="Times New Roman"/>
          <w:sz w:val="28"/>
          <w:szCs w:val="28"/>
        </w:rPr>
        <w:t>Представители малых и средних предприятий несколько чаще, чем остальные субъекты предпринимательства, отмечают в качестве административного барьера нестабильность законодательства (32,9% и 36,3% соответственно). Этот административный барьер отмечается чаще остальных у всех типов предприятий, кроме крупных.</w:t>
      </w:r>
    </w:p>
    <w:p w14:paraId="115C727F"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Для микропредприятий и крупных предприятий несколько более значим, чем для малых и средних предприятий, такой барьер, как сложность/затянутость </w:t>
      </w:r>
      <w:r w:rsidRPr="00EC5135">
        <w:rPr>
          <w:rFonts w:ascii="Times New Roman" w:hAnsi="Times New Roman" w:cs="Times New Roman"/>
          <w:sz w:val="28"/>
          <w:szCs w:val="28"/>
        </w:rPr>
        <w:lastRenderedPageBreak/>
        <w:t xml:space="preserve">получения лицензий, средств государственной поддержки, разрешений, согласований и т. д. (24,3% и 25,4% против 19% и 18,7% соответственно). </w:t>
      </w:r>
    </w:p>
    <w:p w14:paraId="22A12CF5"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Такие барьеры, как сложность получения доступа к земельным участкам и коррупция, обладают сопоставимым уровнем значимости для предприятий различных типов, при этом наиболее значимы они для микропредприятий (12,8% и 12,2% соответственно) и наименее значимы – для крупных предприятий (7,5% и 7,5% соответственно). </w:t>
      </w:r>
    </w:p>
    <w:p w14:paraId="1C467D09"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Фактор ограничения доступа к закупкам компаний с госучастием и участием субъектов естественных монополий наиболее значим для крупных компаний (22,4%), в то время как на такой барьер, как сложность доступа к поставкам товаров, оказанию услуг и выполнению работ в рамках госзакупок, чаще указывали представители средних предприятий (20,9%). </w:t>
      </w:r>
    </w:p>
    <w:p w14:paraId="5737876D" w14:textId="77777777" w:rsidR="003F4CFF" w:rsidRPr="00EC5135" w:rsidRDefault="003F4CFF" w:rsidP="003F4CFF">
      <w:pPr>
        <w:ind w:firstLine="567"/>
        <w:jc w:val="both"/>
        <w:rPr>
          <w:rFonts w:ascii="Times New Roman" w:hAnsi="Times New Roman" w:cs="Times New Roman"/>
          <w:sz w:val="28"/>
          <w:szCs w:val="28"/>
        </w:rPr>
      </w:pPr>
      <w:r w:rsidRPr="00EC5135">
        <w:rPr>
          <w:rFonts w:ascii="Times New Roman" w:hAnsi="Times New Roman" w:cs="Times New Roman"/>
          <w:sz w:val="28"/>
          <w:szCs w:val="28"/>
        </w:rPr>
        <w:t xml:space="preserve">Доля представителей микро-, малых и крупных предприятий, которые указывали на отсутствие ограничений, примерно на одном уровне (соответственно 36,9%, 39,7% и 44,8%), доля средних предприятий ниже (28,6%). </w:t>
      </w:r>
    </w:p>
    <w:p w14:paraId="0853538B" w14:textId="77777777" w:rsidR="003F4CFF" w:rsidRDefault="003F4CFF" w:rsidP="003F4CFF">
      <w:pPr>
        <w:rPr>
          <w:rFonts w:cs="Times New Roman"/>
          <w:sz w:val="22"/>
          <w:szCs w:val="22"/>
        </w:rPr>
      </w:pPr>
    </w:p>
    <w:p w14:paraId="7FB8A108"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b/>
          <w:sz w:val="28"/>
          <w:szCs w:val="28"/>
        </w:rPr>
        <w:t>Информация о наличии жалоб в контрольные (надзорные) органы</w:t>
      </w:r>
      <w:r w:rsidRPr="004A7B7F">
        <w:rPr>
          <w:rFonts w:ascii="Times New Roman" w:hAnsi="Times New Roman" w:cs="Times New Roman"/>
          <w:sz w:val="28"/>
          <w:szCs w:val="28"/>
        </w:rPr>
        <w:t xml:space="preserve"> со стороны хозяйствующих субъектов в 2012–2019 гг. представлена в таблице 12. </w:t>
      </w:r>
    </w:p>
    <w:p w14:paraId="6906B02E" w14:textId="77777777" w:rsidR="003F4CFF" w:rsidRPr="00EC5135" w:rsidRDefault="003F4CFF" w:rsidP="003F4CFF">
      <w:pPr>
        <w:rPr>
          <w:rFonts w:cs="Times New Roman"/>
          <w:sz w:val="22"/>
          <w:szCs w:val="22"/>
        </w:rPr>
      </w:pPr>
    </w:p>
    <w:p w14:paraId="40A1D3B7" w14:textId="77777777" w:rsidR="003F4CFF" w:rsidRPr="004A7B7F" w:rsidRDefault="003F4CFF" w:rsidP="003F4CFF">
      <w:pPr>
        <w:widowControl w:val="0"/>
        <w:autoSpaceDE w:val="0"/>
        <w:autoSpaceDN w:val="0"/>
        <w:adjustRightInd w:val="0"/>
        <w:jc w:val="both"/>
        <w:rPr>
          <w:rFonts w:ascii="Times New Roman" w:hAnsi="Times New Roman" w:cs="Times New Roman"/>
          <w:sz w:val="28"/>
          <w:szCs w:val="28"/>
        </w:rPr>
      </w:pPr>
      <w:r w:rsidRPr="004A7B7F">
        <w:rPr>
          <w:rFonts w:ascii="Times New Roman" w:hAnsi="Times New Roman" w:cs="Times New Roman"/>
          <w:sz w:val="28"/>
          <w:szCs w:val="28"/>
        </w:rPr>
        <w:t>Таблица 12– Данные о наличии жалоб в контрольные (надзорные) органы со стороны хозяйствующих субъектов в 2012–2019 гг.</w:t>
      </w:r>
    </w:p>
    <w:tbl>
      <w:tblPr>
        <w:tblW w:w="5073" w:type="pct"/>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8"/>
        <w:gridCol w:w="851"/>
        <w:gridCol w:w="850"/>
        <w:gridCol w:w="709"/>
        <w:gridCol w:w="709"/>
        <w:gridCol w:w="568"/>
        <w:gridCol w:w="566"/>
        <w:gridCol w:w="517"/>
        <w:gridCol w:w="618"/>
      </w:tblGrid>
      <w:tr w:rsidR="00547020" w:rsidRPr="00EC5135" w14:paraId="39D82CDE" w14:textId="77777777" w:rsidTr="00547020">
        <w:trPr>
          <w:trHeight w:val="300"/>
        </w:trPr>
        <w:tc>
          <w:tcPr>
            <w:tcW w:w="2324" w:type="pct"/>
            <w:tcBorders>
              <w:top w:val="single" w:sz="4" w:space="0" w:color="auto"/>
              <w:left w:val="nil"/>
              <w:bottom w:val="single" w:sz="4" w:space="0" w:color="auto"/>
              <w:right w:val="single" w:sz="4" w:space="0" w:color="auto"/>
            </w:tcBorders>
            <w:shd w:val="clear" w:color="auto" w:fill="auto"/>
            <w:noWrap/>
            <w:hideMark/>
          </w:tcPr>
          <w:p w14:paraId="1B43E8C0" w14:textId="77777777" w:rsidR="003F4CFF" w:rsidRPr="00B428FE" w:rsidRDefault="003F4CFF" w:rsidP="003F4CFF">
            <w:pPr>
              <w:widowControl w:val="0"/>
              <w:autoSpaceDE w:val="0"/>
              <w:autoSpaceDN w:val="0"/>
              <w:adjustRightInd w:val="0"/>
              <w:ind w:left="-57" w:right="-57" w:firstLine="57"/>
              <w:rPr>
                <w:rFonts w:ascii="Times New Roman" w:eastAsia="Times New Roman" w:hAnsi="Times New Roman" w:cs="Times New Roman"/>
              </w:rPr>
            </w:pPr>
            <w:r w:rsidRPr="00B428FE">
              <w:rPr>
                <w:rFonts w:ascii="Times New Roman" w:eastAsia="Times New Roman" w:hAnsi="Times New Roman" w:cs="Times New Roman"/>
              </w:rPr>
              <w:t>Наименование контрольного (надзорного) органа</w:t>
            </w:r>
          </w:p>
        </w:tc>
        <w:tc>
          <w:tcPr>
            <w:tcW w:w="423" w:type="pct"/>
            <w:tcBorders>
              <w:top w:val="single" w:sz="4" w:space="0" w:color="auto"/>
              <w:left w:val="single" w:sz="4" w:space="0" w:color="auto"/>
              <w:bottom w:val="single" w:sz="4" w:space="0" w:color="auto"/>
              <w:right w:val="single" w:sz="4" w:space="0" w:color="auto"/>
            </w:tcBorders>
            <w:shd w:val="clear" w:color="auto" w:fill="auto"/>
            <w:noWrap/>
            <w:hideMark/>
          </w:tcPr>
          <w:p w14:paraId="1744DC5A"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bCs/>
              </w:rPr>
            </w:pPr>
            <w:r w:rsidRPr="00B428FE">
              <w:rPr>
                <w:rFonts w:ascii="Times New Roman" w:eastAsia="Times New Roman" w:hAnsi="Times New Roman" w:cs="Times New Roman"/>
                <w:bCs/>
              </w:rPr>
              <w:t>2012</w:t>
            </w:r>
          </w:p>
        </w:tc>
        <w:tc>
          <w:tcPr>
            <w:tcW w:w="422" w:type="pct"/>
            <w:tcBorders>
              <w:top w:val="single" w:sz="4" w:space="0" w:color="auto"/>
              <w:left w:val="single" w:sz="4" w:space="0" w:color="auto"/>
              <w:bottom w:val="single" w:sz="4" w:space="0" w:color="auto"/>
              <w:right w:val="single" w:sz="4" w:space="0" w:color="auto"/>
            </w:tcBorders>
            <w:shd w:val="clear" w:color="auto" w:fill="auto"/>
            <w:noWrap/>
            <w:hideMark/>
          </w:tcPr>
          <w:p w14:paraId="47C630ED"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bCs/>
              </w:rPr>
            </w:pPr>
            <w:r w:rsidRPr="00B428FE">
              <w:rPr>
                <w:rFonts w:ascii="Times New Roman" w:eastAsia="Times New Roman" w:hAnsi="Times New Roman" w:cs="Times New Roman"/>
                <w:bCs/>
              </w:rPr>
              <w:t>2013</w:t>
            </w:r>
          </w:p>
        </w:tc>
        <w:tc>
          <w:tcPr>
            <w:tcW w:w="352" w:type="pct"/>
            <w:tcBorders>
              <w:top w:val="single" w:sz="4" w:space="0" w:color="auto"/>
              <w:left w:val="single" w:sz="4" w:space="0" w:color="auto"/>
              <w:bottom w:val="single" w:sz="4" w:space="0" w:color="auto"/>
              <w:right w:val="single" w:sz="4" w:space="0" w:color="auto"/>
            </w:tcBorders>
            <w:shd w:val="clear" w:color="auto" w:fill="auto"/>
            <w:noWrap/>
            <w:hideMark/>
          </w:tcPr>
          <w:p w14:paraId="194FD1D6"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bCs/>
              </w:rPr>
            </w:pPr>
            <w:r w:rsidRPr="00B428FE">
              <w:rPr>
                <w:rFonts w:ascii="Times New Roman" w:eastAsia="Times New Roman" w:hAnsi="Times New Roman" w:cs="Times New Roman"/>
                <w:bCs/>
              </w:rPr>
              <w:t>2014</w:t>
            </w:r>
          </w:p>
        </w:tc>
        <w:tc>
          <w:tcPr>
            <w:tcW w:w="352" w:type="pct"/>
            <w:tcBorders>
              <w:top w:val="single" w:sz="4" w:space="0" w:color="auto"/>
              <w:left w:val="single" w:sz="4" w:space="0" w:color="auto"/>
              <w:bottom w:val="single" w:sz="4" w:space="0" w:color="auto"/>
              <w:right w:val="single" w:sz="4" w:space="0" w:color="auto"/>
            </w:tcBorders>
            <w:shd w:val="clear" w:color="auto" w:fill="auto"/>
            <w:noWrap/>
            <w:hideMark/>
          </w:tcPr>
          <w:p w14:paraId="2631BB23"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bCs/>
              </w:rPr>
            </w:pPr>
            <w:r w:rsidRPr="00B428FE">
              <w:rPr>
                <w:rFonts w:ascii="Times New Roman" w:eastAsia="Times New Roman" w:hAnsi="Times New Roman" w:cs="Times New Roman"/>
                <w:bCs/>
              </w:rPr>
              <w:t>2015</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14:paraId="5CE4F0A0"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bCs/>
              </w:rPr>
            </w:pPr>
            <w:r w:rsidRPr="00B428FE">
              <w:rPr>
                <w:rFonts w:ascii="Times New Roman" w:eastAsia="Times New Roman" w:hAnsi="Times New Roman" w:cs="Times New Roman"/>
                <w:bCs/>
              </w:rPr>
              <w:t>2016</w:t>
            </w:r>
          </w:p>
        </w:tc>
        <w:tc>
          <w:tcPr>
            <w:tcW w:w="281" w:type="pct"/>
            <w:tcBorders>
              <w:top w:val="single" w:sz="4" w:space="0" w:color="auto"/>
              <w:left w:val="single" w:sz="4" w:space="0" w:color="auto"/>
              <w:bottom w:val="single" w:sz="4" w:space="0" w:color="auto"/>
              <w:right w:val="single" w:sz="4" w:space="0" w:color="auto"/>
            </w:tcBorders>
            <w:shd w:val="clear" w:color="auto" w:fill="auto"/>
            <w:noWrap/>
            <w:hideMark/>
          </w:tcPr>
          <w:p w14:paraId="55F00BD5"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bCs/>
              </w:rPr>
            </w:pPr>
            <w:r w:rsidRPr="00B428FE">
              <w:rPr>
                <w:rFonts w:ascii="Times New Roman" w:eastAsia="Times New Roman" w:hAnsi="Times New Roman" w:cs="Times New Roman"/>
                <w:bCs/>
              </w:rPr>
              <w:t>2017</w:t>
            </w:r>
          </w:p>
        </w:tc>
        <w:tc>
          <w:tcPr>
            <w:tcW w:w="257" w:type="pct"/>
            <w:tcBorders>
              <w:top w:val="single" w:sz="4" w:space="0" w:color="auto"/>
              <w:left w:val="single" w:sz="4" w:space="0" w:color="auto"/>
              <w:bottom w:val="single" w:sz="4" w:space="0" w:color="auto"/>
              <w:right w:val="single" w:sz="4" w:space="0" w:color="auto"/>
            </w:tcBorders>
            <w:shd w:val="clear" w:color="auto" w:fill="auto"/>
            <w:hideMark/>
          </w:tcPr>
          <w:p w14:paraId="7502BED2"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bCs/>
              </w:rPr>
            </w:pPr>
            <w:r w:rsidRPr="00B428FE">
              <w:rPr>
                <w:rFonts w:ascii="Times New Roman" w:eastAsia="Times New Roman" w:hAnsi="Times New Roman" w:cs="Times New Roman"/>
                <w:bCs/>
              </w:rPr>
              <w:t>2018</w:t>
            </w:r>
          </w:p>
        </w:tc>
        <w:tc>
          <w:tcPr>
            <w:tcW w:w="307" w:type="pct"/>
            <w:tcBorders>
              <w:top w:val="single" w:sz="4" w:space="0" w:color="auto"/>
              <w:left w:val="single" w:sz="4" w:space="0" w:color="auto"/>
              <w:bottom w:val="single" w:sz="4" w:space="0" w:color="auto"/>
              <w:right w:val="nil"/>
            </w:tcBorders>
            <w:shd w:val="clear" w:color="auto" w:fill="auto"/>
            <w:hideMark/>
          </w:tcPr>
          <w:p w14:paraId="055F7355"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bCs/>
              </w:rPr>
            </w:pPr>
            <w:r w:rsidRPr="00B428FE">
              <w:rPr>
                <w:rFonts w:ascii="Times New Roman" w:eastAsia="Times New Roman" w:hAnsi="Times New Roman" w:cs="Times New Roman"/>
                <w:bCs/>
              </w:rPr>
              <w:t>2019</w:t>
            </w:r>
          </w:p>
        </w:tc>
      </w:tr>
      <w:tr w:rsidR="00547020" w:rsidRPr="00EC5135" w14:paraId="04803FF9" w14:textId="77777777" w:rsidTr="00547020">
        <w:trPr>
          <w:trHeight w:val="300"/>
        </w:trPr>
        <w:tc>
          <w:tcPr>
            <w:tcW w:w="2324" w:type="pct"/>
            <w:tcBorders>
              <w:top w:val="single" w:sz="4" w:space="0" w:color="auto"/>
              <w:left w:val="nil"/>
              <w:bottom w:val="single" w:sz="4" w:space="0" w:color="auto"/>
              <w:right w:val="single" w:sz="4" w:space="0" w:color="auto"/>
            </w:tcBorders>
            <w:shd w:val="clear" w:color="auto" w:fill="auto"/>
            <w:noWrap/>
            <w:vAlign w:val="center"/>
            <w:hideMark/>
          </w:tcPr>
          <w:p w14:paraId="353E01D6" w14:textId="77777777" w:rsidR="003F4CFF" w:rsidRPr="00B428FE" w:rsidRDefault="003F4CFF" w:rsidP="003F4CFF">
            <w:pPr>
              <w:widowControl w:val="0"/>
              <w:autoSpaceDE w:val="0"/>
              <w:autoSpaceDN w:val="0"/>
              <w:adjustRightInd w:val="0"/>
              <w:ind w:left="-57" w:right="-57" w:firstLine="57"/>
              <w:rPr>
                <w:rFonts w:ascii="Times New Roman" w:eastAsia="Times New Roman" w:hAnsi="Times New Roman" w:cs="Times New Roman"/>
              </w:rPr>
            </w:pPr>
            <w:r w:rsidRPr="00B428FE">
              <w:rPr>
                <w:rFonts w:ascii="Times New Roman" w:eastAsia="Times New Roman" w:hAnsi="Times New Roman" w:cs="Times New Roman"/>
              </w:rPr>
              <w:t>Управление Федеральной службы по надзору в сфере защиты прав потребителей и благополучия человека по Новосибирской области</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949A2"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нет данных</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A8BFD"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784</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95555"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1420</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B716C"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нет данных</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B2A60"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нет данных</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5A586"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нет данных</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C013D"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нет данных</w:t>
            </w:r>
          </w:p>
        </w:tc>
        <w:tc>
          <w:tcPr>
            <w:tcW w:w="307" w:type="pct"/>
            <w:tcBorders>
              <w:top w:val="single" w:sz="4" w:space="0" w:color="auto"/>
              <w:left w:val="single" w:sz="4" w:space="0" w:color="auto"/>
              <w:bottom w:val="single" w:sz="4" w:space="0" w:color="auto"/>
              <w:right w:val="nil"/>
            </w:tcBorders>
            <w:shd w:val="clear" w:color="auto" w:fill="auto"/>
            <w:vAlign w:val="center"/>
            <w:hideMark/>
          </w:tcPr>
          <w:p w14:paraId="602848DD"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нет данных</w:t>
            </w:r>
          </w:p>
        </w:tc>
      </w:tr>
      <w:tr w:rsidR="00547020" w:rsidRPr="00EC5135" w14:paraId="10913683" w14:textId="77777777" w:rsidTr="00547020">
        <w:trPr>
          <w:trHeight w:val="300"/>
        </w:trPr>
        <w:tc>
          <w:tcPr>
            <w:tcW w:w="2324" w:type="pct"/>
            <w:tcBorders>
              <w:top w:val="single" w:sz="4" w:space="0" w:color="auto"/>
              <w:left w:val="nil"/>
              <w:bottom w:val="single" w:sz="4" w:space="0" w:color="auto"/>
              <w:right w:val="single" w:sz="4" w:space="0" w:color="auto"/>
            </w:tcBorders>
            <w:shd w:val="clear" w:color="auto" w:fill="auto"/>
            <w:noWrap/>
            <w:vAlign w:val="center"/>
            <w:hideMark/>
          </w:tcPr>
          <w:p w14:paraId="4722E655" w14:textId="77777777" w:rsidR="003F4CFF" w:rsidRPr="00B428FE" w:rsidRDefault="003F4CFF" w:rsidP="003F4CFF">
            <w:pPr>
              <w:widowControl w:val="0"/>
              <w:autoSpaceDE w:val="0"/>
              <w:autoSpaceDN w:val="0"/>
              <w:adjustRightInd w:val="0"/>
              <w:ind w:left="-57" w:right="-57" w:firstLine="57"/>
              <w:rPr>
                <w:rFonts w:ascii="Times New Roman" w:eastAsia="Times New Roman" w:hAnsi="Times New Roman" w:cs="Times New Roman"/>
                <w:vertAlign w:val="superscript"/>
              </w:rPr>
            </w:pPr>
            <w:r w:rsidRPr="00B428FE">
              <w:rPr>
                <w:rFonts w:ascii="Times New Roman" w:eastAsia="Times New Roman" w:hAnsi="Times New Roman" w:cs="Times New Roman"/>
              </w:rPr>
              <w:t>Управление Федеральной налоговой службы по Новосибирской области</w:t>
            </w:r>
            <w:r w:rsidRPr="00B428FE">
              <w:rPr>
                <w:rFonts w:ascii="Times New Roman" w:eastAsia="Times New Roman" w:hAnsi="Times New Roman" w:cs="Times New Roman"/>
                <w:vertAlign w:val="superscript"/>
              </w:rPr>
              <w:footnoteReference w:id="2"/>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B3188"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685</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80266"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707</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0F4A5"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686</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645DE"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676</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32D17"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732</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5A439"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888</w:t>
            </w:r>
          </w:p>
          <w:p w14:paraId="4959E284"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(585)</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3CA8E"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565 (363)</w:t>
            </w:r>
          </w:p>
          <w:p w14:paraId="618E72F0"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(с 01.01 по 30.09)</w:t>
            </w:r>
          </w:p>
        </w:tc>
        <w:tc>
          <w:tcPr>
            <w:tcW w:w="307" w:type="pct"/>
            <w:tcBorders>
              <w:top w:val="single" w:sz="4" w:space="0" w:color="auto"/>
              <w:left w:val="single" w:sz="4" w:space="0" w:color="auto"/>
              <w:bottom w:val="single" w:sz="4" w:space="0" w:color="auto"/>
              <w:right w:val="nil"/>
            </w:tcBorders>
            <w:shd w:val="clear" w:color="auto" w:fill="auto"/>
            <w:vAlign w:val="center"/>
            <w:hideMark/>
          </w:tcPr>
          <w:p w14:paraId="30DC5AB9"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нет данных</w:t>
            </w:r>
          </w:p>
        </w:tc>
      </w:tr>
      <w:tr w:rsidR="00547020" w:rsidRPr="00EC5135" w14:paraId="0CA5FA1C" w14:textId="77777777" w:rsidTr="00547020">
        <w:trPr>
          <w:trHeight w:val="300"/>
        </w:trPr>
        <w:tc>
          <w:tcPr>
            <w:tcW w:w="2324" w:type="pct"/>
            <w:tcBorders>
              <w:top w:val="single" w:sz="4" w:space="0" w:color="auto"/>
              <w:left w:val="nil"/>
              <w:bottom w:val="single" w:sz="4" w:space="0" w:color="auto"/>
              <w:right w:val="single" w:sz="4" w:space="0" w:color="auto"/>
            </w:tcBorders>
            <w:shd w:val="clear" w:color="auto" w:fill="auto"/>
            <w:noWrap/>
            <w:vAlign w:val="center"/>
            <w:hideMark/>
          </w:tcPr>
          <w:p w14:paraId="2DE5081F" w14:textId="77777777" w:rsidR="003F4CFF" w:rsidRPr="00B428FE" w:rsidRDefault="003F4CFF" w:rsidP="003F4CFF">
            <w:pPr>
              <w:widowControl w:val="0"/>
              <w:autoSpaceDE w:val="0"/>
              <w:autoSpaceDN w:val="0"/>
              <w:adjustRightInd w:val="0"/>
              <w:ind w:left="-57" w:right="-57" w:firstLine="57"/>
              <w:rPr>
                <w:rFonts w:ascii="Times New Roman" w:eastAsia="Times New Roman" w:hAnsi="Times New Roman" w:cs="Times New Roman"/>
              </w:rPr>
            </w:pPr>
            <w:r w:rsidRPr="00B428FE">
              <w:rPr>
                <w:rFonts w:ascii="Times New Roman" w:eastAsia="Times New Roman" w:hAnsi="Times New Roman" w:cs="Times New Roman"/>
              </w:rPr>
              <w:t>Управление Федеральной антимонопольной службы по Новосибирской области</w:t>
            </w:r>
            <w:r w:rsidRPr="00B428FE">
              <w:rPr>
                <w:rFonts w:ascii="Times New Roman" w:eastAsia="Times New Roman" w:hAnsi="Times New Roman" w:cs="Times New Roman"/>
                <w:vertAlign w:val="superscript"/>
              </w:rPr>
              <w:footnoteReference w:id="3"/>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56082"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1690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42D80"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2561</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24BE8"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3187</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6FD43"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2542</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EE873"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2324</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88063"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2706</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20C23"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2725</w:t>
            </w:r>
            <w:r w:rsidRPr="00B428FE">
              <w:rPr>
                <w:rFonts w:ascii="Times New Roman" w:eastAsia="Times New Roman" w:hAnsi="Times New Roman" w:cs="Times New Roman"/>
                <w:vertAlign w:val="superscript"/>
              </w:rPr>
              <w:footnoteReference w:id="4"/>
            </w:r>
          </w:p>
        </w:tc>
        <w:tc>
          <w:tcPr>
            <w:tcW w:w="307" w:type="pct"/>
            <w:tcBorders>
              <w:top w:val="single" w:sz="4" w:space="0" w:color="auto"/>
              <w:left w:val="single" w:sz="4" w:space="0" w:color="auto"/>
              <w:bottom w:val="single" w:sz="4" w:space="0" w:color="auto"/>
              <w:right w:val="nil"/>
            </w:tcBorders>
            <w:shd w:val="clear" w:color="auto" w:fill="auto"/>
            <w:vAlign w:val="center"/>
            <w:hideMark/>
          </w:tcPr>
          <w:p w14:paraId="34488111"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lang w:val="en-US"/>
              </w:rPr>
            </w:pPr>
            <w:r w:rsidRPr="00B428FE">
              <w:rPr>
                <w:rFonts w:ascii="Times New Roman" w:eastAsia="Times New Roman" w:hAnsi="Times New Roman" w:cs="Times New Roman"/>
                <w:lang w:val="en-US"/>
              </w:rPr>
              <w:t>1942</w:t>
            </w:r>
            <w:r w:rsidRPr="00B428FE">
              <w:rPr>
                <w:rFonts w:ascii="Times New Roman" w:eastAsia="Times New Roman" w:hAnsi="Times New Roman" w:cs="Times New Roman"/>
                <w:vertAlign w:val="superscript"/>
                <w:lang w:val="en-US"/>
              </w:rPr>
              <w:footnoteReference w:id="5"/>
            </w:r>
          </w:p>
          <w:p w14:paraId="5C8C47A9"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lang w:val="en-US"/>
              </w:rPr>
            </w:pPr>
            <w:r w:rsidRPr="00B428FE">
              <w:rPr>
                <w:rFonts w:ascii="Times New Roman" w:eastAsia="Times New Roman" w:hAnsi="Times New Roman" w:cs="Times New Roman"/>
              </w:rPr>
              <w:t>(с 01.01 по 30.09)</w:t>
            </w:r>
          </w:p>
        </w:tc>
      </w:tr>
      <w:tr w:rsidR="00547020" w:rsidRPr="00EC5135" w14:paraId="222C563D" w14:textId="77777777" w:rsidTr="00547020">
        <w:trPr>
          <w:trHeight w:val="300"/>
        </w:trPr>
        <w:tc>
          <w:tcPr>
            <w:tcW w:w="2324" w:type="pct"/>
            <w:tcBorders>
              <w:top w:val="single" w:sz="4" w:space="0" w:color="auto"/>
              <w:left w:val="nil"/>
              <w:bottom w:val="single" w:sz="4" w:space="0" w:color="auto"/>
              <w:right w:val="single" w:sz="4" w:space="0" w:color="auto"/>
            </w:tcBorders>
            <w:shd w:val="clear" w:color="auto" w:fill="auto"/>
            <w:noWrap/>
            <w:vAlign w:val="center"/>
            <w:hideMark/>
          </w:tcPr>
          <w:p w14:paraId="5678C43C" w14:textId="77777777" w:rsidR="003F4CFF" w:rsidRPr="00B428FE" w:rsidRDefault="003F4CFF" w:rsidP="003F4CFF">
            <w:pPr>
              <w:widowControl w:val="0"/>
              <w:autoSpaceDE w:val="0"/>
              <w:autoSpaceDN w:val="0"/>
              <w:adjustRightInd w:val="0"/>
              <w:ind w:left="-57" w:right="-57" w:firstLine="57"/>
              <w:rPr>
                <w:rFonts w:ascii="Times New Roman" w:eastAsia="Times New Roman" w:hAnsi="Times New Roman" w:cs="Times New Roman"/>
              </w:rPr>
            </w:pPr>
            <w:r w:rsidRPr="00B428FE">
              <w:rPr>
                <w:rFonts w:ascii="Times New Roman" w:eastAsia="Times New Roman" w:hAnsi="Times New Roman" w:cs="Times New Roman"/>
              </w:rPr>
              <w:t>Управление Федеральной службы государственной регистрации, кадастра и картографии по Новосибирской области</w:t>
            </w:r>
            <w:r w:rsidRPr="00B428FE">
              <w:rPr>
                <w:rFonts w:ascii="Times New Roman" w:eastAsia="Times New Roman" w:hAnsi="Times New Roman" w:cs="Times New Roman"/>
                <w:vertAlign w:val="superscript"/>
              </w:rPr>
              <w:footnoteReference w:id="6"/>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D173F"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32</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1C9D6"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36</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923FC"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53</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63D28"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35</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513B9"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15</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2AB80"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9/1</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A1AC0"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20</w:t>
            </w:r>
          </w:p>
          <w:p w14:paraId="69A11C00"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(с 1.01 по 31.10)/3</w:t>
            </w:r>
          </w:p>
        </w:tc>
        <w:tc>
          <w:tcPr>
            <w:tcW w:w="307" w:type="pct"/>
            <w:tcBorders>
              <w:top w:val="single" w:sz="4" w:space="0" w:color="auto"/>
              <w:left w:val="single" w:sz="4" w:space="0" w:color="auto"/>
              <w:bottom w:val="single" w:sz="4" w:space="0" w:color="auto"/>
              <w:right w:val="nil"/>
            </w:tcBorders>
            <w:shd w:val="clear" w:color="auto" w:fill="auto"/>
            <w:vAlign w:val="center"/>
            <w:hideMark/>
          </w:tcPr>
          <w:p w14:paraId="64BC2D8D" w14:textId="77777777" w:rsidR="003F4CFF" w:rsidRPr="00B428FE" w:rsidRDefault="003F4CFF" w:rsidP="003F4CFF">
            <w:pPr>
              <w:widowControl w:val="0"/>
              <w:autoSpaceDE w:val="0"/>
              <w:autoSpaceDN w:val="0"/>
              <w:adjustRightInd w:val="0"/>
              <w:ind w:left="-113" w:right="-113" w:firstLine="5"/>
              <w:rPr>
                <w:rFonts w:ascii="Times New Roman" w:eastAsia="Times New Roman" w:hAnsi="Times New Roman" w:cs="Times New Roman"/>
              </w:rPr>
            </w:pPr>
            <w:r w:rsidRPr="00B428FE">
              <w:rPr>
                <w:rFonts w:ascii="Times New Roman" w:eastAsia="Times New Roman" w:hAnsi="Times New Roman" w:cs="Times New Roman"/>
              </w:rPr>
              <w:t>нет данных/1(с 1.01 по 31.08)</w:t>
            </w:r>
          </w:p>
        </w:tc>
      </w:tr>
    </w:tbl>
    <w:p w14:paraId="19F517BD" w14:textId="77777777" w:rsidR="003F4CFF" w:rsidRPr="004A7B7F" w:rsidRDefault="003F4CFF" w:rsidP="003F4CFF">
      <w:pPr>
        <w:widowControl w:val="0"/>
        <w:autoSpaceDE w:val="0"/>
        <w:autoSpaceDN w:val="0"/>
        <w:adjustRightInd w:val="0"/>
        <w:jc w:val="both"/>
        <w:rPr>
          <w:rFonts w:ascii="Times New Roman" w:hAnsi="Times New Roman" w:cs="Times New Roman"/>
          <w:sz w:val="28"/>
          <w:szCs w:val="28"/>
        </w:rPr>
      </w:pPr>
    </w:p>
    <w:p w14:paraId="6A9C5C43"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 xml:space="preserve">В связи с тем, что УФАС и УФНС не ведут отдельной статистики жалоб, поступающих от населения и от хозяйствующих субъектов, в таблице 12 представлены данные общего количества жалоб, включая жалобы населения. </w:t>
      </w:r>
    </w:p>
    <w:p w14:paraId="0B8C75CC"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lastRenderedPageBreak/>
        <w:t xml:space="preserve">На основе данных таблицы 12 можно говорить о тенденции к росту количества жалоб в УФНС с 2015 г. и в УФАС с 2017 г. Число жалоб в Управление Росреестра по Новосибирской области варьируется по годам, не имея однозначной тенденции к росту или снижению. </w:t>
      </w:r>
    </w:p>
    <w:p w14:paraId="268FC577" w14:textId="77777777" w:rsidR="003F4CFF" w:rsidRPr="004A7B7F" w:rsidRDefault="003F4CFF" w:rsidP="003F4CFF">
      <w:pPr>
        <w:ind w:firstLine="567"/>
        <w:rPr>
          <w:rFonts w:ascii="Times New Roman" w:hAnsi="Times New Roman" w:cs="Times New Roman"/>
          <w:sz w:val="28"/>
          <w:szCs w:val="28"/>
        </w:rPr>
      </w:pPr>
    </w:p>
    <w:p w14:paraId="74971C1A" w14:textId="77777777" w:rsidR="003F4CFF" w:rsidRDefault="003F4CFF" w:rsidP="003F4CFF">
      <w:pPr>
        <w:pStyle w:val="ac"/>
        <w:ind w:firstLine="567"/>
        <w:jc w:val="both"/>
        <w:outlineLvl w:val="2"/>
        <w:rPr>
          <w:rFonts w:ascii="Times New Roman" w:hAnsi="Times New Roman"/>
          <w:b/>
        </w:rPr>
      </w:pPr>
      <w:bookmarkStart w:id="70" w:name="_Toc31983976"/>
      <w:bookmarkStart w:id="71" w:name="_Toc32240316"/>
      <w:bookmarkStart w:id="72" w:name="_Toc32421901"/>
      <w:bookmarkStart w:id="73" w:name="_Toc34129180"/>
      <w:r w:rsidRPr="00F732D1">
        <w:rPr>
          <w:rFonts w:ascii="Times New Roman" w:hAnsi="Times New Roman"/>
          <w:b/>
        </w:rPr>
        <w:t>2.3.3. Результаты мониторинга удовлетворенности потребителей качеством товаров, работ и услуг на рынках субъекта Российской Федерации и состоянием ценовой конкуренции (с указанием числа респондентов, участвующ</w:t>
      </w:r>
      <w:r>
        <w:rPr>
          <w:rFonts w:ascii="Times New Roman" w:hAnsi="Times New Roman"/>
          <w:b/>
        </w:rPr>
        <w:t>их в опросах по каждому рынку)</w:t>
      </w:r>
      <w:bookmarkEnd w:id="70"/>
      <w:bookmarkEnd w:id="71"/>
      <w:bookmarkEnd w:id="72"/>
      <w:bookmarkEnd w:id="73"/>
    </w:p>
    <w:p w14:paraId="641E0249"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В социологическом опросе в рамках мониторинга удовлетворенности потребителей качеством товаров, работ и услуг на товарных рынках приняли участие 2680 жителей Новосибирской области, среди них 300 респондентов – в г. Новосибирске и по 70 респондентов – в остальных муниципальных образованиях области. </w:t>
      </w:r>
    </w:p>
    <w:p w14:paraId="6E4A99A3"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В целом среди опрошенных 53,8% составляют женщины, 46,2% – мужчины. Примерно в равной степени в выборочной совокупности представлены возрастные группы от 35 до 54 лет (36,0%) и от 55 лет и старше (34,9%), доля лиц в возрасте 18–34 лет составляет 29,1%. </w:t>
      </w:r>
    </w:p>
    <w:p w14:paraId="3EF4EA5E"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По уровню образования получено следующее распределение выборочной совокупности:</w:t>
      </w:r>
    </w:p>
    <w:p w14:paraId="54CFDE35" w14:textId="77777777" w:rsidR="003F4CFF" w:rsidRPr="006D4184" w:rsidRDefault="003F4CFF" w:rsidP="003F4CFF">
      <w:pPr>
        <w:widowControl w:val="0"/>
        <w:autoSpaceDE w:val="0"/>
        <w:autoSpaceDN w:val="0"/>
        <w:adjustRightInd w:val="0"/>
        <w:spacing w:after="160" w:line="259"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общее образование – 19,0%;</w:t>
      </w:r>
    </w:p>
    <w:p w14:paraId="458C6AB9" w14:textId="77777777" w:rsidR="003F4CFF" w:rsidRPr="006D4184" w:rsidRDefault="003F4CFF" w:rsidP="003F4CFF">
      <w:pPr>
        <w:widowControl w:val="0"/>
        <w:autoSpaceDE w:val="0"/>
        <w:autoSpaceDN w:val="0"/>
        <w:adjustRightInd w:val="0"/>
        <w:spacing w:after="160" w:line="259"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среднее специальное – 40,9%;</w:t>
      </w:r>
    </w:p>
    <w:p w14:paraId="36E72262" w14:textId="77777777" w:rsidR="003F4CFF" w:rsidRPr="006D4184" w:rsidRDefault="003F4CFF" w:rsidP="003F4CFF">
      <w:pPr>
        <w:widowControl w:val="0"/>
        <w:autoSpaceDE w:val="0"/>
        <w:autoSpaceDN w:val="0"/>
        <w:adjustRightInd w:val="0"/>
        <w:spacing w:after="160" w:line="259"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неполное высшее – 2,6%;</w:t>
      </w:r>
    </w:p>
    <w:p w14:paraId="5C1EE803" w14:textId="77777777" w:rsidR="003F4CFF" w:rsidRPr="006D4184" w:rsidRDefault="003F4CFF" w:rsidP="003F4CFF">
      <w:pPr>
        <w:widowControl w:val="0"/>
        <w:autoSpaceDE w:val="0"/>
        <w:autoSpaceDN w:val="0"/>
        <w:adjustRightInd w:val="0"/>
        <w:spacing w:after="160" w:line="259"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высшее образование – 36,5%;</w:t>
      </w:r>
    </w:p>
    <w:p w14:paraId="28B78FD6" w14:textId="77777777" w:rsidR="003F4CFF" w:rsidRPr="006D4184" w:rsidRDefault="003F4CFF" w:rsidP="003F4CFF">
      <w:pPr>
        <w:widowControl w:val="0"/>
        <w:autoSpaceDE w:val="0"/>
        <w:autoSpaceDN w:val="0"/>
        <w:adjustRightInd w:val="0"/>
        <w:spacing w:after="160" w:line="259"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научная степень – 0,4%;</w:t>
      </w:r>
    </w:p>
    <w:p w14:paraId="2515C8EE" w14:textId="77777777" w:rsidR="003F4CFF" w:rsidRPr="006D4184" w:rsidRDefault="003F4CFF" w:rsidP="003F4CFF">
      <w:pPr>
        <w:widowControl w:val="0"/>
        <w:autoSpaceDE w:val="0"/>
        <w:autoSpaceDN w:val="0"/>
        <w:adjustRightInd w:val="0"/>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иное – 0,6%.</w:t>
      </w:r>
    </w:p>
    <w:p w14:paraId="4FCA112D" w14:textId="77777777" w:rsidR="003F4CFF" w:rsidRPr="006D4184"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Не имеют детей 18,4% опрошенных. Среди </w:t>
      </w:r>
      <w:r w:rsidRPr="006D4184">
        <w:rPr>
          <w:rFonts w:ascii="Times New Roman" w:hAnsi="Times New Roman" w:cs="Times New Roman"/>
          <w:sz w:val="28"/>
          <w:szCs w:val="28"/>
        </w:rPr>
        <w:t xml:space="preserve">респондентов с детьми численно преобладают те, кто имеет двух детей (40,4% от опрошенных), один ребенок – у 25,9% респондентов, трое и более детей – у 15,3%. </w:t>
      </w:r>
    </w:p>
    <w:p w14:paraId="1601C677"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По основному роду занятий среди опрошенных жителей области немногим более половины (55,0%) составляют работающие по найму, еще 4,1% относятся к самозанятым, предпринимателям. Четверть опрошенных (25,1%) составляют пенсионеры и инвалиды; находятся на момент опроса без работы 6,1% респондентов; заняты домашним хозяйством, находятся в декретном отпуске, отпуске по уходу за ребенком – 5,5% опрошенных; являются учащимися, студентами 2,9%; указали иное или отказались от ответа суммарно 1,3% опрошенных.</w:t>
      </w:r>
    </w:p>
    <w:p w14:paraId="5D2771E9"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По уровню дохода (среднемесячный доход на одного члена семьи) получено следующее распределение опрошенных: </w:t>
      </w:r>
    </w:p>
    <w:p w14:paraId="4D49D7B4"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до 10 тыс. рублей – 28,4%;</w:t>
      </w:r>
    </w:p>
    <w:p w14:paraId="24E4E8FD"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 xml:space="preserve">от 10 до 15 тыс. рублей – 39,4%; </w:t>
      </w:r>
    </w:p>
    <w:p w14:paraId="7CCAE828"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от 15 до 30 тыс. рублей – 23,7%;</w:t>
      </w:r>
    </w:p>
    <w:p w14:paraId="0F3933DB" w14:textId="77777777" w:rsidR="003F4CFF" w:rsidRPr="006D4184" w:rsidRDefault="003F4CFF" w:rsidP="003F4CFF">
      <w:pPr>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 xml:space="preserve">от 30 до 60 тыс. рублей – 6,7%; </w:t>
      </w:r>
    </w:p>
    <w:p w14:paraId="20870CA3" w14:textId="77777777" w:rsidR="003F4CFF" w:rsidRPr="006D4184" w:rsidRDefault="003F4CFF" w:rsidP="003F4CFF">
      <w:pPr>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lastRenderedPageBreak/>
        <w:t xml:space="preserve">более 60 тыс. рублей – 1,8%. </w:t>
      </w:r>
    </w:p>
    <w:p w14:paraId="77FC85E7" w14:textId="77777777" w:rsidR="003F4CFF" w:rsidRPr="006D4184" w:rsidRDefault="003F4CFF" w:rsidP="003F4CFF">
      <w:pPr>
        <w:ind w:left="709" w:firstLine="567"/>
        <w:contextualSpacing/>
        <w:jc w:val="both"/>
        <w:rPr>
          <w:rFonts w:ascii="Times New Roman" w:hAnsi="Times New Roman" w:cs="Times New Roman"/>
          <w:sz w:val="28"/>
          <w:szCs w:val="28"/>
        </w:rPr>
      </w:pPr>
    </w:p>
    <w:p w14:paraId="2DA9F411" w14:textId="77777777" w:rsidR="003F4CFF" w:rsidRPr="00694B49" w:rsidRDefault="003F4CFF" w:rsidP="003F4CFF">
      <w:pPr>
        <w:jc w:val="both"/>
        <w:rPr>
          <w:rFonts w:ascii="Times New Roman" w:hAnsi="Times New Roman" w:cs="Times New Roman"/>
          <w:sz w:val="28"/>
          <w:szCs w:val="28"/>
        </w:rPr>
      </w:pPr>
      <w:r w:rsidRPr="00BF7B1F">
        <w:rPr>
          <w:rFonts w:ascii="Times New Roman" w:hAnsi="Times New Roman" w:cs="Times New Roman"/>
          <w:sz w:val="28"/>
          <w:szCs w:val="28"/>
        </w:rPr>
        <w:t>Таблица 13 – Социально-демографическая структура выборки</w:t>
      </w:r>
    </w:p>
    <w:tbl>
      <w:tblPr>
        <w:tblW w:w="5000" w:type="pct"/>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4"/>
        <w:gridCol w:w="5605"/>
        <w:gridCol w:w="1386"/>
        <w:gridCol w:w="1386"/>
      </w:tblGrid>
      <w:tr w:rsidR="003F4CFF" w:rsidRPr="006D4184" w14:paraId="06592FE7" w14:textId="77777777" w:rsidTr="003F4CFF">
        <w:trPr>
          <w:cantSplit/>
          <w:tblHeader/>
        </w:trPr>
        <w:tc>
          <w:tcPr>
            <w:tcW w:w="3526" w:type="pct"/>
            <w:gridSpan w:val="2"/>
            <w:tcBorders>
              <w:top w:val="single" w:sz="4" w:space="0" w:color="auto"/>
              <w:left w:val="nil"/>
              <w:bottom w:val="single" w:sz="4" w:space="0" w:color="auto"/>
              <w:right w:val="single" w:sz="4" w:space="0" w:color="auto"/>
            </w:tcBorders>
            <w:shd w:val="clear" w:color="auto" w:fill="auto"/>
          </w:tcPr>
          <w:p w14:paraId="6C050178" w14:textId="77777777" w:rsidR="003F4CFF" w:rsidRPr="00694B49" w:rsidRDefault="003F4CFF" w:rsidP="003F4CFF">
            <w:pPr>
              <w:spacing w:line="256" w:lineRule="auto"/>
              <w:rPr>
                <w:rFonts w:ascii="Times New Roman" w:eastAsia="Times New Roman" w:hAnsi="Times New Roman" w:cs="Times New Roman"/>
              </w:rPr>
            </w:pPr>
          </w:p>
        </w:tc>
        <w:tc>
          <w:tcPr>
            <w:tcW w:w="737" w:type="pct"/>
            <w:tcBorders>
              <w:top w:val="single" w:sz="4" w:space="0" w:color="auto"/>
              <w:left w:val="single" w:sz="4" w:space="0" w:color="auto"/>
              <w:bottom w:val="single" w:sz="4" w:space="0" w:color="auto"/>
              <w:right w:val="single" w:sz="4" w:space="0" w:color="auto"/>
            </w:tcBorders>
            <w:shd w:val="clear" w:color="auto" w:fill="auto"/>
            <w:hideMark/>
          </w:tcPr>
          <w:p w14:paraId="17165BD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Ко-во респондентов</w:t>
            </w:r>
          </w:p>
        </w:tc>
        <w:tc>
          <w:tcPr>
            <w:tcW w:w="737" w:type="pct"/>
            <w:tcBorders>
              <w:top w:val="single" w:sz="4" w:space="0" w:color="auto"/>
              <w:left w:val="single" w:sz="4" w:space="0" w:color="auto"/>
              <w:bottom w:val="single" w:sz="4" w:space="0" w:color="auto"/>
              <w:right w:val="nil"/>
            </w:tcBorders>
            <w:shd w:val="clear" w:color="auto" w:fill="auto"/>
            <w:hideMark/>
          </w:tcPr>
          <w:p w14:paraId="4FCF367A"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 xml:space="preserve">% </w:t>
            </w:r>
          </w:p>
          <w:p w14:paraId="5B69D690"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по таблице</w:t>
            </w:r>
          </w:p>
        </w:tc>
      </w:tr>
      <w:tr w:rsidR="003F4CFF" w:rsidRPr="006D4184" w14:paraId="47D18A82" w14:textId="77777777" w:rsidTr="003F4CFF">
        <w:trPr>
          <w:cantSplit/>
        </w:trPr>
        <w:tc>
          <w:tcPr>
            <w:tcW w:w="663" w:type="pct"/>
            <w:vMerge w:val="restart"/>
            <w:tcBorders>
              <w:top w:val="single" w:sz="4" w:space="0" w:color="auto"/>
              <w:left w:val="nil"/>
              <w:bottom w:val="single" w:sz="4" w:space="0" w:color="auto"/>
              <w:right w:val="single" w:sz="4" w:space="0" w:color="auto"/>
            </w:tcBorders>
            <w:shd w:val="clear" w:color="auto" w:fill="auto"/>
            <w:vAlign w:val="center"/>
            <w:hideMark/>
          </w:tcPr>
          <w:p w14:paraId="268F5F60"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Пол</w:t>
            </w: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AB107"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Мужчины</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63A7F" w14:textId="77777777" w:rsidR="003F4CFF" w:rsidRPr="00694B49" w:rsidRDefault="003F4CFF" w:rsidP="003F4CFF">
            <w:pPr>
              <w:spacing w:line="256" w:lineRule="auto"/>
              <w:ind w:left="-304" w:firstLine="304"/>
              <w:rPr>
                <w:rFonts w:ascii="Times New Roman" w:hAnsi="Times New Roman" w:cs="Times New Roman"/>
              </w:rPr>
            </w:pPr>
            <w:r w:rsidRPr="00694B49">
              <w:rPr>
                <w:rFonts w:ascii="Times New Roman" w:hAnsi="Times New Roman" w:cs="Times New Roman"/>
              </w:rPr>
              <w:t>1237</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3BAF1BF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46,2%</w:t>
            </w:r>
          </w:p>
        </w:tc>
      </w:tr>
      <w:tr w:rsidR="003F4CFF" w:rsidRPr="006D4184" w14:paraId="24B5110D"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4CBB6FA6"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705A6"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Женщины</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0A30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1443</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735BD2D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53,8%</w:t>
            </w:r>
          </w:p>
        </w:tc>
      </w:tr>
      <w:tr w:rsidR="003F4CFF" w:rsidRPr="006D4184" w14:paraId="46960BBC" w14:textId="77777777" w:rsidTr="003F4CFF">
        <w:trPr>
          <w:cantSplit/>
        </w:trPr>
        <w:tc>
          <w:tcPr>
            <w:tcW w:w="663" w:type="pct"/>
            <w:vMerge w:val="restart"/>
            <w:tcBorders>
              <w:top w:val="single" w:sz="4" w:space="0" w:color="auto"/>
              <w:left w:val="nil"/>
              <w:bottom w:val="single" w:sz="4" w:space="0" w:color="auto"/>
              <w:right w:val="single" w:sz="4" w:space="0" w:color="auto"/>
            </w:tcBorders>
            <w:shd w:val="clear" w:color="auto" w:fill="auto"/>
            <w:vAlign w:val="center"/>
            <w:hideMark/>
          </w:tcPr>
          <w:p w14:paraId="515BD78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Возраст</w:t>
            </w: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8D5B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18-34 года</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B0494"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778</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604B5F5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29,0%</w:t>
            </w:r>
          </w:p>
        </w:tc>
      </w:tr>
      <w:tr w:rsidR="003F4CFF" w:rsidRPr="006D4184" w14:paraId="619DCFE4"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054D17CC"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6A12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35-54 года</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26B22"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966</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31C4AFE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36,0%</w:t>
            </w:r>
          </w:p>
        </w:tc>
      </w:tr>
      <w:tr w:rsidR="003F4CFF" w:rsidRPr="006D4184" w14:paraId="347B0174"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7E3D51E3"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7B7F8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55 лет и старше</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846D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936</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092390E9"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34,9%</w:t>
            </w:r>
          </w:p>
        </w:tc>
      </w:tr>
      <w:tr w:rsidR="003F4CFF" w:rsidRPr="006D4184" w14:paraId="5771039B" w14:textId="77777777" w:rsidTr="003F4CFF">
        <w:trPr>
          <w:cantSplit/>
        </w:trPr>
        <w:tc>
          <w:tcPr>
            <w:tcW w:w="663" w:type="pct"/>
            <w:vMerge w:val="restart"/>
            <w:tcBorders>
              <w:top w:val="single" w:sz="4" w:space="0" w:color="auto"/>
              <w:left w:val="nil"/>
              <w:bottom w:val="single" w:sz="4" w:space="0" w:color="auto"/>
              <w:right w:val="single" w:sz="4" w:space="0" w:color="auto"/>
            </w:tcBorders>
            <w:shd w:val="clear" w:color="auto" w:fill="auto"/>
            <w:vAlign w:val="center"/>
            <w:hideMark/>
          </w:tcPr>
          <w:p w14:paraId="6DF38B9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Род занятий</w:t>
            </w: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E1E02"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Работаю по найму</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1EE97"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1473</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57FB1C14"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55,0%</w:t>
            </w:r>
          </w:p>
        </w:tc>
      </w:tr>
      <w:tr w:rsidR="003F4CFF" w:rsidRPr="006D4184" w14:paraId="7C1A48DE"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25A43112"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B384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Предприниматель, самозанятый</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A291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111</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30F6835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4,1%</w:t>
            </w:r>
          </w:p>
        </w:tc>
      </w:tr>
      <w:tr w:rsidR="003F4CFF" w:rsidRPr="006D4184" w14:paraId="4A286011"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176A74CC"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F6B3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Пенсионер, инвалид</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1AE5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672</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2BD94B3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25,1%</w:t>
            </w:r>
          </w:p>
        </w:tc>
      </w:tr>
      <w:tr w:rsidR="003F4CFF" w:rsidRPr="006D4184" w14:paraId="625ABE38"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09FA3E27"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F06B4"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Учащийся, студент</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10B80"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79</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19C2D464"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2,9%</w:t>
            </w:r>
          </w:p>
        </w:tc>
      </w:tr>
      <w:tr w:rsidR="003F4CFF" w:rsidRPr="006D4184" w14:paraId="5AEA06B6"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4E404588"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84E6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Временно не работаю, безработный</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53AC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164</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34CDEC2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6,1%</w:t>
            </w:r>
          </w:p>
        </w:tc>
      </w:tr>
      <w:tr w:rsidR="003F4CFF" w:rsidRPr="006D4184" w14:paraId="19B4E843"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5F104CD5"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0639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Занят домашним хозяйством, нахожусь в декретном отпуске, отпуске по уходу за ребенком</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A6EE0"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147</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79DC7657"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5,5%</w:t>
            </w:r>
          </w:p>
        </w:tc>
      </w:tr>
      <w:tr w:rsidR="003F4CFF" w:rsidRPr="006D4184" w14:paraId="5ACAFC99"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4C3F012B"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CBC9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Затрудняюсь ответить/ отказ от ответа</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CC5B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11</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5ABB341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0,4%</w:t>
            </w:r>
          </w:p>
        </w:tc>
      </w:tr>
      <w:tr w:rsidR="003F4CFF" w:rsidRPr="006D4184" w14:paraId="5BA44410"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38495F09"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FB3D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Иное</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3E5B9"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23</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0A00CC24"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0,9%</w:t>
            </w:r>
          </w:p>
        </w:tc>
      </w:tr>
      <w:tr w:rsidR="003F4CFF" w:rsidRPr="006D4184" w14:paraId="1C2CFE1A" w14:textId="77777777" w:rsidTr="003F4CFF">
        <w:trPr>
          <w:cantSplit/>
        </w:trPr>
        <w:tc>
          <w:tcPr>
            <w:tcW w:w="663" w:type="pct"/>
            <w:vMerge w:val="restart"/>
            <w:tcBorders>
              <w:top w:val="single" w:sz="4" w:space="0" w:color="auto"/>
              <w:left w:val="nil"/>
              <w:bottom w:val="single" w:sz="4" w:space="0" w:color="auto"/>
              <w:right w:val="single" w:sz="4" w:space="0" w:color="auto"/>
            </w:tcBorders>
            <w:shd w:val="clear" w:color="auto" w:fill="auto"/>
            <w:vAlign w:val="center"/>
            <w:hideMark/>
          </w:tcPr>
          <w:p w14:paraId="47D4027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Наличие детей</w:t>
            </w: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045B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Нет детей</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00C5A"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494</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07567E0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18,4%</w:t>
            </w:r>
          </w:p>
        </w:tc>
      </w:tr>
      <w:tr w:rsidR="003F4CFF" w:rsidRPr="006D4184" w14:paraId="39B49B5A"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051CEA17"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D222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 ребенок</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371E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693</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35D4A46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25,9%</w:t>
            </w:r>
          </w:p>
        </w:tc>
      </w:tr>
      <w:tr w:rsidR="003F4CFF" w:rsidRPr="006D4184" w14:paraId="01A550C0"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60B8968C"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4644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 ребенка</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8F04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1082</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4367D6B9"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40,4%</w:t>
            </w:r>
          </w:p>
        </w:tc>
      </w:tr>
      <w:tr w:rsidR="003F4CFF" w:rsidRPr="006D4184" w14:paraId="33910AC3"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3E178B8D"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163B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3 и более детей</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BFB7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411</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2A9BBC3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15,3%</w:t>
            </w:r>
          </w:p>
        </w:tc>
      </w:tr>
      <w:tr w:rsidR="003F4CFF" w:rsidRPr="006D4184" w14:paraId="6810E20B" w14:textId="77777777" w:rsidTr="003F4CFF">
        <w:trPr>
          <w:cantSplit/>
        </w:trPr>
        <w:tc>
          <w:tcPr>
            <w:tcW w:w="663" w:type="pct"/>
            <w:vMerge w:val="restart"/>
            <w:tcBorders>
              <w:top w:val="single" w:sz="4" w:space="0" w:color="auto"/>
              <w:left w:val="nil"/>
              <w:bottom w:val="single" w:sz="4" w:space="0" w:color="auto"/>
              <w:right w:val="single" w:sz="4" w:space="0" w:color="auto"/>
            </w:tcBorders>
            <w:shd w:val="clear" w:color="auto" w:fill="auto"/>
            <w:vAlign w:val="center"/>
            <w:hideMark/>
          </w:tcPr>
          <w:p w14:paraId="5E56A0D2"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Образование</w:t>
            </w: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48B2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Общее образование</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B4276"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510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1471AD45"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19,0%</w:t>
            </w:r>
          </w:p>
        </w:tc>
      </w:tr>
      <w:tr w:rsidR="003F4CFF" w:rsidRPr="006D4184" w14:paraId="6795768F"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6ABC9FC1"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98E32"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Среднее специальное</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10142"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1096</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1BFA2CC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40,9%</w:t>
            </w:r>
          </w:p>
        </w:tc>
      </w:tr>
      <w:tr w:rsidR="003F4CFF" w:rsidRPr="006D4184" w14:paraId="7B129BB9"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6BF22DBA"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13A59"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Неполное высшее</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832E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1A84FE0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73FB62B3"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13ECFD19"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66959"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Высшее</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436D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977</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50E81F0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36,5%</w:t>
            </w:r>
          </w:p>
        </w:tc>
      </w:tr>
      <w:tr w:rsidR="003F4CFF" w:rsidRPr="006D4184" w14:paraId="0EC37C5D"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0E066358"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DD34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Научная степень</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E2580"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11</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283184E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0,4%</w:t>
            </w:r>
          </w:p>
        </w:tc>
      </w:tr>
      <w:tr w:rsidR="003F4CFF" w:rsidRPr="006D4184" w14:paraId="1079FD50"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7C86C057"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DD186"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Иное</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BEEB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16</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05F12DE2"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0,6%</w:t>
            </w:r>
          </w:p>
        </w:tc>
      </w:tr>
      <w:tr w:rsidR="003F4CFF" w:rsidRPr="006D4184" w14:paraId="5EF426A1" w14:textId="77777777" w:rsidTr="003F4CFF">
        <w:trPr>
          <w:cantSplit/>
        </w:trPr>
        <w:tc>
          <w:tcPr>
            <w:tcW w:w="663" w:type="pct"/>
            <w:vMerge w:val="restart"/>
            <w:tcBorders>
              <w:top w:val="single" w:sz="4" w:space="0" w:color="auto"/>
              <w:left w:val="nil"/>
              <w:bottom w:val="single" w:sz="4" w:space="0" w:color="auto"/>
              <w:right w:val="single" w:sz="4" w:space="0" w:color="auto"/>
            </w:tcBorders>
            <w:shd w:val="clear" w:color="auto" w:fill="auto"/>
            <w:vAlign w:val="center"/>
            <w:hideMark/>
          </w:tcPr>
          <w:p w14:paraId="32F7A11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Среднемесячный доход</w:t>
            </w: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C67B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До 10 тыс. рублей</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4C32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761</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16D0AFC7"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28,4%</w:t>
            </w:r>
          </w:p>
        </w:tc>
      </w:tr>
      <w:tr w:rsidR="003F4CFF" w:rsidRPr="006D4184" w14:paraId="3453E913"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577AD750"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2F65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От 10 до 15 тыс.рублей</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094F5"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1058</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18EF6DC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39,5%</w:t>
            </w:r>
          </w:p>
        </w:tc>
      </w:tr>
      <w:tr w:rsidR="003F4CFF" w:rsidRPr="006D4184" w14:paraId="5E57C4C6"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12216010"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EF75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От 15 до 30 тыс.рублей</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3A0E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634</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651128D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23,7%</w:t>
            </w:r>
          </w:p>
        </w:tc>
      </w:tr>
      <w:tr w:rsidR="003F4CFF" w:rsidRPr="006D4184" w14:paraId="4276A55F"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6824BA84"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44AF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От 30 до 60 тыс.рублей</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BFC74"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180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0A60E67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6,7%</w:t>
            </w:r>
          </w:p>
        </w:tc>
      </w:tr>
      <w:tr w:rsidR="003F4CFF" w:rsidRPr="006D4184" w14:paraId="79F3846E"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5CB2F930"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0E91C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Более 60 тыс.рублей</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C9734"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47</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5B417A09"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1,8%</w:t>
            </w:r>
          </w:p>
        </w:tc>
      </w:tr>
      <w:tr w:rsidR="003F4CFF" w:rsidRPr="006D4184" w14:paraId="264AB5F9" w14:textId="77777777" w:rsidTr="003F4CFF">
        <w:trPr>
          <w:cantSplit/>
        </w:trPr>
        <w:tc>
          <w:tcPr>
            <w:tcW w:w="663" w:type="pct"/>
            <w:vMerge w:val="restart"/>
            <w:tcBorders>
              <w:top w:val="single" w:sz="4" w:space="0" w:color="auto"/>
              <w:left w:val="nil"/>
              <w:bottom w:val="single" w:sz="4" w:space="0" w:color="auto"/>
              <w:right w:val="single" w:sz="4" w:space="0" w:color="auto"/>
            </w:tcBorders>
            <w:shd w:val="clear" w:color="auto" w:fill="auto"/>
            <w:vAlign w:val="center"/>
            <w:hideMark/>
          </w:tcPr>
          <w:p w14:paraId="0E2C760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Тип населенного пункта</w:t>
            </w: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802EA"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г. Новосибирск</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4C33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300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2ED1162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11,2%</w:t>
            </w:r>
          </w:p>
        </w:tc>
      </w:tr>
      <w:tr w:rsidR="003F4CFF" w:rsidRPr="006D4184" w14:paraId="4D0D3C10"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1B33DDF6"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6EB4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Районный центр, городской округ</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DC70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1066</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22986FF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39,8%</w:t>
            </w:r>
          </w:p>
        </w:tc>
      </w:tr>
      <w:tr w:rsidR="003F4CFF" w:rsidRPr="006D4184" w14:paraId="5C9D2C29"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0FC61505"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1272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ПГТ</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8B254"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149</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690E1735"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5,6%</w:t>
            </w:r>
          </w:p>
        </w:tc>
      </w:tr>
      <w:tr w:rsidR="003F4CFF" w:rsidRPr="006D4184" w14:paraId="677D04A5"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14B40DEB"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6AED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Село, деревня, другие сельские поселения</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F1A7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1165</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1ED8352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43,5%</w:t>
            </w:r>
          </w:p>
        </w:tc>
      </w:tr>
      <w:tr w:rsidR="003F4CFF" w:rsidRPr="006D4184" w14:paraId="31BFDC2E" w14:textId="77777777" w:rsidTr="003F4CFF">
        <w:trPr>
          <w:cantSplit/>
        </w:trPr>
        <w:tc>
          <w:tcPr>
            <w:tcW w:w="663" w:type="pct"/>
            <w:vMerge w:val="restart"/>
            <w:tcBorders>
              <w:top w:val="single" w:sz="4" w:space="0" w:color="auto"/>
              <w:left w:val="nil"/>
              <w:bottom w:val="single" w:sz="4" w:space="0" w:color="auto"/>
              <w:right w:val="single" w:sz="4" w:space="0" w:color="auto"/>
            </w:tcBorders>
            <w:shd w:val="clear" w:color="auto" w:fill="auto"/>
            <w:vAlign w:val="center"/>
            <w:hideMark/>
          </w:tcPr>
          <w:p w14:paraId="42280D1A"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Муниципальное образование</w:t>
            </w: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B6C26"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город Новосибирск</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0AF25"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300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1B0BE0E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11,2%</w:t>
            </w:r>
          </w:p>
        </w:tc>
      </w:tr>
      <w:tr w:rsidR="003F4CFF" w:rsidRPr="006D4184" w14:paraId="65D69716"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286E9785"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795B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город Бердск</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87E5A"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7E1424D9"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36C64A24"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746F0360"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178A7"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город Искитим</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E8566"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70B04EA7"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50893436"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70170916"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4922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город Обь</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285B2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253DD7B6"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0745F03F"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3AA4E651"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47E1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рабочий поселок Кольцово</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59824"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13AA4C8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044DBDC7"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211E4C46"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0D36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Баганский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BC6B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2E22B385"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56097ABE"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35762135"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4C4A6"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Барабинский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8D857"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297058C0"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0D6790D2"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44B69F51"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ACD87"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Болотнинский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B8B7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28A2ECEA"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3FEBB139"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592B8A86"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E2665"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Венгеровский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3EA39"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48FD7E86"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28F64040"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4FFAA9AE"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C471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Доволенский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0E147"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4CDF2E0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55D227FD"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0A0BB271"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94EB2"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Здвинский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D04F7"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70144CC5"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7D8E1822"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7A54E9A7"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4963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Искитимский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3A136"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7C5C574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03431985"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4F40D799"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BDD2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Карасукский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0E3F5"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36B61B5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5CB570EE"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4036B90A"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5978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Каргатский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370F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69C243F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62E57EF4"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37BA4862"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79CF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Колыванский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E510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11075F7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42EB9BB9"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1944335E"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35B56"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Коченевский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3E94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5B9A20D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6E1BD623"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63C1CF16"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278C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Кочковский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F3DF5"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5F08C28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00981077"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3CF2EAC9"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5F46A"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Краснозерский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E66B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26575D0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32F33F85"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64BC4692"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C48BA"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Куйбышевский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EC5E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6FEB5A47"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1CE64585"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38D8902F"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01DC2"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Купинский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28EA4"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06C70A64"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492A1C0F"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4905B2B8"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6078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Кыштовский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C635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14FD015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0E2C5D53"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6F834C07"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8ADE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Маслянинский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4D023"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4EB1984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1954BC57"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5704F817"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E7A5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Мошковский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97D8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6F7291EA"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067BBAF3"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62CA12AC"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B2BB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Новосибирский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A215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39AEEB0A"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29CE18CF"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53BFA75C"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45F44"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Ордынский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7B4A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30EA5BB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050808D4"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629A8B0C"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540F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Северный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B573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6EBDDE5A"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3979EFBC"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2047504F"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0AF6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Сузунский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4FD6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626AE256"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1DCD7BAB"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15EEC7C1"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720365"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Татарский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8E9B9"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7C2B223D"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12687FC6"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6F0E0C2F"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668B4"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Тогучинский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B7E2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69C3AA4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6EA58DE4"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4DFA8CD2"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92F7B"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Убинский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F3755"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381A93D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0AFA17BF"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60416348"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A99F2"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Усть-Таркский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0BC1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6D7DB79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5AD1845D"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376DAADE"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0CE22"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Чановский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0ACC5"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4060C0CE"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56CE7E92"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32CFC259"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F8CA6"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Черепановский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39E9C"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3B08AC80"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271C3DC1"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4ADA793C"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9D69A"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Чистоозерный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AA9B1"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762C934F"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r w:rsidR="003F4CFF" w:rsidRPr="006D4184" w14:paraId="018505B5" w14:textId="77777777" w:rsidTr="003F4CFF">
        <w:trPr>
          <w:cantSplit/>
        </w:trPr>
        <w:tc>
          <w:tcPr>
            <w:tcW w:w="663" w:type="pct"/>
            <w:vMerge/>
            <w:tcBorders>
              <w:top w:val="single" w:sz="4" w:space="0" w:color="auto"/>
              <w:left w:val="nil"/>
              <w:bottom w:val="single" w:sz="4" w:space="0" w:color="auto"/>
              <w:right w:val="single" w:sz="4" w:space="0" w:color="auto"/>
            </w:tcBorders>
            <w:shd w:val="clear" w:color="auto" w:fill="auto"/>
            <w:vAlign w:val="center"/>
            <w:hideMark/>
          </w:tcPr>
          <w:p w14:paraId="0179D8ED" w14:textId="77777777" w:rsidR="003F4CFF" w:rsidRPr="00694B49" w:rsidRDefault="003F4CFF" w:rsidP="003F4CFF">
            <w:pPr>
              <w:spacing w:line="259" w:lineRule="auto"/>
              <w:rPr>
                <w:rFonts w:ascii="Times New Roman" w:hAnsi="Times New Roman" w:cs="Times New Roman"/>
                <w:lang w:eastAsia="en-US"/>
              </w:rPr>
            </w:pPr>
          </w:p>
        </w:tc>
        <w:tc>
          <w:tcPr>
            <w:tcW w:w="2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3BE56"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Чулымский муниципальный район</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9B299"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70</w:t>
            </w:r>
          </w:p>
        </w:tc>
        <w:tc>
          <w:tcPr>
            <w:tcW w:w="737" w:type="pct"/>
            <w:tcBorders>
              <w:top w:val="single" w:sz="4" w:space="0" w:color="auto"/>
              <w:left w:val="single" w:sz="4" w:space="0" w:color="auto"/>
              <w:bottom w:val="single" w:sz="4" w:space="0" w:color="auto"/>
              <w:right w:val="nil"/>
            </w:tcBorders>
            <w:shd w:val="clear" w:color="auto" w:fill="auto"/>
            <w:vAlign w:val="center"/>
            <w:hideMark/>
          </w:tcPr>
          <w:p w14:paraId="39B57638" w14:textId="77777777" w:rsidR="003F4CFF" w:rsidRPr="00694B49" w:rsidRDefault="003F4CFF" w:rsidP="003F4CFF">
            <w:pPr>
              <w:spacing w:line="256" w:lineRule="auto"/>
              <w:rPr>
                <w:rFonts w:ascii="Times New Roman" w:hAnsi="Times New Roman" w:cs="Times New Roman"/>
              </w:rPr>
            </w:pPr>
            <w:r w:rsidRPr="00694B49">
              <w:rPr>
                <w:rFonts w:ascii="Times New Roman" w:hAnsi="Times New Roman" w:cs="Times New Roman"/>
              </w:rPr>
              <w:t>2,6%</w:t>
            </w:r>
          </w:p>
        </w:tc>
      </w:tr>
    </w:tbl>
    <w:p w14:paraId="6738AF8B" w14:textId="77777777" w:rsidR="003F4CFF" w:rsidRPr="006D4184" w:rsidRDefault="003F4CFF" w:rsidP="003F4CFF">
      <w:pPr>
        <w:ind w:left="709"/>
        <w:contextualSpacing/>
        <w:jc w:val="both"/>
        <w:rPr>
          <w:rFonts w:ascii="Times New Roman" w:hAnsi="Times New Roman" w:cs="Times New Roman"/>
          <w:sz w:val="28"/>
          <w:szCs w:val="28"/>
        </w:rPr>
      </w:pPr>
    </w:p>
    <w:p w14:paraId="04B34995" w14:textId="77777777" w:rsidR="003F4CFF"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Уровень удовлетворенности уровнем цен услуг на товарных рынках Новосибирской области</w:t>
      </w:r>
      <w:r>
        <w:rPr>
          <w:rFonts w:ascii="Times New Roman" w:hAnsi="Times New Roman" w:cs="Times New Roman"/>
          <w:b/>
          <w:sz w:val="28"/>
          <w:szCs w:val="28"/>
        </w:rPr>
        <w:t>.</w:t>
      </w:r>
    </w:p>
    <w:p w14:paraId="6D1A8F26" w14:textId="77777777" w:rsidR="003F4CFF" w:rsidRPr="00694B49"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sz w:val="28"/>
          <w:szCs w:val="28"/>
        </w:rPr>
        <w:t xml:space="preserve">Удовлетворенность потребителей уровнем цен на исследуемых товарных рынках варьируется от 24,6% до 68,0%. Высокий уровень удовлетворенности уровнем цен (75% и выше) не зафиксирован ни на одном рынке. </w:t>
      </w:r>
    </w:p>
    <w:p w14:paraId="2EF2A396"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Средний уровень удовлетворенности уровнем цен (от 50,0% до 74,9%) отмечается на 10 из 33 товарных рынков (рынки указаны в порядке убывания удовлетворенности уровнем цен):</w:t>
      </w:r>
    </w:p>
    <w:p w14:paraId="2D7A71DB"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услуги по перевозке пассажиров и багажа легковым такси на территории субъекта Российской Федерации (68,0%);</w:t>
      </w:r>
    </w:p>
    <w:p w14:paraId="4D6EB985"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услуги связи, в том числе услуг по предоставлению широкополосного доступа к информационно-телекоммуникационной сети «Интернет» (63,3%);</w:t>
      </w:r>
    </w:p>
    <w:p w14:paraId="2BD010CA"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оказание услуг по перевозке пассажиров автомобильным транспортом по муниципальным маршрутам регулярных перевозок (60,1%);</w:t>
      </w:r>
    </w:p>
    <w:p w14:paraId="6820D751"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поставка сжиженного газа в баллонах (59,0%);</w:t>
      </w:r>
    </w:p>
    <w:p w14:paraId="4EF138A2"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услуги по перевозке пассажиров автомобильным транспортом по межмуниципальным маршрутам регулярных перевозок (56,3%);</w:t>
      </w:r>
    </w:p>
    <w:p w14:paraId="17168282"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услуги общего образования (55,4%);</w:t>
      </w:r>
    </w:p>
    <w:p w14:paraId="55997F08"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услуги дошкольного образования (52,7%);</w:t>
      </w:r>
    </w:p>
    <w:p w14:paraId="7CAB2C85"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производство бетона (52,7%);</w:t>
      </w:r>
    </w:p>
    <w:p w14:paraId="4DD7E99E"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производство кирпича (51,0%);</w:t>
      </w:r>
    </w:p>
    <w:p w14:paraId="6F2A439D"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lastRenderedPageBreak/>
        <w:t>добыча общераспространенных полезных ископаемых на участках недр местного значения (50,8%).</w:t>
      </w:r>
    </w:p>
    <w:p w14:paraId="4370C97C"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На остальных 23 товарных рынках отмечается низкий уровень удовлетворенности потребителей уровнем цен (менее 50%). Наиболее низкая удовлетворенность уровнем цен зафиксирована на следующих товарных рынках (рынки указаны в порядке убывания удовлетворенности уровнем цен): </w:t>
      </w:r>
    </w:p>
    <w:p w14:paraId="58EE5FCE"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услуги детского отдыха и оздоровления (35,0%);</w:t>
      </w:r>
    </w:p>
    <w:p w14:paraId="4BDE3FCC"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жилищное строительство (за исключением Московского фонда реновации жилой застройки и индивидуального жилищного строительства) (34,9%);</w:t>
      </w:r>
    </w:p>
    <w:p w14:paraId="28424669"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вылов водных биоресурсов (34,4%);</w:t>
      </w:r>
    </w:p>
    <w:p w14:paraId="1193E0B2"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переработка водных биоресурсов (33,6%);</w:t>
      </w:r>
    </w:p>
    <w:p w14:paraId="711FC921"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выполнение работ по содержанию и текущему ремонту общего имущества собственников помещений в многоквартирном доме (33,5%);</w:t>
      </w:r>
    </w:p>
    <w:p w14:paraId="6B73E73B"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строительство объектов капитального строительства, за исключением жилищного и дорожного строительства (33,0%);</w:t>
      </w:r>
    </w:p>
    <w:p w14:paraId="587AA02B"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товарной аквакультуры (31,4%);</w:t>
      </w:r>
    </w:p>
    <w:p w14:paraId="735F7473"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дорожная деятельность (за исключением проектирования) (24,6%).</w:t>
      </w:r>
    </w:p>
    <w:p w14:paraId="30035005"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дошкольного образования</w:t>
      </w:r>
    </w:p>
    <w:p w14:paraId="0A21AD8E"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52,7% (средний уровень), разброс оценок по муниципальным образованиям значительный – от 29,3% до 100%. Почти в половине муниципальных образований (16 МО) зафиксирован высокий уровень удовлетворенности уровнем цен на данном рынке (75% и выше). Наибольшая удовлетворенность уровнем цен наблюдается среди потребителей, проживающих в МО: Карасукский (100,0%), Мошковский (92,6%) районы, р. п. Кольцово (92,5%), Здвинский район (91,2%). Низкий уровень удовлетворенности потребителей уровнем цен на данном рынке (менее 50%) наблюдается в следующих МО: г. Бердск (46,7%), г. Новосибирск (45,3%), Тогучинский (38,6%), Чулымский (35,0%), Усть-Таркский (29,3%) районы.</w:t>
      </w:r>
    </w:p>
    <w:p w14:paraId="490BDCFA"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общего образования</w:t>
      </w:r>
    </w:p>
    <w:p w14:paraId="67294C18"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в среднем по Новосибирской области составляет 55,4% (средний уровень), разброс оценок по муниципальным образованиям значительный – от 32,5% до 97,1%. В большинстве муниципальных образований (20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Здвинский (97,1%), Убинский (95,2%), Северный (94,3%), Колыванский (93,9%), Куйбышевский (93,1%), Кыштовский (92,0%) районы. Низкий уровень удовлетворенности потребителей ценами на данном рынке (менее 50%) наблюдается в 7 МО, наименее удовлетворены уровнем цен потребители в Сузунском (37,7%), Тогучинском (36,2%), Искитимском (33,3%) и Усть-Таркском (32,5%) районах.</w:t>
      </w:r>
    </w:p>
    <w:p w14:paraId="3659166D"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среднего профессионального образования</w:t>
      </w:r>
    </w:p>
    <w:p w14:paraId="12BE280C"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lastRenderedPageBreak/>
        <w:t>Уровень удовлетворенности потребителей уровнем цен на услуги в среднем по Новосибирской области составляет 43,6% (низкий уровень), разброс оценок по муниципальным образованиям значительный – от 10% до 100%. В небольшом количестве муниципальных образований (6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р. п. Кольцово (100%), Здвинский (100%), Северный (100%), Доволенский (85,7%), Колыванский (83,3%), Куйбышевский (76,9%) районы. Низкий уровень удовлетворенности потребителей уровнем цен на данном рынке (менее 50%) наблюдается в 15 МО, наименее удовлетворены уровнем цен потребители в следующих МО: Новосибирский (21,4%), Тогучинский (20,6%) и Каргатский (10%) районы.</w:t>
      </w:r>
    </w:p>
    <w:p w14:paraId="2412FCAC"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дополнительного образования детей</w:t>
      </w:r>
    </w:p>
    <w:p w14:paraId="077421B0"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Уровень удовлетворенности потребителей уровнем цен в среднем по Новосибирской области составляет 44% (низкий уровень), разброс оценок по муниципальным образованиям значительный – от 22,2% до 93,9%. В большинстве муниципальных образований (20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Здвинский (93,9%), Северный (93,3%) районы и р. п. Кольцово (91,1%). Низкий уровень удовлетворенности потребителей ценами на данном рынке (менее 50%) наблюдается в 9 МО, наименее удовлетворены уровнем цен потребители в г. Новосибирске (33,9%), Тогучинском (29,5%) и Искитимском (22,2%) районах. </w:t>
      </w:r>
    </w:p>
    <w:p w14:paraId="0D3D1031"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детского отдыха и оздоровления</w:t>
      </w:r>
    </w:p>
    <w:p w14:paraId="7AA2E490"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35% (низкий уровень), разброс оценок по муниципальным образованиям значительный – от 12,1% до 92%. В небольшом количестве муниципальных образований (5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Северный (92%) и Здвинский (88,9%) районы. Низкий уровень удовлетворенности потребителей уровнем цен на данном рынке (менее 50%) наблюдается в 16 МО, наименее удовлетворены уровнем цен потребители в следующих МО: г. Бердск (21,7%), Новосибирский (21,7%), Карасукский (18,2%), Сузунский (18%), Тогучинский (17,1%) районы, г. Искитим (16,7%) и Усть-Таркский (12,1%) район.</w:t>
      </w:r>
    </w:p>
    <w:p w14:paraId="5627746D"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розничной торговли лекарственными препаратами, медицинскими изделиями и сопутствующими товарами</w:t>
      </w:r>
    </w:p>
    <w:p w14:paraId="42AA6D36"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Уровень удовлетворенности потребителей уровнем цен на услуги в среднем по Новосибирской области составляет 46,5% (низкий уровень), разброс оценок по муниципальным образованиям значительный – от 20,4% до 93,9%. Только в одном муниципальном образовании зафиксирован высокий уровень удовлетворенности ценами на данном рынке (75% и выше) – в Чистоозерном районе (93,9%). Низкий уровень удовлетворенности потребителей уровнем цен на данном рынке (менее </w:t>
      </w:r>
      <w:r w:rsidRPr="006D4184">
        <w:rPr>
          <w:rFonts w:ascii="Times New Roman" w:hAnsi="Times New Roman" w:cs="Times New Roman"/>
          <w:sz w:val="28"/>
          <w:szCs w:val="28"/>
        </w:rPr>
        <w:lastRenderedPageBreak/>
        <w:t>50%) наблюдается в 19 МО, наименее удовлетворены уровнем цен потребители в следующих МО: Купинский (32,3%) район, г. Бердск (31,7%), Маслянинский (29,7%), Новосибирский (29,7%), Усть-Таркский (26,7%), Искитимский (23,5%) и Убинский (20,4%) районы.</w:t>
      </w:r>
    </w:p>
    <w:p w14:paraId="1F2C94E0"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психолого-педагогического сопровождения детей с ограниченными возможностями здоровья</w:t>
      </w:r>
    </w:p>
    <w:p w14:paraId="0C580A34"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Уровень удовлетворенности потребителей уровнем цен на услуги в среднем по Новосибирской области составляет 38,9% (низкий уровень), разброс оценок по муниципальным образованиям максимальный – от 0% до 100%. В небольшом количестве муниципальных образований (6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w:t>
      </w:r>
      <w:r w:rsidRPr="006D4184">
        <w:rPr>
          <w:rFonts w:ascii="Times New Roman" w:hAnsi="Times New Roman" w:cs="Times New Roman"/>
          <w:sz w:val="28"/>
          <w:szCs w:val="28"/>
          <w:shd w:val="clear" w:color="auto" w:fill="FFFFFF"/>
        </w:rPr>
        <w:t xml:space="preserve">р. п. Кольцово (100%), Здвинский (100%), Каргатский (93,8%) и Куйбышевский (92,9%) районы. Низкий уровень удовлетворенности потребителей уровнем цен на данном рынке (менее 50%) наблюдается </w:t>
      </w:r>
      <w:r w:rsidRPr="006D4184">
        <w:rPr>
          <w:rFonts w:ascii="Times New Roman" w:hAnsi="Times New Roman" w:cs="Times New Roman"/>
          <w:sz w:val="28"/>
          <w:szCs w:val="28"/>
        </w:rPr>
        <w:t>в 16 МО, наименее удовлетворены уровнем цен потребители</w:t>
      </w:r>
      <w:r w:rsidRPr="006D4184">
        <w:rPr>
          <w:rFonts w:ascii="Times New Roman" w:hAnsi="Times New Roman" w:cs="Times New Roman"/>
          <w:sz w:val="28"/>
          <w:szCs w:val="28"/>
          <w:shd w:val="clear" w:color="auto" w:fill="FFFFFF"/>
        </w:rPr>
        <w:t xml:space="preserve"> в следующих МО: Усть-Таркский (10,5%) и Тогучинский (8,7%) районы.</w:t>
      </w:r>
      <w:r w:rsidRPr="006D4184">
        <w:rPr>
          <w:rFonts w:ascii="Times New Roman" w:hAnsi="Times New Roman" w:cs="Times New Roman"/>
          <w:sz w:val="28"/>
          <w:szCs w:val="28"/>
        </w:rPr>
        <w:t xml:space="preserve"> </w:t>
      </w:r>
    </w:p>
    <w:p w14:paraId="288C228B"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социальных услуг</w:t>
      </w:r>
    </w:p>
    <w:p w14:paraId="2315E412"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45,1% (низкий уровень), разброс оценок по муниципальным образованиям значительный – от 7,9% до 100%. В небольшом количестве муниципальных образований (11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Здвинский (100%), Северный (87,5%) районы и р. п. Кольцово (86,2%). Низкий уровень удовлетворенности потребителей ценами на данном рынке (менее 50%) наблюдается в 10 МО, наименее удовлетворены уровнем цен потребители в Чулымском (9,1%) и Усть-Таркском (7,9%) районах.</w:t>
      </w:r>
    </w:p>
    <w:p w14:paraId="19DB5B83"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теплоснабжения (производство тепловой энергии)</w:t>
      </w:r>
    </w:p>
    <w:p w14:paraId="0F526352"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40% (низкий уровень), разброс оценок по муниципальным образованиям значительный – от 13,3% до 80,4%. Только в одном муниципальном образовании зафиксирован высокий уровень удовлетворенности ценами на данном рынке (75% и выше) – в г. Искитиме (80,4%). Низкий уровень удовлетворенности потребителей уровнем цен на данном рынке (менее 50%) наблюдается в 19 МО, наименее удовлетворены уровнем цен потребители в следующих МО: Чулымский (16,7%), Усть-Таркский (15,2%) и Кыштовский (13,3%) районы.</w:t>
      </w:r>
    </w:p>
    <w:p w14:paraId="66B8F324"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по сбору и транспортированию твердых коммунальных отходов</w:t>
      </w:r>
    </w:p>
    <w:p w14:paraId="60548850"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Уровень удовлетворенности потребителей уровнем цен на услуги в среднем по Новосибирской области составляет 42,2% (низкий уровень), разброс оценок по муниципальным образованиям значительный – от 0% до 94,9%. Только в одном муниципальном образовании зафиксирован высокий уровень удовлетворенности </w:t>
      </w:r>
      <w:r w:rsidRPr="006D4184">
        <w:rPr>
          <w:rFonts w:ascii="Times New Roman" w:hAnsi="Times New Roman" w:cs="Times New Roman"/>
          <w:sz w:val="28"/>
          <w:szCs w:val="28"/>
        </w:rPr>
        <w:lastRenderedPageBreak/>
        <w:t>ценами на данном рынке (75% и выше) – в Чистоозерном районе (94,9%). Низкий уровень удовлетворенности потребителей уровнем цен на данном рынке (менее 50%) наблюдается в 22 МО, наименее удовлетворены уровнем цен потребители в следующих МО: Сузунский (31,9%), Тогучинский (30,2%), Чулымский (29,2%) и Усть-Таркский (17,2%) районы.</w:t>
      </w:r>
    </w:p>
    <w:p w14:paraId="25FE55E8"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выполнения работ по благоустройству городской среды</w:t>
      </w:r>
    </w:p>
    <w:p w14:paraId="29326DE3"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Уровень удовлетворенности потребителей уровнем цен на услуги в среднем по Новосибирской области составляет 38,3% (низкий уровень), разброс оценок по муниципальным образованиям значительный – от 12,5% до 89,2%. В небольшом количестве муниципальных образований (5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Северный (89,2%), Здвинский (88,9%) районы, р. п. Кольцово (86,1%), Купинский (82,4%) и Коченевский (75%) районы. Низкий уровень удовлетворенности потребителей уровнем цен на данном рынке (менее 50%) наблюдается в 14 МО, наименее удовлетворены уровнем цен потребители в следующих МО: Татарский (21,4%), Тогучинский (17,6%) </w:t>
      </w:r>
      <w:r>
        <w:rPr>
          <w:rFonts w:ascii="Times New Roman" w:hAnsi="Times New Roman" w:cs="Times New Roman"/>
          <w:sz w:val="28"/>
          <w:szCs w:val="28"/>
        </w:rPr>
        <w:t>и Болотнинский (12,5%) районы.</w:t>
      </w:r>
    </w:p>
    <w:p w14:paraId="0EAE77AF"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выполнения работ по содержанию и текущему ремонту общего имущества собственников помещений в многоквартирном доме</w:t>
      </w:r>
    </w:p>
    <w:p w14:paraId="56321C5C"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33,5% (низкий уровень), разброс оценок по муниципальным образованиям максимальный – от 0% до 100%. В небольшом количестве муниципальных образований (4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Северный (100%), Чистоозерный (83,3%), Здвинский (80%) и Ордынский (78,6%) районы. Низкий уровень удовлетворенности потребителей уровнем цен на данном рынке (менее 50%) наблюдается в 21 МО, наименее удовлетворены уровнем цен потребители в следующих МО: Черепановский (20%), Татарский (19,4%), Карасукский (17,4%), Убинский (16,7%), Доволенский (15,6%), Тогучинский (12,9%) и Искитимский (6,9%) районы.</w:t>
      </w:r>
    </w:p>
    <w:p w14:paraId="5B76E091"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поставки сжиженного газа в баллонах</w:t>
      </w:r>
    </w:p>
    <w:p w14:paraId="7A921122"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59% (средний уровень), разброс оценок по муниципальным образованиям значительный – от 0% до 91,8%. В совсем небольшом количестве муниципальных образований (3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Чистоозерный (91,8%) район, г. Обь (90%) и г. Искитим (80%). Низкий уровень удовлетворенности потребителей ценами на данном рынке (менее 50%) наблюдается в 11 МО, наименее удовлетворены уровнем цен потребители в Доволенском (17,1%), Чулымском (16,7%) районах и г. Бердске (12,5%).</w:t>
      </w:r>
    </w:p>
    <w:p w14:paraId="50A84C39"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lastRenderedPageBreak/>
        <w:t>Рынок купли-продажи электрической энергии (мощности) на розничном рынке электрической энергии (мощности)</w:t>
      </w:r>
    </w:p>
    <w:p w14:paraId="6380FEBF"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44,9% (низкий уровень), разброс оценок по муниципальным образованиям значительный – от 20,4% до 92,7%. Только в одном муниципальном образовании зафиксирован высокий уровень удовлетворенности ценами на данном рынке (75% и выше) – в Чистоозерном районе (92,7%). Низкий уровень удовлетворенности потребителей ценами на данном рынке (менее 50%) наблюдается в 11 МО, наименее удовлетворены уровнем цен потребители в Доволенском (34%), Краснозерском (33,9%), Чулымском (32%), Маслянинском (29,5%) и Усть-Таркском (20,4%) районах.</w:t>
      </w:r>
    </w:p>
    <w:p w14:paraId="66B9CFA2"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14:paraId="015F696D"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49,9% (низкий уровень), разброс оценок по муниципальным образованиям значительный – от 0% до 86,7%. В небольшом количестве муниципальных образований (5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Чистоозерный (86,7%), Здвинский (85,7%), Венгеровский (83,3%), Куйбышевский (78,3%) и Барабинский (75%) районы. Низкий уровень удовлетворенности потребителей уровнем цен на данном рынке (менее 50%) наблюдается в 14 МО, наименее удовлетворены уровнем цен потребители в следующих МО: Убинский (25%), Кыштовский (23,5%) и Сузунский (22,4%) районы.</w:t>
      </w:r>
    </w:p>
    <w:p w14:paraId="445C1978"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оказания услуг по перевозке пассажиров автомобильным транспортом по муниципальным маршрутам регулярных перевозок</w:t>
      </w:r>
    </w:p>
    <w:p w14:paraId="1C49E424"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Уровень удовлетворенности потребителей уровнем цен на услуги в среднем по Новосибирской области составляет 60,1% (средний уровень), разброс оценок по муниципальным образованиям значительный – от 32% до 93%. В небольшом количестве муниципальных образований (12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Чистоозерный (93%), Болотнинский (92,5%), Искитимский (92%), Колыванский (91,5%) районы, г. Обь (90,5%) и Черепановский (90%) район. Низкий уровень удовлетворенности потребителей ценами на данном рынке (менее 50%) наблюдается в 4 МО, наименее удовлетворены уровнем цен потребители в Северном (40%), Здвинском (33,3%) и Тогучинском (32%) районах. </w:t>
      </w:r>
    </w:p>
    <w:p w14:paraId="59C20C52"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оказания услуг по перевозке пассажиров автомобильным транспортом по межмуниципальным маршрутам регулярных перевозок</w:t>
      </w:r>
    </w:p>
    <w:p w14:paraId="045F9E6D"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Уровень удовлетворенности потребителей уровнем цен на услуги в среднем по Новосибирской области составляет 56,3% (средний уровень), разброс оценок по муниципальным образованиям – от 42,9% до 100%. В небольшом количестве </w:t>
      </w:r>
      <w:r w:rsidRPr="006D4184">
        <w:rPr>
          <w:rFonts w:ascii="Times New Roman" w:hAnsi="Times New Roman" w:cs="Times New Roman"/>
          <w:sz w:val="28"/>
          <w:szCs w:val="28"/>
        </w:rPr>
        <w:lastRenderedPageBreak/>
        <w:t xml:space="preserve">муниципальных образований (9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Колыванский (100%), Чистоозерный (93,8%) районы, г. Обь (90,5%), Черепановский (87%) и Купинский (85,7%) районы. Низкий уровень удовлетворенности потребителей ценами на данном рынке (менее 50%) наблюдается в 6 МО, наименее удовлетворены уровнем цен потребители в Убинском (45,9%), Тогучинском (44,1%) и Чулымском (42,9%) районах. </w:t>
      </w:r>
    </w:p>
    <w:p w14:paraId="634D8001"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оказания услуг по перевозке пассажиров и багажа легковым такси на территории субъекта Российской Федерации</w:t>
      </w:r>
    </w:p>
    <w:p w14:paraId="2F34A059"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Уровень удовлетворенности потребителей уровнем цен на услуги в среднем по Новосибирской области составляет 68% (средний уровень), разброс оценок по муниципальным образованиям значительный – от 26,8% до 92,2%. В небольшом количестве муниципальных образований (6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г. Искитим (92,2%), Чистоозерный (89,3%), Баганский (77,8%), Здвинский (77,5%) и Ордынский (77,3%) районы. Низкий уровень удовлетворенности потребителей ценами на данном рынке (менее 50%) наблюдается в 8 МО, наименее удовлетворены уровнем цен потребители в Искитимском (26,8%) районе. </w:t>
      </w:r>
    </w:p>
    <w:p w14:paraId="10F84516"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связи, в том числе услуг по предоставлению широкополосного доступа к информационно-телекоммуникационной сети «Интернет»</w:t>
      </w:r>
    </w:p>
    <w:p w14:paraId="1F7F0CCC"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63,3% (средний уровень), разброс оценок по муниципальным образованиям значительный – от 28,6% до 90,3%. В небольшом количестве муниципальных образований (8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Чистоозерный (90,3%) район, г. Искитим (88,2%) и Здвинский (87,9%) район. Низкий уровень удовлетворенности потребителей ценами на данном рынке (менее 50%) наблюдается в 6 МО, наименее удовлетворены уровнем цен потребители в Кыштовском (31,5%), Усть-Таркском (30,6%) и Чулымском (28,6%) районах.</w:t>
      </w:r>
    </w:p>
    <w:p w14:paraId="681AC39A"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жилищного строительства (за исключением Московского фонда реновации жилой застройки и индивидуального жилищного строительства)</w:t>
      </w:r>
    </w:p>
    <w:p w14:paraId="65CECE73"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Уровень удовлетворенности потребителей уровнем цен на услуги в среднем по Новосибирской области составляет 34,9% (низкий уровень), разброс оценок по муниципальным образованиям максимальный – от 0% до 100%. В небольшом количестве муниципальных образований (5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Колыванский (100%), Северный (87,5%), Здвинский (84,6%) районы и г. Обь (77,8%). Низкий уровень удовлетворенности потребителей уровнем цен на данном рынке (менее 50%) наблюдается в 24 МО, наименее удовлетворены уровнем цен </w:t>
      </w:r>
      <w:r w:rsidRPr="006D4184">
        <w:rPr>
          <w:rFonts w:ascii="Times New Roman" w:hAnsi="Times New Roman" w:cs="Times New Roman"/>
          <w:sz w:val="28"/>
          <w:szCs w:val="28"/>
        </w:rPr>
        <w:lastRenderedPageBreak/>
        <w:t>потребители в следующих МО: Кыштовский (16%), Чулымский (15%), Убинский (4,5%) и Венгеровский (3,4%) районы.</w:t>
      </w:r>
    </w:p>
    <w:p w14:paraId="49D2F402"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строительства объектов капитального строительства, за исключением жилищного и дорожного строительства</w:t>
      </w:r>
    </w:p>
    <w:p w14:paraId="3CE7CF96"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33% (низкий уровень), разброс оценок по муниципальным образованиям значительный – от 0% до 90,5%. В совсем небольшом количестве муниципальных образований (3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Северный (90,5%) район, р. п. Кольцово (88,9%) и Здвинский район (83,3%). Низкий уровень удовлетворенности потребителей уровнем цен на данном рынке (менее 50%) наблюдается в 20 МО, наименее удовлетворены уровнем цен потребители в следующих МО: Тогучинский (13,8%), Татарский (6,7%), Убинский (4,8%) и Венгеровский (3,7%) районы.</w:t>
      </w:r>
    </w:p>
    <w:p w14:paraId="241385AF"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дорожной деятельности (за исключением проектирования)</w:t>
      </w:r>
    </w:p>
    <w:p w14:paraId="1BFC5C66"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24,6% (низкий уровень), разброс оценок по муниципальным образованиям максимальный – от 0% до 100%. В небольшом количестве муниципальных образований (5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р. п. Кольцово (100%), Здвинский (80%), Маслянинский (80%), Ордынский (80%) и Куйбышевский (75%) районы. Низкий уровень удовлетворенности потребителей уровнем цен на данном рынке (менее 50%) наблюдается в 23 МО, наименее удовлетворены уровнем цен потребители в следующих МО: г. Новосибирск (18,8%), Барабинский (17,1%), Тогучинский (16,7%), Чулымский (15%) и Венгеровский (14,3%) районы.</w:t>
      </w:r>
    </w:p>
    <w:p w14:paraId="3B717605"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архитектурно-строительного проектирования</w:t>
      </w:r>
    </w:p>
    <w:p w14:paraId="0AC963CE"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36,6% (низкий уровень), разброс оценок по муниципальным образованиям максимальный – от 0% до 100%. В небольшом количестве муниципальных образований (4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Колыванский (100%), Маслянинский (100%), Ордынский (77,4%), Доволенский (75%) районы. Низкий уровень удовлетворенности потребителей уровнем цен на данном рынке (менее 50%) наблюдается в 26 МО, наименее удовлетворены уровнем цен потребители в следующих МО: Кыштовский (22,2%), Черепановский (20%), Тогучинский (16%), Татарский (15,5%) и Чулымский (12,5%) районы.</w:t>
      </w:r>
    </w:p>
    <w:p w14:paraId="6B067BF9"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племенного животноводства</w:t>
      </w:r>
    </w:p>
    <w:p w14:paraId="72CEEAC0"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Уровень удовлетворенности потребителей уровнем цен на услуги в среднем по Новосибирской области составляет 39,3% (низкий уровень), разброс оценок по </w:t>
      </w:r>
      <w:r w:rsidRPr="006D4184">
        <w:rPr>
          <w:rFonts w:ascii="Times New Roman" w:hAnsi="Times New Roman" w:cs="Times New Roman"/>
          <w:sz w:val="28"/>
          <w:szCs w:val="28"/>
        </w:rPr>
        <w:lastRenderedPageBreak/>
        <w:t>муниципальным образованиям значительный – от 0% до 89,5%. В небольшом количестве муниципальных образований (5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Северный (89,5%), Здвинский (88,2%) районы, г. Обь (84,6%), Чистоозерный (83,3%) и Болотнинский (78,6%) районы. Низкий уровень удовлетворенности потребителей уровнем цен на данном рынке (менее 50%) наблюдается в 19 МО, наименее удовлетворены уровнем цен потребители в следующих МО: Черепановский (22,2%), Тогучинский (20%), Маслянинский (16,6%), Чулымский (16,7%) районы, г. Бердск (12,5%) и Татарский (6,9%) район.</w:t>
      </w:r>
    </w:p>
    <w:p w14:paraId="0710CC27"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семеноводства</w:t>
      </w:r>
    </w:p>
    <w:p w14:paraId="2A74A626"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46,8% (низкий уровень), разброс оценок по муниципальным образованиям максимальный – от 0% до 100%. В небольшом количестве муниципальных образований (5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р. п. Кольцово (100%), г. Обь (90%), Здвинский (84,6%), Северный (81,8%) и Чистоозерный (81,8%) районы. Низкий уровень удовлетворенности потребителей уровнем цен на данном рынке (менее 50%) наблюдается в 16 МО, наименее удовлетворены уровнем цен потребители в следующих МО: Тогучинский (12,5%), Татарский (10,7%) районы и г. Бердск (9,1%).</w:t>
      </w:r>
    </w:p>
    <w:p w14:paraId="5816B933"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вылова водных биоресурсов</w:t>
      </w:r>
    </w:p>
    <w:p w14:paraId="7ACBB89C"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34,4% (низкий уровень), разброс оценок по муниципальным образованиям максимальный – от 0% до 100%. В небольшом количестве муниципальных образований (7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Северный (100%), Усть-Таркский (100%) районы, г. Обь (88,2%), Здвинский (87,5%) и Мошковский (80%) районы. Низкий уровень удовлетворенности потребителей уровнем цен на данном рынке (менее 50%) наблюдается в 16 МО, наименее удовлетворены уровнем цен потребители в следующих МО: Черепановский (16,7%), Чулымский (16,7%), Татарский (15,8%) районы и г. Бердск (7,1%).</w:t>
      </w:r>
    </w:p>
    <w:p w14:paraId="747625C4"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переработки водных биоресурсов</w:t>
      </w:r>
    </w:p>
    <w:p w14:paraId="7393BC06"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Уровень удовлетворенности потребителей уровнем цен на услуги в среднем по Новосибирской области составляет 33,6% (низкий уровень), разброс оценок по муниципальным образованиям максимальный – от 0% до 100%. В небольшом количестве муниципальных образований (4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Колыванский (100%), Северный (95,2%) районы, г. Обь (89,2%) и Здвинский (86,7%) район. Низкий уровень удовлетворенности потребителей уровнем цен на </w:t>
      </w:r>
      <w:r w:rsidRPr="006D4184">
        <w:rPr>
          <w:rFonts w:ascii="Times New Roman" w:hAnsi="Times New Roman" w:cs="Times New Roman"/>
          <w:sz w:val="28"/>
          <w:szCs w:val="28"/>
        </w:rPr>
        <w:lastRenderedPageBreak/>
        <w:t>данном рынке (менее 50%) наблюдается в 21 МО, наименее удовлетворены уровнем цен потребители в следующих МО: Чановский (22,2%), Тогучинский (21,1%), Черепановский (16,7%) районы, г. Бердск (9,1%) и Татарский район (5,9%).</w:t>
      </w:r>
    </w:p>
    <w:p w14:paraId="05A11AB5"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товарной аквакультуры</w:t>
      </w:r>
    </w:p>
    <w:p w14:paraId="108A5438"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31,4% (низкий уровень), разброс оценок по муниципальным образованиям максимальный – от 0% до 100%. Только в двух муниципальных образованиях зафиксирован высокий уровень удовлетворенности уровнем цен на данном рынке (75% и выше) – в Усть-Таркском (100%) районе и г. Оби (82,4%). Низкий уровень удовлетворенности потребителей уровнем цен на данном рынке (менее 50%) наблюдается в 23 МО, наименее удовлетворены уровнем цен потребители в следующих МО: Венгеровский (16,7%), Черепановский (16,7%), Чулымский (14,3%) районы, г. Бердск (9,1%) и Татарский район (6,3%).</w:t>
      </w:r>
    </w:p>
    <w:p w14:paraId="25CDA03E"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добычи общераспространенных полезных ископаемых на участках недр местного значения</w:t>
      </w:r>
    </w:p>
    <w:p w14:paraId="5C893154"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50,8% (средний уровень), разброс оценок по муниципальным образованиям максимальный – от 0% до 100%. В небольшом количестве муниципальных образований (5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Карасукский (100%), Чистоозерный (88,9%) районы, г. Искитим (84,6%), Болотнинский (83,3%) Ордынский (79,3%) районы. Низкий уровень удовлетворенности потребителей уровнем цен на данном рынке (менее 50%) наблюдается в 20 МО, наименее удовлетворены уровнем цен потребители в следующих МО: Венгеровский (20%), Татарский (13%) и Чулымский (11,1%) районы.</w:t>
      </w:r>
    </w:p>
    <w:p w14:paraId="1636564F"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легкой промышленности</w:t>
      </w:r>
    </w:p>
    <w:p w14:paraId="3D99D2AA"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43,9% (низкий уровень), разброс оценок по муниципальным образованиям максимальный – от 0% до 100%. В небольшом количестве муниципальных образований (4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Здвинский (100%), Колыванский (100%), Маслянинский (100%) и Искитимский (77,8%) районы. Низкий уровень удовлетворенности потребителей уровнем цен на данном рынке (менее 50%) наблюдается в 18 МО, наименее удовлетворены уровнем цен потребители в следующих МО: Убинский (15%), Татарский (12%) и Чулымский (8,3%) районы.</w:t>
      </w:r>
    </w:p>
    <w:p w14:paraId="5133A5EA"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обработки древесины и производства изделий из дерева</w:t>
      </w:r>
    </w:p>
    <w:p w14:paraId="4570D9E6"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Уровень удовлетворенности потребителей уровнем цен на услуги в среднем по Новосибирской области составляет 45,5% (низкий уровень), разброс оценок по муниципальным образованиям значительный – от 15% до 100%. В небольшом </w:t>
      </w:r>
      <w:r w:rsidRPr="006D4184">
        <w:rPr>
          <w:rFonts w:ascii="Times New Roman" w:hAnsi="Times New Roman" w:cs="Times New Roman"/>
          <w:sz w:val="28"/>
          <w:szCs w:val="28"/>
        </w:rPr>
        <w:lastRenderedPageBreak/>
        <w:t>количестве муниципальных образований (6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Чистоозерный (100%), Северный (95,5%), Здвинский (88,9%) районы, г. Обь (82,6%) и г. Искитим (81,8%). Низкий уровень удовлетворенности потребителей уровнем цен на данном рынке (менее 50%) наблюдается в 17 МО, наименее удовлетворены уровнем цен потребители в следующих МО: Чулымский (22,2%), Каргатский (21,4%), Усть-Таркский (18,2%) и Убинский (15%) районы.</w:t>
      </w:r>
    </w:p>
    <w:p w14:paraId="156428DF"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производства кирпича</w:t>
      </w:r>
    </w:p>
    <w:p w14:paraId="3E809E19"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51% (средний уровень), разброс оценок по муниципальным образованиям максимальный – от 0% до 100%. В небольшом количестве муниципальных образований (8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Доволенский (100%), Здвинский (100%), Колыванский (100%), Усть-Таркский (100%) и Ордынский (90%) районы. Низкий уровень удовлетворенности потребителей уровнем цен на данном рынке (менее 50%) наблюдается в 18 МО, наименее удовлетворены уровнем цен потребители в следующих МО: Кыштовский (25,8%), Каргатский (25%), Чановский (22,2%), Маслянинский (19%), Барабинский (18,2%) и Тогучинский (14,3%) районы.</w:t>
      </w:r>
    </w:p>
    <w:p w14:paraId="673DE990"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производства бетона</w:t>
      </w:r>
    </w:p>
    <w:p w14:paraId="4D363A43"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Уровень удовлетворенности потребителей уровнем цен на услуги в среднем по Новосибирской области составляет 52,7% (средний уровень), разброс оценок по муниципальным образованиям максимальный – от 0% до 100%. В небольшом количестве муниципальных образований (8 МО) зафиксирован высокий уровень удовлетворенности ценами на данном рынке (75% и выше). Наибольшая удовлетворенность уровнем цен наблюдается среди потребителей, проживающих в МО: р. п. Кольцово (100,0%), Карасукский (100,0%), Колыванский (100,0%), Мошковский (87,5%), Здвинский (83,3%) районы. Низкий уровень удовлетворенности потребителей уровнем цен на данном рынке (менее 50%) наблюдается в 17 МО, наименее удовлетворены уровнем цен потребители в следующих МО: Тогучинский (25%), Кыштовский (20,7%), Татарский (20%) и Барабинский (16,7%) районы.</w:t>
      </w:r>
    </w:p>
    <w:p w14:paraId="34660D55" w14:textId="77777777" w:rsidR="003F4CFF" w:rsidRPr="00694B49" w:rsidRDefault="003F4CFF" w:rsidP="003F4CFF">
      <w:pPr>
        <w:ind w:firstLine="567"/>
        <w:jc w:val="both"/>
        <w:rPr>
          <w:rFonts w:ascii="Times New Roman" w:hAnsi="Times New Roman" w:cs="Times New Roman"/>
          <w:b/>
          <w:sz w:val="28"/>
          <w:szCs w:val="28"/>
        </w:rPr>
      </w:pPr>
      <w:r w:rsidRPr="001127D6">
        <w:rPr>
          <w:rFonts w:ascii="Times New Roman" w:hAnsi="Times New Roman" w:cs="Times New Roman"/>
          <w:b/>
          <w:sz w:val="28"/>
          <w:szCs w:val="28"/>
        </w:rPr>
        <w:t>Динамика уровня цен услуг за последние 3 года на товарных рынках Новосибирской области</w:t>
      </w:r>
      <w:r>
        <w:rPr>
          <w:rFonts w:ascii="Times New Roman" w:hAnsi="Times New Roman" w:cs="Times New Roman"/>
          <w:b/>
          <w:sz w:val="28"/>
          <w:szCs w:val="28"/>
        </w:rPr>
        <w:t xml:space="preserve">. </w:t>
      </w:r>
      <w:r w:rsidRPr="006D4184">
        <w:rPr>
          <w:rFonts w:ascii="Times New Roman" w:hAnsi="Times New Roman" w:cs="Times New Roman"/>
          <w:sz w:val="28"/>
          <w:szCs w:val="28"/>
        </w:rPr>
        <w:t xml:space="preserve">Большинство опрошенных потребителей (55,9–83,0%) на всех рассматриваемых товарных рынках отмечают повышение уровня цен в течение последних 3 лет. Незначительная доля потребителей (от 3,3% до 10,3%) говорят о снижении цен. Отсутствие изменений в уровне цен отмечают от 12,8% потребителей (на рынке услуг розничной торговли лекарственными препаратами, медицинскими изделиями и сопутствующими товарами) до 37,1% потребителей (на рынке социальных услуг). </w:t>
      </w:r>
    </w:p>
    <w:p w14:paraId="4A1A4C6C"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lastRenderedPageBreak/>
        <w:t xml:space="preserve">Повышение уровня цен чаще всего зафиксировано на следующих товарных рынках (доля отметивших повышение цен более 75%, в порядке убывания доли отметивших повышение цен): </w:t>
      </w:r>
    </w:p>
    <w:p w14:paraId="6DF29D34"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услуг розничной торговли лекарственными препаратами, медицинскими изделиями и сопутствующими товарами (83,0%);</w:t>
      </w:r>
    </w:p>
    <w:p w14:paraId="0F85C928"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купля-продажа электрической энергии (мощности) на розничном рынке электрической энергии (мощности) (82,3%);</w:t>
      </w:r>
    </w:p>
    <w:p w14:paraId="1A82C15A"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теплоснабжение (производство тепловой энергии) (80,9%);</w:t>
      </w:r>
    </w:p>
    <w:p w14:paraId="2540478E"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услуги по сбору и транспортированию твердых коммунальных отходов (80,1%);</w:t>
      </w:r>
    </w:p>
    <w:p w14:paraId="2E05CC5B"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оказание услуг по перевозке пассажиров автомобильным транспортом по муниципальным маршрутам регулярных перевозок (78,4%);</w:t>
      </w:r>
    </w:p>
    <w:p w14:paraId="2F7D9A9F"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жилищное строительство (за исключением Московского фонда реновации жилой застройки и индивидуального жилищного строительства) (77,5%);</w:t>
      </w:r>
    </w:p>
    <w:p w14:paraId="00A19E42"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оказание услуг по перевозке пассажиров автомобильным транспортом по межмуниципальным маршрутам регулярных перевозок (77,3%).</w:t>
      </w:r>
    </w:p>
    <w:p w14:paraId="5340EAF2"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Снижение уровня цен чаще всего отмечено потребителями на следующих товарных рынках (доля отметивших снижение цен более 8,0%):</w:t>
      </w:r>
    </w:p>
    <w:p w14:paraId="7C821CC1"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товарной аквакультуры (10,3%);</w:t>
      </w:r>
    </w:p>
    <w:p w14:paraId="2696116D"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услуги по перевозке пассажиров и багажа легковым такси на территории субъекта Российской Федерации (9,7%);</w:t>
      </w:r>
    </w:p>
    <w:p w14:paraId="66273912"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переработка водных биоресурсов (9,2%);</w:t>
      </w:r>
    </w:p>
    <w:p w14:paraId="09C54368"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производство кирпича (8,5%);</w:t>
      </w:r>
    </w:p>
    <w:p w14:paraId="6FB7946A" w14:textId="77777777" w:rsidR="003F4CFF" w:rsidRPr="006D4184" w:rsidRDefault="003F4CFF" w:rsidP="003F4CFF">
      <w:pPr>
        <w:spacing w:after="160" w:line="259" w:lineRule="auto"/>
        <w:ind w:firstLine="567"/>
        <w:contextualSpacing/>
        <w:jc w:val="both"/>
        <w:rPr>
          <w:rFonts w:ascii="Times New Roman" w:hAnsi="Times New Roman" w:cs="Times New Roman"/>
          <w:sz w:val="28"/>
          <w:szCs w:val="28"/>
        </w:rPr>
      </w:pPr>
      <w:r w:rsidRPr="006D4184">
        <w:rPr>
          <w:rFonts w:ascii="Times New Roman" w:hAnsi="Times New Roman" w:cs="Times New Roman"/>
          <w:sz w:val="28"/>
          <w:szCs w:val="28"/>
        </w:rPr>
        <w:t>семеноводство (8,3%).</w:t>
      </w:r>
    </w:p>
    <w:p w14:paraId="70C5AA14"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дошкольного образования</w:t>
      </w:r>
    </w:p>
    <w:p w14:paraId="6A1ABFF8"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На данном рынке отмечают повышение уровня цен 74,3% потребителей, а неизменность уровня цен – 21,1%. Доля тех, кто отмечает снижение цен, минимальна (4,5%). Чаще других отмечают повышение цен потребители в следующих МО: Маслянинский (93,8%), Мошковский (90,5%), Искитимский (90,0%), Купинский (87,5%), Чистоозерный (86,4%) районы и г. Обь (85,9%). Реже остальных отмечают рост уровня цен на данном рынке потребители в МО: Куйбышевский (34,4%), Северный (33,3%), Убинский (33,3%), Кочковский (32,3%), Коченевский (29,8%), Баганский (29,7%), Ордынский (28,9%), Барабинский (28,0%), Доволенский (27,3%) районы и особенно Здвинский район (3,0%). </w:t>
      </w:r>
    </w:p>
    <w:p w14:paraId="1F436CEE"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общего образования</w:t>
      </w:r>
    </w:p>
    <w:p w14:paraId="78B6A626"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На данном рынке отмечают повышение уровня цен 62,7% потребителей, а неизменность уровня цен – 33,4%. Доля тех, кто отмечает снижение цен, минимальна (3,9%). Чаще других отмечают повышение цен потребители в Чистоозерном (91,7%) районе. Реже остальных отмечают рост уровня цен на данном рынке потребители в МО: Коченевский (29,8%), Ордынский (29,5%), Мошковский (29,4%), Барабинский (27,5%), Убинский (26,7%), Доволенский </w:t>
      </w:r>
      <w:r w:rsidRPr="006D4184">
        <w:rPr>
          <w:rFonts w:ascii="Times New Roman" w:hAnsi="Times New Roman" w:cs="Times New Roman"/>
          <w:sz w:val="28"/>
          <w:szCs w:val="28"/>
        </w:rPr>
        <w:lastRenderedPageBreak/>
        <w:t>(25%), Баганский (23,4%), Куйбышевский (20,7%), Северный (13,9%) районы. Также никто из потребителей не отметил рост уровня цен в Здвинском районе.</w:t>
      </w:r>
    </w:p>
    <w:p w14:paraId="1210E8C8"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среднего профессионального образования</w:t>
      </w:r>
    </w:p>
    <w:p w14:paraId="2DBF0691"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64,8% потребителей, а неизменность уровня цен – 28,9%. Доля тех, кто отмечает снижение цен, минимальна (6,4%). Чаще других отмечают повышение цен потребители в следующих МО: Чистоозерный (88%), Каргатский (85,7%) и Краснозерский (76,9%) районы. Реже остальных отмечают рост уровня цен на данном рынке потребители в МО: Куйбышевский (23,1%), Коченевский (22,2%), Баганский (18%), Ордынский (14,3%), Убинский (10,5%) районы. Также никто из потребителей не отметил рост уровня цен в Здвинском районе.</w:t>
      </w:r>
    </w:p>
    <w:p w14:paraId="146BAE36"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дополнительного образования детей</w:t>
      </w:r>
    </w:p>
    <w:p w14:paraId="020716AD"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70,7% потребителей, а неизменность уровня цен – 24,8%. Доля тех, кто отмечает снижение цен, минимальна (4,5%). Чаще других отмечают повышение цен потребители в следующих МО: Чистоозерный (90,5%) район, г. Бердск (81,8%), г. Новосибирск (80,7%) и р. п. Кольцово (80%). Реже остальных отмечают рост уровня цен на данном рынке потребители в МО: Доволенский (28,6%), Куйбышевский (28,6%), Ордынский (26,3%), Коченевский (25%), Баганский (24,6%), Убинский (21,7%), Барабинский (18,9%), Северный (15,2%) районы. Также никто из потребителей не отметил рост уровня цен в Здвинском районе.</w:t>
      </w:r>
    </w:p>
    <w:p w14:paraId="64FDA225"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детского отдыха и оздоровления</w:t>
      </w:r>
    </w:p>
    <w:p w14:paraId="7142413A"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69,8% потребителей, а неизменность уровня цен – 24,4%. Доля тех, кто отмечает снижение цен, минимальна (5,8%). Чаще других отмечают повышение цен потребители в следующих МО: г. Бердск (82,6%), г. Обь (81%), Чистоозерный (80,8%), Венгеровский (78,6%) районы, г. Новосибирск (78,1%), р. п. Кольцово (76,9%), Маслянинский (76,9%) и Краснозерский (75,7%) районы. Реже остальных отмечают рост уровня цен на данном рынке потребители в МО: Ордынский (25%), Убинский (25%), Куйбышевский (24%), Коченевский (22,2%), Карасукский (21,7%), Баганский (19,7%) районы и особенно Здвинский (10%) и Северный (7,7%) районы.</w:t>
      </w:r>
    </w:p>
    <w:p w14:paraId="15CD5279"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розничной торговли лекарственными препаратами, медицинскими изделиями и сопутствующими товарами</w:t>
      </w:r>
    </w:p>
    <w:p w14:paraId="00E19DF0"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83% потребителей, а неизменность уровня цен – 12,8%. Доля тех, кто отмечает снижение цен, минимальна (4,2%). Чаще других отмечают повышение цен потребители в следующих МО: Убинский (95,4%), Купинский (94,3%), Чистоозерный (94,1%) районы, г. Бердск (93,7%), Болотнинский (93,1%), Венгеровский (92,9%), Мошковский (91,9%) районы и г. Обь (91,4%). Реже остальных отмечают рост уровня цен на данном рынке потребители в МО: Ордынский (43,1%), Сузунский (41,8%), Кочковский (35,3%) и Баганский (30,4%) районы.</w:t>
      </w:r>
    </w:p>
    <w:p w14:paraId="6A74B995"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психолого-педагогического сопровождения детей с ограниченными возможностями здоровья</w:t>
      </w:r>
    </w:p>
    <w:p w14:paraId="1B006837"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lastRenderedPageBreak/>
        <w:t>На данном рынке отмечают повышение уровня цен 59,5% потребителей, а неизменность уровня цен – 32,9%. Доля тех, кто отмечает снижение цен, минимальна (7,6%). Чаще других отмечают повышение цен потребители в следующих МО: р. п. Кольцово (100%) и Болотнинский (100%) район. Реже остальных отмечают рост уровня цен на данном рынке потребители в МО: Карасукский (22,7%), Баганский (22%), Куйбышевский (20%), Колыванский (16,7%) районы и особенно Доволенский (5,3%) район. Также никто из потребителей не отметил рост уровня цен в Здвинском районе.</w:t>
      </w:r>
    </w:p>
    <w:p w14:paraId="79AAD82C"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социальных услуг</w:t>
      </w:r>
    </w:p>
    <w:p w14:paraId="2A341A27"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55,9% потребителей, а неизменность уровня цен – 37,1%. Доля тех, кто отмечает снижение цен, минимальна (7,10%). Чаще других отмечают повышение цен потребители в следующих МО: Новосибирский (75%) и Купинский (74,1%) районы. Реже остальных отмечают рост уровня цен на данном рынке потребители в МО: Барабинский (35,7%), Чановский (35,7%), Сузунский (35,2%), Куйбышевский (34,8%), Черепановский (34,8%), Венгеровский (33,3%), Кыштовский (32,7%), Кочковский (31,3%), Убинский (30,8%), Ордынский (30,4%), Усть-Таркский (29,6%), Северный (28,6%), Колыванский (25%), Баганский (24,2%) и Здвинский (16,7%) районы.</w:t>
      </w:r>
    </w:p>
    <w:p w14:paraId="2BDC21E9"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теплоснабжения (производство тепловой энергии)</w:t>
      </w:r>
    </w:p>
    <w:p w14:paraId="370DB605"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80,9% потребителей, а неизменность уровня цен – 15,1%. Доля тех, кто отмечает снижение цен, минимальна (4%). Чаще других отмечают повышение цен потребители в следующих МО: Болотнинский (95,5%), Венгеровский (95,1%), Купинский (92%), Мошковский (91,3%), Черепановский (91,2%) районы. Реже остальных отмечают рост уровня цен на данном рынке потребители в МО: Усть-Таркский (38,3%), Кочковский (37,1%), Баганский (29,2%), Ордынский (25%) и Сузунский (23,6%) районы.</w:t>
      </w:r>
    </w:p>
    <w:p w14:paraId="240CB782"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услуг по сбору и транспортированию твердых коммунальных отходов</w:t>
      </w:r>
    </w:p>
    <w:p w14:paraId="16E8B9F7"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80,1% потребителей, а неизменность уровня цен – 13,5%. Доля тех, кто отмечает снижение цен, минимальна (6,4%). Чаще других отмечают повышение цен потребители в следующих МО: Венгеровский (98,4%) район, г. Бердск (90,2%), Чистоозерный (87,8%), Новосибирский (87,7%) районы, г. Новосибирск (85,6%) и Краснозерский (85,2%) район. Реже остальных отмечают рост уровня цен на данном рынке потребители в МО: Северный (38,1%), Кочковский (37,1%), Ордынский (31,6%) и Баганский (30,3%) районы.</w:t>
      </w:r>
    </w:p>
    <w:p w14:paraId="7932F3FF" w14:textId="77777777" w:rsidR="003F4CFF" w:rsidRPr="006D4184" w:rsidRDefault="003F4CFF" w:rsidP="003F4CFF">
      <w:pPr>
        <w:ind w:firstLine="567"/>
        <w:jc w:val="both"/>
        <w:rPr>
          <w:rFonts w:ascii="Times New Roman" w:hAnsi="Times New Roman" w:cs="Times New Roman"/>
          <w:sz w:val="28"/>
          <w:szCs w:val="28"/>
          <w:u w:val="single"/>
        </w:rPr>
      </w:pPr>
      <w:r w:rsidRPr="006D4184">
        <w:rPr>
          <w:rFonts w:ascii="Times New Roman" w:hAnsi="Times New Roman" w:cs="Times New Roman"/>
          <w:b/>
          <w:sz w:val="28"/>
          <w:szCs w:val="28"/>
        </w:rPr>
        <w:t>Рынок выполнения работ по благоустройству городской среды</w:t>
      </w:r>
    </w:p>
    <w:p w14:paraId="32C7717A"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На данном рынке отмечают повышение уровня цен 64,7% потребителей, а неизменность уровня цен – 29,5%. Доля тех, кто отмечает снижение цен, минимальна (5,8%). Чаще других отмечают повышение цен потребители в Купинском (100%) районе. Реже остальных отмечают рост уровня цен на данном рынке потребители в МО: Колыванский (31,7%), Барабинский (30,6%), Ордынский </w:t>
      </w:r>
      <w:r w:rsidRPr="006D4184">
        <w:rPr>
          <w:rFonts w:ascii="Times New Roman" w:hAnsi="Times New Roman" w:cs="Times New Roman"/>
          <w:sz w:val="28"/>
          <w:szCs w:val="28"/>
        </w:rPr>
        <w:lastRenderedPageBreak/>
        <w:t>(28,6%), Коченевский (25,9%), Баганский (25,4%), Северный (19,5%) и Здвинский (8,8%) районы.</w:t>
      </w:r>
    </w:p>
    <w:p w14:paraId="28592845"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выполнения работ по содержанию и текущему ремонту общего имущества собственников помещений в многоквартирном доме</w:t>
      </w:r>
    </w:p>
    <w:p w14:paraId="7F6A9576"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73,6% потребителей, а неизменность уровня цен – 21,8%. Доля тех, кто отмечает снижение цен, минимальна (4,6%). Чаще других отмечают повышение цен потребители в следующих МО: Купинский (90%), Мошковский (89,5%), Искитимский (87,9%) районы, г. Бердск (87,5%), Венгеровский (87,5%) и Маслянинский (85,7%) районы. Реже остальных отмечают рост уровня цен на данном рынке потребители в МО: Сузунский (29,1%), Баганский (25,8%), Ордынский (24,6%), Северный (20%) и Здвинский (9,1%) районы.</w:t>
      </w:r>
    </w:p>
    <w:p w14:paraId="36F4CB20"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поставки сжиженного газа в баллонах</w:t>
      </w:r>
    </w:p>
    <w:p w14:paraId="68215CD2"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68,1% потребителей, а неизменность уровня цен – 26,4%. Доля тех, кто отмечает снижение цен, минимальна (5,5%). Чаще других отмечают повышение цен потребители в Венгеровском (98,5%) и Мошковском (94,9%) районах. Реже остальных отмечают рост уровня цен на данном рынке потребители в МО: Сузунский (27,7%), Баганский (24,6%) районы. Также никто из потребителей не отметил рост уровня цен в р. п. Кольцово.</w:t>
      </w:r>
    </w:p>
    <w:p w14:paraId="62F2C817"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купли-продажи электрической энергии (мощности) на розничном рынке электрической энергии (мощности)</w:t>
      </w:r>
    </w:p>
    <w:p w14:paraId="16F31876"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82,3% потребителей, а неизменность уровня цен – 14,5%. Доля тех, кто отмечает снижение цен, минимальна (3,3%). Чаще других отмечают повышение цен потребители в следующих МО: Венгеровский (100%), Мошковский (95,6%), Искитимский (95,3%), Купинский (94,3%), Черепановский (93,5%), Карасукский (92,9%) и Маслянинский (92,6%) районы. Реже остальных отмечают рост уровня цен на данном рынке потребители в МО: Кочковский (37,1%), Сузунский (35,1%), Баганский (29%) и Ордынский (22,4%) районы.</w:t>
      </w:r>
    </w:p>
    <w:p w14:paraId="06FE353F" w14:textId="77777777" w:rsidR="003F4CFF" w:rsidRPr="006D4184" w:rsidRDefault="003F4CFF" w:rsidP="003F4CFF">
      <w:pPr>
        <w:ind w:firstLine="567"/>
        <w:jc w:val="both"/>
        <w:rPr>
          <w:rFonts w:ascii="Times New Roman" w:hAnsi="Times New Roman" w:cs="Times New Roman"/>
          <w:sz w:val="28"/>
          <w:szCs w:val="28"/>
          <w:u w:val="single"/>
        </w:rPr>
      </w:pPr>
      <w:r w:rsidRPr="006D4184">
        <w:rPr>
          <w:rFonts w:ascii="Times New Roman" w:hAnsi="Times New Roman" w:cs="Times New Roman"/>
          <w:b/>
          <w:sz w:val="28"/>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14:paraId="614D6536"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69,5% потребителей, а неизменность уровня цен – 26,5%. Доля тех, кто отмечает снижение цен, минимальна (4%). Чаще других отмечают повышение цен потребители в следующих МО: Купинский (100%), Маслянинский (88,9%), Краснозерский (87,3%), Черепановский (82,8%) и Колыванский (81,7%) районы. Реже остальных отмечают рост уровня цен на данном рынке потребители в МО: Сузунский (29,2%), Баганский (23,1%), Северный (22,2%) и Ордынский (21,2%) районы.</w:t>
      </w:r>
    </w:p>
    <w:p w14:paraId="7130B2B7"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оказания услуг по перевозке пассажиров автомобильным транспортом по муниципальным маршрутам регулярных перевозок</w:t>
      </w:r>
    </w:p>
    <w:p w14:paraId="7444F81C"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На данном рынке отмечают повышение уровня цен 78,4% потребителей, а неизменность уровня цен – 18,4%. Доля тех, кто отмечает снижение цен, </w:t>
      </w:r>
      <w:r w:rsidRPr="006D4184">
        <w:rPr>
          <w:rFonts w:ascii="Times New Roman" w:hAnsi="Times New Roman" w:cs="Times New Roman"/>
          <w:sz w:val="28"/>
          <w:szCs w:val="28"/>
        </w:rPr>
        <w:lastRenderedPageBreak/>
        <w:t>минимальна (3,3%). Чаще других отмечают повышение цен потребители в следующих МО: Карасукский (90,7%), Новосибирский (90,2%), Болотнинский (89,3%), Убинский (87,3%), Венгеровский (86,5%) и Маслянинский (86,2%) районы. Реже остальных отмечают рост уровня цен на данном рынке потребители в МО: Сузунский (42,1%), Барабинский (41,5%), Коченевский (40%), Кочковский (37,1%), Северный (33,3%), Усть-Таркский (32,8%), Баганский (23,5%) и Ордынский (14,3%) районы.</w:t>
      </w:r>
    </w:p>
    <w:p w14:paraId="14EF3E17"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оказания услуг по перевозке пассажиров автомобильным транспортом по межмуниципальным маршрутам регулярных перевозок</w:t>
      </w:r>
    </w:p>
    <w:p w14:paraId="392DABD5"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77,3% потребителей, а неизменность уровня цен – 19,3%. Доля тех, кто отмечает снижение цен, минимальна (3,4%). Чаще других отмечают повышение цен потребители в следующих МО: Венгеровский (100%), Купинский (92%), Карасукский (90,7%) и Искитимский (90,6%) районы. Реже остальных отмечают рост уровня цен на данном рынке потребители в МО: Коченевский (40%), Северный (39,6%), Усть-Таркский (39,6%), Сузунский (39,3%), Барабинский (37,1%), Кочковский (37,1%), Здвинский (33,9%), Баганский (23,9%) и Ордынский (17,2%) районы.</w:t>
      </w:r>
    </w:p>
    <w:p w14:paraId="2825DC0D"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оказания услуг по перевозке пассажиров и багажа легковым такси на территории субъекта Российской Федерации</w:t>
      </w:r>
    </w:p>
    <w:p w14:paraId="4F77B81D"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 На данном рынке отмечают повышение уровня цен 68,9% потребителей, а неизменность уровня цен – 21,4%. Доля тех, кто отмечает снижение цен, составляет 9,7%. Чаще других отмечают повышение цен потребители в следующих МО: Венгеровский (100%), Купинский (96,3%), Убинский (93,2%), Карасукский (91,9%), Болотнинский (90,9%), Чистоозерный (89,6%) и Искитимский (88,1%) районы. Реже остальных отмечают рост уровня цен на данном рынке потребители в МО: Сузунский (39,6%), Барабинский (39,5%), Северный (39,5%), Кочковский (37,1%), Баганский (36,4%) районы и особенно Ордынский район (7,7%).</w:t>
      </w:r>
    </w:p>
    <w:p w14:paraId="3EDEFEC3"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b/>
          <w:sz w:val="28"/>
          <w:szCs w:val="28"/>
        </w:rPr>
        <w:t>Рынок услуг связи, в том числе услуг по предоставлению широкополосного доступа к информационно-телекоммуникационной сети «Интернет».</w:t>
      </w:r>
      <w:r w:rsidRPr="006D4184">
        <w:rPr>
          <w:rFonts w:ascii="Times New Roman" w:hAnsi="Times New Roman" w:cs="Times New Roman"/>
          <w:sz w:val="28"/>
          <w:szCs w:val="28"/>
        </w:rPr>
        <w:t xml:space="preserve"> На данном рынке отмечают повышение уровня цен 71,1% потребителей, а неизменность уровня цен – 23,3%. Доля тех, кто отмечает снижение цен, минимальна (5,7%). Чаще других отмечают повышение цен потребители в следующих МО: Убинский (92,6%), Венгеровский (91,75) и Чистоозерный (91,2%) районы. Реже остальных отмечают рост уровня цен на данном рынке потребители в МО: Северный (38%), Баганский (37,7%), Кочковский (37,1%), Сузунский (31,4%), Здвинский (27,6%) и Ордынский (24,6%) районы.</w:t>
      </w:r>
    </w:p>
    <w:p w14:paraId="0BE04A99"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b/>
          <w:sz w:val="28"/>
          <w:szCs w:val="28"/>
        </w:rPr>
        <w:t>Рынок жилищного строительства (за исключением Московского фонда реновации жилой застройки и индивидуального жилищного строительства).</w:t>
      </w:r>
      <w:r w:rsidRPr="006D4184">
        <w:rPr>
          <w:rFonts w:ascii="Times New Roman" w:hAnsi="Times New Roman" w:cs="Times New Roman"/>
          <w:sz w:val="28"/>
          <w:szCs w:val="28"/>
        </w:rPr>
        <w:t xml:space="preserve"> На данном рынке отмечают повышение уровня цен 77,5% потребителей, а неизменность уровня цен – 17,5%. Доля тех, кто отмечает снижение цен, минимальна (5%). Чаще других отмечают повышение цен потребители в следующих МО: Искитимский (100%), Купинский (100%) и Мошковский (100%) районы. Реже остальных отмечают рост уровня цен на данном рынке потребители </w:t>
      </w:r>
      <w:r w:rsidRPr="006D4184">
        <w:rPr>
          <w:rFonts w:ascii="Times New Roman" w:hAnsi="Times New Roman" w:cs="Times New Roman"/>
          <w:sz w:val="28"/>
          <w:szCs w:val="28"/>
        </w:rPr>
        <w:lastRenderedPageBreak/>
        <w:t>в МО: Северный (32%), Колыванский (30,8%), Сузунский (29,3%), Маслянинский (28,6%), Ордынский (25,9%) и Баганский (25,4%) районы.</w:t>
      </w:r>
    </w:p>
    <w:p w14:paraId="369A7532"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строительства объектов капитального строительства, за исключением жилищного и дорожного строительства</w:t>
      </w:r>
    </w:p>
    <w:p w14:paraId="5E8EE00B"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68,2% потребителей, а неизменность уровня цен – 24,9%. Доля тех, кто отмечает снижение цен, минимальна (6,8%). Чаще других отмечают повышение цен потребители в следующих МО: Искитимский (100%), Каргатский (100%), Купинский (100%), Мошковский (100%) и Венгеровский (88,9%) районы. Реже остальных отмечают рост уровня цен на данном рынке потребители в МО: Татарский (30,3%), Доволенский (28,6%), Здвинский (27,3%), Усть-Таркский (26,8%), Сузунский (25,6%), Баганский (23,1%), Ордынский (16%), Северный (12,5%) районы. Также никто из потребителей не отметил рост уровня цен в Маслянинском районе.</w:t>
      </w:r>
    </w:p>
    <w:p w14:paraId="2A3600E1"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дорожной деятельности (за исключением проектирования)</w:t>
      </w:r>
    </w:p>
    <w:p w14:paraId="74CC8D61"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67% потребителей, а неизменность уровня цен – 26,4%. Доля тех, кто отмечает снижение цен, минимальна (6,6%). Чаще других отмечают повышение цен потребители в следующих МО: Болотнинский (100%), Искитимский (100%), Мошковский (100%), Венгеровский (88%) и Каргатский (85,7%) районы. Реже остальных отмечают рост уровня цен на данном рынке потребители в МО: р. п. Кольцово (28,6%), Баганский (26,2%), Доволенский (25%), Усть-Таркский (25%), Здвинский (21,1%), Колыванский (20%) и Ордынский (16%) районы.</w:t>
      </w:r>
    </w:p>
    <w:p w14:paraId="6658B3AD"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архитектурно-строительного проектирования</w:t>
      </w:r>
    </w:p>
    <w:p w14:paraId="73F1F459"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59,1% потребителей, а неизменность уровня цен – 33,7%. Доля тех, кто отмечает снижение цен, минимальна (7,2%). Чаще других отмечают повышение цен потребители в следующих МО: р. п. Кольцово (100%), Болотнинский (100%), Венгеровский (100%), Искитимский (100%), Мошковский (100%) районы и г. Бердск (80%). Реже остальных отмечают рост уровня цен на данном рынке потребители в МО: Маслянинский (28,6%), Сузунский (27,8%), Доволенский (27,3%), Баганский (23%), Ордынский (16,3%) районы. Также никто из потребителей не отметил рост уровня цен в Здвинском, Колыванском и Убинском районах.</w:t>
      </w:r>
    </w:p>
    <w:p w14:paraId="2437E7E1"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племенного животноводства</w:t>
      </w:r>
    </w:p>
    <w:p w14:paraId="0FC76BCC"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66% потребителей, а неизменность уровня цен – 26,1%. Доля тех, кто отмечает снижение цен, минимальна (8%). Чаще других отмечают повышение цен потребители в следующих МО: р. п. Кольцово (100%), Искитимский (100%) районы, г. Бердск (90%), Болотнинский (88,2%), Каргатский (85,7%), Купинский (85,7) и Чистоозерный (85,1%) районы. Реже остальных отмечают рост уровня цен на данном рынке потребители в МО: Сузунский (27,8%), Баганский (23,8%), Колыванский (20%), Ордынский (18,5%), Здвинский (18,2%) районы и особенно Северный район (9,5%). Также никто из потребителей не отметил рост уровня цен в Доволенском районе.</w:t>
      </w:r>
    </w:p>
    <w:p w14:paraId="707F2867" w14:textId="77777777" w:rsidR="003F4CFF" w:rsidRPr="006D4184" w:rsidRDefault="003F4CFF" w:rsidP="003F4CFF">
      <w:pPr>
        <w:ind w:firstLine="567"/>
        <w:jc w:val="both"/>
        <w:rPr>
          <w:rFonts w:ascii="Times New Roman" w:hAnsi="Times New Roman" w:cs="Times New Roman"/>
          <w:sz w:val="28"/>
          <w:szCs w:val="28"/>
          <w:u w:val="single"/>
        </w:rPr>
      </w:pPr>
      <w:r w:rsidRPr="006D4184">
        <w:rPr>
          <w:rFonts w:ascii="Times New Roman" w:hAnsi="Times New Roman" w:cs="Times New Roman"/>
          <w:b/>
          <w:sz w:val="28"/>
          <w:szCs w:val="28"/>
        </w:rPr>
        <w:t>Рынок семеноводства</w:t>
      </w:r>
    </w:p>
    <w:p w14:paraId="593DF991"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lastRenderedPageBreak/>
        <w:t>На данном рынке отмечают повышение уровня цен 61,8% потребителей, а неизменность уровня цен – 29,9%. Доля тех, кто отмечает снижение цен, составляет 8,3%. Чаще других отмечают повышение цен потребители в следующих МО: р. п. Кольцово (100%), Искитимский (100%), Купинский (88,9%), Чистоозерный (86,3%) и Мошковский (84,6%) районы. Реже остальных отмечают рост уровня цен на данном рынке потребители в МО: Сузунский (26,5%), Ордынский (25,5%), Баганский (23,8%), Коченевский (18,2%) районы и особенно Северный (9,1%) район. Также никто из потребителей не отметил рост уровня цен в Доволенском и Колыванском районах.</w:t>
      </w:r>
    </w:p>
    <w:p w14:paraId="399C1D26"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вылова водных биоресурсов</w:t>
      </w:r>
    </w:p>
    <w:p w14:paraId="3516FCBE"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На данном рынке отмечают повышение уровня цен 63,9% потребителей, а неизменность уровня цен – 30%. Доля тех, кто отмечает снижение цен, минимальна (6,1%). Чаще других отмечают повышение цен потребители в следующих МО: Болотнинский (100%) и Купинский (76,5%) районы. Реже остальных отмечают рост уровня цен на данном рынке потребители в МО: Баганский (25,4%), Ордынский (16,3%) районы и особенно Здвинский (6,7%) район. Также никто из потребителей не отметил рост уровня цен в р. п. Кольцово, Доволенском, Колыванском и Северном районах. </w:t>
      </w:r>
    </w:p>
    <w:p w14:paraId="4DEAD8DE"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переработки водных биоресурсов</w:t>
      </w:r>
    </w:p>
    <w:p w14:paraId="458EA04E"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63,4% потребителей, а неизменность уровня цен – 27,4%. Доля тех, кто отмечает снижение цен, составляет 9,2%. Чаще других отмечают повышение цен потребители в следующих МО: р. п. Кольцово (100%), Болотнинский (100%), Искитимский (100%), Каргатский (100%) и Купинский (83,3%) районы. Реже остальных отмечают рост уровня цен на данном рынке потребители в МО: Мошковский (20%), Баганский (19,3%), Усть-Таркский (13%) районы и особенно Здвинский (7,1%) район. Также никто из потребителей не отметил рост уровня цен в Доволенском, Колыванском и Северном районах.</w:t>
      </w:r>
    </w:p>
    <w:p w14:paraId="0BA89A25"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b/>
          <w:sz w:val="28"/>
          <w:szCs w:val="28"/>
        </w:rPr>
        <w:t>Рынок товарной аквакультуры</w:t>
      </w:r>
      <w:r w:rsidRPr="006D4184">
        <w:rPr>
          <w:rFonts w:ascii="Times New Roman" w:hAnsi="Times New Roman" w:cs="Times New Roman"/>
          <w:sz w:val="28"/>
          <w:szCs w:val="28"/>
        </w:rPr>
        <w:t xml:space="preserve"> </w:t>
      </w:r>
    </w:p>
    <w:p w14:paraId="5E2E2DB2"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62,4% потребителей, а неизменность уровня цен – 27,3%. Доля тех, кто отмечает снижение цен, составляет 10,3%. Чаще других отмечают повышение цен потребители в следующих МО: Болотнинский (100%) и Искитимский (100%) районы. Реже остальных отмечают рост уровня цен на данном рынке потребители в МО: Баганский (21,1%), Усть-Таркский (13,6%) районы и особенно Ордынский (9,8%) район. Также никто из потребителей не отметил рост уровня цен в р. п. Кольцово, Доволенском, Колыванском и Северном районах.</w:t>
      </w:r>
    </w:p>
    <w:p w14:paraId="2C9BDE9B"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b/>
          <w:sz w:val="28"/>
          <w:szCs w:val="28"/>
        </w:rPr>
        <w:t>Рынок добычи общераспространенных полезных ископаемых на участках недр местного значения</w:t>
      </w:r>
      <w:r w:rsidRPr="006D4184">
        <w:rPr>
          <w:rFonts w:ascii="Times New Roman" w:hAnsi="Times New Roman" w:cs="Times New Roman"/>
          <w:sz w:val="28"/>
          <w:szCs w:val="28"/>
        </w:rPr>
        <w:t xml:space="preserve"> </w:t>
      </w:r>
    </w:p>
    <w:p w14:paraId="72B7AB16"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На данном рынке отмечают повышение уровня цен 64% потребителей, а неизменность уровня цен – 28,7%. Доля тех, кто отмечает снижение цен, минимальна (7,3%). Чаще других отмечают повышение цен потребители в следующих МО: р. п. Кольцово (100%), Искитимский (100%) и Мошковский (86,7) районы. Реже остальных отмечают рост уровня цен на данном рынке потребители в МО: Здвинский (28,6%), Коченевский (28%), Ордынский (26,2%), Баганский </w:t>
      </w:r>
      <w:r w:rsidRPr="006D4184">
        <w:rPr>
          <w:rFonts w:ascii="Times New Roman" w:hAnsi="Times New Roman" w:cs="Times New Roman"/>
          <w:sz w:val="28"/>
          <w:szCs w:val="28"/>
        </w:rPr>
        <w:lastRenderedPageBreak/>
        <w:t>(20,7%), Доволенский (12,5%) районы и особенно Усть-Таркский (9,5%) район. Также никто из потребителей не отметил рост уровня цен в Северном районе.</w:t>
      </w:r>
    </w:p>
    <w:p w14:paraId="0B2B4F79"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легкой промышленности</w:t>
      </w:r>
    </w:p>
    <w:p w14:paraId="17949EC4"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72% потребителей, а неизменность уровня цен – 20,7%. Доля тех, кто отмечает снижение цен, минимальна (7,3%). Чаще других отмечают повышение цен потребители в следующих МО: р. п. Кольцово (100%), Искитимский (100%) район и г. Обь (90,4). Реже остальных отмечают рост уровня цен на данном рынке потребители в МО: Доволенский (25%), Куйбышевский (22,2%), Сузунский (21,9%), Баганский (21,7%), Усть-Таркский (19%), Ордынский (17%) районы. Также никто из потребителей не отметил рост уровня цен в Здвинском и Северном районах.</w:t>
      </w:r>
    </w:p>
    <w:p w14:paraId="3B9B7575" w14:textId="77777777" w:rsidR="003F4CFF" w:rsidRPr="006D4184" w:rsidRDefault="003F4CFF" w:rsidP="003F4CFF">
      <w:pPr>
        <w:ind w:firstLine="567"/>
        <w:jc w:val="both"/>
        <w:rPr>
          <w:rFonts w:ascii="Times New Roman" w:hAnsi="Times New Roman" w:cs="Times New Roman"/>
          <w:sz w:val="28"/>
          <w:szCs w:val="28"/>
          <w:u w:val="single"/>
        </w:rPr>
      </w:pPr>
      <w:r w:rsidRPr="006D4184">
        <w:rPr>
          <w:rFonts w:ascii="Times New Roman" w:hAnsi="Times New Roman" w:cs="Times New Roman"/>
          <w:b/>
          <w:sz w:val="28"/>
          <w:szCs w:val="28"/>
        </w:rPr>
        <w:t>Рынок обработки древесины и производства изделий из дерева</w:t>
      </w:r>
    </w:p>
    <w:p w14:paraId="55F5E271"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69,5% потребителей, а неизменность уровня цен – 23,7%. Доля тех, кто отмечает снижение цен, минимальна (6,9%). Чаще других отмечают повышение цен потребители в следующих МО: р. п. Кольцово (100%), Искитимский (100%), Мошковский (95,3%) и Купинский (95%) районы. Реже остальных отмечают рост уровня цен на данном рынке потребители в МО: Ордынский (20%), Баганский (18,6%), Усть-Таркский (15,8%) районы. Также никто из потребителей не отметил рост уровня цен в Здвинском и Северном районах.</w:t>
      </w:r>
    </w:p>
    <w:p w14:paraId="54FCFA31"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производства кирпича</w:t>
      </w:r>
    </w:p>
    <w:p w14:paraId="08170E49"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64,8% потребителей, а неизменность уровня цен – 26,7%. Доля тех, кто отмечает снижение цен, составляет 8,5%. Чаще других отмечают повышение цен потребители в следующих МО: р. п. Кольцово (100%), Искитимский (100%), Каргатский (100%), Купинский (100%) и Маслянинский (95%) районы. Реже остальных отмечают рост уровня цен на данном рынке потребители в МО: Ордынский (20%), Баганский (18,6%), Коченевский (18,2%), Усть-Таркский (14,8%) районы. Также никто из потребителей не отметил рост уровня цен в Доволенском, Здвинском и Северном районах.</w:t>
      </w:r>
    </w:p>
    <w:p w14:paraId="778BA9E2" w14:textId="77777777" w:rsidR="003F4CFF" w:rsidRPr="006D4184"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Рынок производства бетона</w:t>
      </w:r>
    </w:p>
    <w:p w14:paraId="4401391D"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На данном рынке отмечают повышение уровня цен 66,1% потребителей, а неизменность уровня цен – 26,8%. Доля тех, кто отмечает снижение цен, минимальна (7,1%). Чаще других отмечают повышение цен потребители в следующих МО: Каргатский (100%), Купинский (100%), Маслянинский (85,7%), Чановский (83,3%) районы и г. Бердск (82,6%). Реже остальных отмечают рост уровня цен на данном рынке потребители в МО: Ордынский (20%), Сузунский (25,8%), Баганский (18,6%), Коченевский (18,2%) районы и особенно Усть-Таркский (8%) район. Также никто из потребителей не отметил рост уровня цен в р. п. Кольцово, Доволенском, Здвинском и Северном районах.</w:t>
      </w:r>
    </w:p>
    <w:p w14:paraId="7DF8EAAB" w14:textId="77777777" w:rsidR="003F4CFF"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b/>
          <w:sz w:val="28"/>
          <w:szCs w:val="28"/>
        </w:rPr>
        <w:t>Удовлетворенность потребителей качеством товаров, работ и услуг на товарных рынках Новосибирской области</w:t>
      </w:r>
      <w:r>
        <w:rPr>
          <w:rFonts w:ascii="Times New Roman" w:hAnsi="Times New Roman" w:cs="Times New Roman"/>
          <w:b/>
          <w:sz w:val="28"/>
          <w:szCs w:val="28"/>
        </w:rPr>
        <w:t xml:space="preserve">. </w:t>
      </w:r>
      <w:r w:rsidRPr="006D4184">
        <w:rPr>
          <w:rFonts w:ascii="Times New Roman" w:hAnsi="Times New Roman" w:cs="Times New Roman"/>
          <w:sz w:val="28"/>
          <w:szCs w:val="28"/>
        </w:rPr>
        <w:t xml:space="preserve">Удовлетворенность потребителей качеством товаров, работ и услуг на товарных рынках Новосибирской области варьируется от 25,5% до 76,0% и на подавляющем большинстве рынков превышает удовлетворенность потребителей уровнем цен. Исключение составляют только </w:t>
      </w:r>
      <w:r w:rsidRPr="006D4184">
        <w:rPr>
          <w:rFonts w:ascii="Times New Roman" w:hAnsi="Times New Roman" w:cs="Times New Roman"/>
          <w:sz w:val="28"/>
          <w:szCs w:val="28"/>
        </w:rPr>
        <w:lastRenderedPageBreak/>
        <w:t>рынок услуг общего образования и рынок оказания услуг по перевозке пассажиров автомобильным транспортом по муниципальным маршрутам регулярных перевозок, на которых удовлетворенность качеством услуг несколько ниже, чем</w:t>
      </w:r>
      <w:r>
        <w:rPr>
          <w:rFonts w:ascii="Times New Roman" w:hAnsi="Times New Roman" w:cs="Times New Roman"/>
          <w:sz w:val="28"/>
          <w:szCs w:val="28"/>
        </w:rPr>
        <w:t xml:space="preserve"> удовлетворенность уровнем цен</w:t>
      </w:r>
      <w:r w:rsidRPr="006D4184">
        <w:rPr>
          <w:rFonts w:ascii="Times New Roman" w:hAnsi="Times New Roman" w:cs="Times New Roman"/>
          <w:sz w:val="28"/>
          <w:szCs w:val="28"/>
        </w:rPr>
        <w:t xml:space="preserve">. </w:t>
      </w:r>
    </w:p>
    <w:p w14:paraId="514F99DB" w14:textId="77777777" w:rsidR="003F4CFF" w:rsidRPr="00694B49" w:rsidRDefault="003F4CFF" w:rsidP="003F4CFF">
      <w:pPr>
        <w:ind w:firstLine="567"/>
        <w:jc w:val="both"/>
        <w:rPr>
          <w:rFonts w:ascii="Times New Roman" w:hAnsi="Times New Roman" w:cs="Times New Roman"/>
          <w:b/>
          <w:sz w:val="28"/>
          <w:szCs w:val="28"/>
        </w:rPr>
      </w:pPr>
      <w:r w:rsidRPr="006D4184">
        <w:rPr>
          <w:rFonts w:ascii="Times New Roman" w:hAnsi="Times New Roman" w:cs="Times New Roman"/>
          <w:sz w:val="28"/>
          <w:szCs w:val="28"/>
        </w:rPr>
        <w:t xml:space="preserve">Высокий уровень удовлетворенности качеством услуг (75% и выше) зафиксирован только на рынке услуг розничной торговли лекарственными препаратами, медицинскими изделиями и сопутствующими товарами (76,0%). На 19 из 33 товарных рынков отмечается средний уровень удовлетворенности качеством услуг (от 50,6% до 72,3%); несколько выше он на следующих рынках: услуг связи, в том числе услуг по предоставлению широкополосного доступа к информационно-телекоммуникационной сети «Интернет» (72,3%), услуги по перевозке пассажиров и багажа легковым такси на территории субъекта Российской Федерации (71,3%), поставка сжиженного газа в баллонах (70,1%), купли-продажи электрической энергии (мощности) на розничном рынке электрической энергии (мощности) (69,2%). На 13 товарных рынках зафиксирован низкий уровень удовлетворенности потребителей качеством услуг (менее 50%). </w:t>
      </w:r>
    </w:p>
    <w:p w14:paraId="75CE4A96"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Удовлетворенность потребителей уровнем цен на исследуемых товарных рынках Новосибирской области варьируется от 24,6% до 68,0%. Высокий уровень удовлетворенности ценами (75% и выше) не зафиксирован ни на одном рынке, средний уровень удовлетворенности (от 50,8% до 68,0%) наблюдается на 10 из 33 исследуемых товарных рынков. Более высокий уровень удовлетворенности ценами отмечается на рынках транспортных услуг: услуги по перевозке пассажиров и багажа легковым такси на территории субъекта Российской Федерации (68,0%), рынок оказания услуг по перевозке пассажиров автомобильным транспортом по муниципальным маршрутам регулярных перевозок (60,1%), оказание услуг по перевозке пассажиров автомобильным транспортом по межмуниципальным маршрутам регулярных перевозок (56,3%), а также на рынке услуг связи, в том числе услуг по предоставлению широкополосного доступа к информационно-телекоммуникационной сети «Интернет» (63,3%), и рынке поставки сжиженного газа в баллонах (59,0%). На 23 товарных рынках отмечается низкий уровень удовлетворенности потребителей уровнем цен (менее 50%). </w:t>
      </w:r>
    </w:p>
    <w:p w14:paraId="06104924"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Наиболее низкая удовлетворенность как качеством услуг, так и уровнем цен зафиксирована на рынке дорожного строительства (исключая проектирование): удовлетворенность качеством выражают только 25,5% потребителей, а удовлетворенность ценами – 24,6% потребителей, что свидетельствует о слабом развитии конкуренции на данном рынке. </w:t>
      </w:r>
    </w:p>
    <w:p w14:paraId="39D2AC3E"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При оценке динамики качества товаров, услуг на товарных рынках Новосибирской области преобладает мнение об отсутствии изменений качества за последние 3 года (так считают 51,0–75,4% потребителей на различных рынках). При этом мнения о снижении качества (13,2–30,2%) несколько более распространены, чем мнения о его повышении (10,7–28,8%). </w:t>
      </w:r>
    </w:p>
    <w:p w14:paraId="622688E8"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При оценке динамики уровня цен большинство потребителей на всех рассматриваемых товарных рынках отмечают повышение цен (55,9–83,0%). Чаще всего повышение уровня цен потребители отмечают в сфере ЖКХ (купля-продажа </w:t>
      </w:r>
      <w:r w:rsidRPr="006D4184">
        <w:rPr>
          <w:rFonts w:ascii="Times New Roman" w:hAnsi="Times New Roman" w:cs="Times New Roman"/>
          <w:sz w:val="28"/>
          <w:szCs w:val="28"/>
        </w:rPr>
        <w:lastRenderedPageBreak/>
        <w:t xml:space="preserve">электрической энергии (мощности) на розничном рынке электрической энергии (мощности), теплоснабжение, услуги по сбору и транспортированию твердых коммунальных отходов – 80,1–82,3%), на рынке оказания услуг по перевозке пассажиров автомобильным транспортом регулярных перевозок (77,3–78,4%), а также на рынке услуг розничной торговли лекарственными препаратами, медицинскими изделиями и сопутствующими товарами (83,0%) и жилищного строительства (за исключением Московского фонда реновации жилой застройки и индивидуального жилищного строительства) (77,5%). Отсутствие изменений в уровне цен отмечают от 12,8% потребителей (на рынке услуг розничной торговли лекарственными препаратами, медицинскими изделиями и сопутствующими товарами) до 37,1% потребителей (на рынке социальных услуг). Незначительная доля потребителей (от 3,3% до 10,3%) говорят о снижении цен. </w:t>
      </w:r>
    </w:p>
    <w:p w14:paraId="7B5F29EF"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Таким образом, по оценкам потребителей, наблюдаемый за последние 3 года рост уровня цен на большинстве товарных рынков не сопровождается повышением качества предоставляемых товаров, услуг, что свидетельствует о недостаточном развитии конкурентной среды. </w:t>
      </w:r>
    </w:p>
    <w:p w14:paraId="0CD8A71F"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1127D6">
        <w:rPr>
          <w:rFonts w:ascii="Times New Roman" w:hAnsi="Times New Roman" w:cs="Times New Roman"/>
          <w:b/>
          <w:sz w:val="28"/>
          <w:szCs w:val="28"/>
        </w:rPr>
        <w:t>Данные о наличии жалоб, поступивших от потребителей товаров, работ в надзорные органы в динамике за последние 5 лет</w:t>
      </w:r>
      <w:r>
        <w:rPr>
          <w:rFonts w:ascii="Times New Roman" w:hAnsi="Times New Roman" w:cs="Times New Roman"/>
          <w:b/>
          <w:sz w:val="28"/>
          <w:szCs w:val="28"/>
        </w:rPr>
        <w:t xml:space="preserve">. </w:t>
      </w:r>
      <w:r w:rsidRPr="004A7B7F">
        <w:rPr>
          <w:rFonts w:ascii="Times New Roman" w:hAnsi="Times New Roman" w:cs="Times New Roman"/>
          <w:sz w:val="28"/>
          <w:szCs w:val="28"/>
        </w:rPr>
        <w:t>Статистика жалоб со стороны потребителей товаров, работ и услуг обобщена для следующих контрольных (</w:t>
      </w:r>
    </w:p>
    <w:p w14:paraId="6E8FF5F3"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 xml:space="preserve">Основными источниками получения информации являлись: </w:t>
      </w:r>
    </w:p>
    <w:p w14:paraId="23DB5321"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 xml:space="preserve">1) сведения, предоставленные контрольными (надзорными) органами власти; </w:t>
      </w:r>
    </w:p>
    <w:p w14:paraId="3010E98A"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2) официальные сайты контрольных (надзорных) органов власти.</w:t>
      </w:r>
    </w:p>
    <w:p w14:paraId="13DC10BA" w14:textId="77777777" w:rsidR="003F4CFF" w:rsidRPr="008E0229" w:rsidRDefault="003F4CFF" w:rsidP="003F4CFF">
      <w:pPr>
        <w:widowControl w:val="0"/>
        <w:autoSpaceDE w:val="0"/>
        <w:autoSpaceDN w:val="0"/>
        <w:adjustRightInd w:val="0"/>
        <w:jc w:val="both"/>
        <w:rPr>
          <w:rFonts w:ascii="Times New Roman" w:eastAsia="Times New Roman" w:hAnsi="Times New Roman" w:cs="Times New Roman"/>
          <w:color w:val="000000"/>
          <w:sz w:val="24"/>
          <w:szCs w:val="24"/>
        </w:rPr>
      </w:pPr>
    </w:p>
    <w:p w14:paraId="7C7A6EE2" w14:textId="77777777" w:rsidR="003F4CFF" w:rsidRPr="004A7B7F" w:rsidRDefault="003F4CFF" w:rsidP="003F4CFF">
      <w:pPr>
        <w:widowControl w:val="0"/>
        <w:autoSpaceDE w:val="0"/>
        <w:autoSpaceDN w:val="0"/>
        <w:adjustRightInd w:val="0"/>
        <w:jc w:val="both"/>
        <w:rPr>
          <w:rFonts w:ascii="Times New Roman" w:hAnsi="Times New Roman" w:cs="Times New Roman"/>
          <w:sz w:val="28"/>
          <w:szCs w:val="28"/>
        </w:rPr>
      </w:pPr>
      <w:r w:rsidRPr="004A7B7F">
        <w:rPr>
          <w:rFonts w:ascii="Times New Roman" w:hAnsi="Times New Roman" w:cs="Times New Roman"/>
          <w:sz w:val="28"/>
          <w:szCs w:val="28"/>
        </w:rPr>
        <w:t xml:space="preserve">Таблица 14 – Данные о наличии жалоб, поступивших в контрольные (надзорные) органы </w:t>
      </w:r>
    </w:p>
    <w:tbl>
      <w:tblPr>
        <w:tblW w:w="5000" w:type="pct"/>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6"/>
        <w:gridCol w:w="737"/>
        <w:gridCol w:w="608"/>
        <w:gridCol w:w="608"/>
        <w:gridCol w:w="608"/>
        <w:gridCol w:w="608"/>
        <w:gridCol w:w="647"/>
        <w:gridCol w:w="562"/>
        <w:gridCol w:w="667"/>
      </w:tblGrid>
      <w:tr w:rsidR="003F4CFF" w:rsidRPr="006D4184" w14:paraId="76BAEAA6" w14:textId="77777777" w:rsidTr="003F4CFF">
        <w:trPr>
          <w:trHeight w:val="57"/>
          <w:tblHeader/>
        </w:trPr>
        <w:tc>
          <w:tcPr>
            <w:tcW w:w="4935" w:type="dxa"/>
            <w:tcBorders>
              <w:top w:val="single" w:sz="4" w:space="0" w:color="auto"/>
              <w:left w:val="nil"/>
              <w:bottom w:val="single" w:sz="4" w:space="0" w:color="auto"/>
              <w:right w:val="single" w:sz="4" w:space="0" w:color="auto"/>
            </w:tcBorders>
            <w:shd w:val="clear" w:color="auto" w:fill="auto"/>
            <w:noWrap/>
            <w:hideMark/>
          </w:tcPr>
          <w:p w14:paraId="7FFCC098" w14:textId="77777777" w:rsidR="003F4CFF" w:rsidRPr="004A7B7F" w:rsidRDefault="003F4CFF" w:rsidP="003F4CFF">
            <w:pPr>
              <w:widowControl w:val="0"/>
              <w:autoSpaceDE w:val="0"/>
              <w:autoSpaceDN w:val="0"/>
              <w:adjustRightInd w:val="0"/>
              <w:rPr>
                <w:rFonts w:ascii="Times New Roman" w:eastAsia="Times New Roman" w:hAnsi="Times New Roman" w:cs="Times New Roman"/>
              </w:rPr>
            </w:pPr>
            <w:r w:rsidRPr="004A7B7F">
              <w:rPr>
                <w:rFonts w:ascii="Times New Roman" w:eastAsia="Times New Roman" w:hAnsi="Times New Roman" w:cs="Times New Roman"/>
              </w:rPr>
              <w:t>Наименование надзорного органа</w:t>
            </w:r>
          </w:p>
        </w:tc>
        <w:tc>
          <w:tcPr>
            <w:tcW w:w="747" w:type="dxa"/>
            <w:tcBorders>
              <w:top w:val="single" w:sz="4" w:space="0" w:color="auto"/>
              <w:left w:val="single" w:sz="4" w:space="0" w:color="auto"/>
              <w:bottom w:val="single" w:sz="4" w:space="0" w:color="auto"/>
              <w:right w:val="single" w:sz="4" w:space="0" w:color="auto"/>
            </w:tcBorders>
            <w:shd w:val="clear" w:color="auto" w:fill="auto"/>
            <w:noWrap/>
            <w:hideMark/>
          </w:tcPr>
          <w:p w14:paraId="1E758806" w14:textId="77777777" w:rsidR="003F4CFF" w:rsidRPr="004A7B7F" w:rsidRDefault="003F4CFF" w:rsidP="003F4CFF">
            <w:pPr>
              <w:widowControl w:val="0"/>
              <w:autoSpaceDE w:val="0"/>
              <w:autoSpaceDN w:val="0"/>
              <w:adjustRightInd w:val="0"/>
              <w:rPr>
                <w:rFonts w:ascii="Times New Roman" w:eastAsia="Times New Roman" w:hAnsi="Times New Roman" w:cs="Times New Roman"/>
              </w:rPr>
            </w:pPr>
            <w:r w:rsidRPr="004A7B7F">
              <w:rPr>
                <w:rFonts w:ascii="Times New Roman" w:eastAsia="Times New Roman" w:hAnsi="Times New Roman" w:cs="Times New Roman"/>
              </w:rPr>
              <w:t>2012</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1DF00AF3" w14:textId="77777777" w:rsidR="003F4CFF" w:rsidRPr="004A7B7F" w:rsidRDefault="003F4CFF" w:rsidP="003F4CFF">
            <w:pPr>
              <w:widowControl w:val="0"/>
              <w:autoSpaceDE w:val="0"/>
              <w:autoSpaceDN w:val="0"/>
              <w:adjustRightInd w:val="0"/>
              <w:rPr>
                <w:rFonts w:ascii="Times New Roman" w:eastAsia="Times New Roman" w:hAnsi="Times New Roman" w:cs="Times New Roman"/>
              </w:rPr>
            </w:pPr>
            <w:r w:rsidRPr="004A7B7F">
              <w:rPr>
                <w:rFonts w:ascii="Times New Roman" w:eastAsia="Times New Roman" w:hAnsi="Times New Roman" w:cs="Times New Roman"/>
              </w:rPr>
              <w:t>2013</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1CE0CBAB" w14:textId="77777777" w:rsidR="003F4CFF" w:rsidRPr="004A7B7F" w:rsidRDefault="003F4CFF" w:rsidP="003F4CFF">
            <w:pPr>
              <w:widowControl w:val="0"/>
              <w:autoSpaceDE w:val="0"/>
              <w:autoSpaceDN w:val="0"/>
              <w:adjustRightInd w:val="0"/>
              <w:rPr>
                <w:rFonts w:ascii="Times New Roman" w:eastAsia="Times New Roman" w:hAnsi="Times New Roman" w:cs="Times New Roman"/>
              </w:rPr>
            </w:pPr>
            <w:r w:rsidRPr="004A7B7F">
              <w:rPr>
                <w:rFonts w:ascii="Times New Roman" w:eastAsia="Times New Roman" w:hAnsi="Times New Roman" w:cs="Times New Roman"/>
              </w:rPr>
              <w:t>2014</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76F22C38" w14:textId="77777777" w:rsidR="003F4CFF" w:rsidRPr="004A7B7F" w:rsidRDefault="003F4CFF" w:rsidP="003F4CFF">
            <w:pPr>
              <w:widowControl w:val="0"/>
              <w:autoSpaceDE w:val="0"/>
              <w:autoSpaceDN w:val="0"/>
              <w:adjustRightInd w:val="0"/>
              <w:rPr>
                <w:rFonts w:ascii="Times New Roman" w:eastAsia="Times New Roman" w:hAnsi="Times New Roman" w:cs="Times New Roman"/>
              </w:rPr>
            </w:pPr>
            <w:r w:rsidRPr="004A7B7F">
              <w:rPr>
                <w:rFonts w:ascii="Times New Roman" w:eastAsia="Times New Roman" w:hAnsi="Times New Roman" w:cs="Times New Roman"/>
              </w:rPr>
              <w:t>2015</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43975D06" w14:textId="77777777" w:rsidR="003F4CFF" w:rsidRPr="004A7B7F" w:rsidRDefault="003F4CFF" w:rsidP="003F4CFF">
            <w:pPr>
              <w:widowControl w:val="0"/>
              <w:autoSpaceDE w:val="0"/>
              <w:autoSpaceDN w:val="0"/>
              <w:adjustRightInd w:val="0"/>
              <w:rPr>
                <w:rFonts w:ascii="Times New Roman" w:eastAsia="Times New Roman" w:hAnsi="Times New Roman" w:cs="Times New Roman"/>
              </w:rPr>
            </w:pPr>
            <w:r w:rsidRPr="004A7B7F">
              <w:rPr>
                <w:rFonts w:ascii="Times New Roman" w:eastAsia="Times New Roman" w:hAnsi="Times New Roman" w:cs="Times New Roman"/>
              </w:rPr>
              <w:t>2016</w:t>
            </w:r>
          </w:p>
        </w:tc>
        <w:tc>
          <w:tcPr>
            <w:tcW w:w="656" w:type="dxa"/>
            <w:tcBorders>
              <w:top w:val="single" w:sz="4" w:space="0" w:color="auto"/>
              <w:left w:val="single" w:sz="4" w:space="0" w:color="auto"/>
              <w:bottom w:val="single" w:sz="4" w:space="0" w:color="auto"/>
              <w:right w:val="single" w:sz="4" w:space="0" w:color="auto"/>
            </w:tcBorders>
            <w:shd w:val="clear" w:color="auto" w:fill="auto"/>
            <w:noWrap/>
            <w:hideMark/>
          </w:tcPr>
          <w:p w14:paraId="20D8929D" w14:textId="77777777" w:rsidR="003F4CFF" w:rsidRPr="004A7B7F" w:rsidRDefault="003F4CFF" w:rsidP="003F4CFF">
            <w:pPr>
              <w:widowControl w:val="0"/>
              <w:autoSpaceDE w:val="0"/>
              <w:autoSpaceDN w:val="0"/>
              <w:adjustRightInd w:val="0"/>
              <w:rPr>
                <w:rFonts w:ascii="Times New Roman" w:eastAsia="Times New Roman" w:hAnsi="Times New Roman" w:cs="Times New Roman"/>
              </w:rPr>
            </w:pPr>
            <w:r w:rsidRPr="004A7B7F">
              <w:rPr>
                <w:rFonts w:ascii="Times New Roman" w:eastAsia="Times New Roman" w:hAnsi="Times New Roman" w:cs="Times New Roman"/>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hideMark/>
          </w:tcPr>
          <w:p w14:paraId="2F7D45F0" w14:textId="77777777" w:rsidR="003F4CFF" w:rsidRPr="004A7B7F" w:rsidRDefault="003F4CFF" w:rsidP="003F4CFF">
            <w:pPr>
              <w:widowControl w:val="0"/>
              <w:autoSpaceDE w:val="0"/>
              <w:autoSpaceDN w:val="0"/>
              <w:adjustRightInd w:val="0"/>
              <w:rPr>
                <w:rFonts w:ascii="Times New Roman" w:eastAsia="Times New Roman" w:hAnsi="Times New Roman" w:cs="Times New Roman"/>
              </w:rPr>
            </w:pPr>
            <w:r w:rsidRPr="004A7B7F">
              <w:rPr>
                <w:rFonts w:ascii="Times New Roman" w:eastAsia="Times New Roman" w:hAnsi="Times New Roman" w:cs="Times New Roman"/>
              </w:rPr>
              <w:t>2018</w:t>
            </w:r>
          </w:p>
        </w:tc>
        <w:tc>
          <w:tcPr>
            <w:tcW w:w="747" w:type="dxa"/>
            <w:tcBorders>
              <w:top w:val="single" w:sz="4" w:space="0" w:color="auto"/>
              <w:left w:val="single" w:sz="4" w:space="0" w:color="auto"/>
              <w:bottom w:val="single" w:sz="4" w:space="0" w:color="auto"/>
              <w:right w:val="nil"/>
            </w:tcBorders>
            <w:shd w:val="clear" w:color="auto" w:fill="auto"/>
            <w:hideMark/>
          </w:tcPr>
          <w:p w14:paraId="73F0C4CD" w14:textId="77777777" w:rsidR="003F4CFF" w:rsidRPr="004A7B7F" w:rsidRDefault="003F4CFF" w:rsidP="003F4CFF">
            <w:pPr>
              <w:widowControl w:val="0"/>
              <w:autoSpaceDE w:val="0"/>
              <w:autoSpaceDN w:val="0"/>
              <w:adjustRightInd w:val="0"/>
              <w:rPr>
                <w:rFonts w:ascii="Times New Roman" w:eastAsia="Times New Roman" w:hAnsi="Times New Roman" w:cs="Times New Roman"/>
              </w:rPr>
            </w:pPr>
            <w:r w:rsidRPr="004A7B7F">
              <w:rPr>
                <w:rFonts w:ascii="Times New Roman" w:eastAsia="Times New Roman" w:hAnsi="Times New Roman" w:cs="Times New Roman"/>
              </w:rPr>
              <w:t>2019</w:t>
            </w:r>
          </w:p>
        </w:tc>
      </w:tr>
      <w:tr w:rsidR="003F4CFF" w:rsidRPr="006D4184" w14:paraId="0FB02CAA" w14:textId="77777777" w:rsidTr="003F4CFF">
        <w:trPr>
          <w:trHeight w:val="57"/>
        </w:trPr>
        <w:tc>
          <w:tcPr>
            <w:tcW w:w="4935" w:type="dxa"/>
            <w:tcBorders>
              <w:top w:val="single" w:sz="4" w:space="0" w:color="auto"/>
              <w:left w:val="nil"/>
              <w:bottom w:val="single" w:sz="4" w:space="0" w:color="auto"/>
              <w:right w:val="single" w:sz="4" w:space="0" w:color="auto"/>
            </w:tcBorders>
            <w:shd w:val="clear" w:color="auto" w:fill="auto"/>
            <w:noWrap/>
            <w:hideMark/>
          </w:tcPr>
          <w:p w14:paraId="7BC8DE02"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Управление Федеральной службы по надзору в сфере защиты прав потребителей и благополучия человека по Новосибирской области</w:t>
            </w:r>
          </w:p>
        </w:tc>
        <w:tc>
          <w:tcPr>
            <w:tcW w:w="747" w:type="dxa"/>
            <w:tcBorders>
              <w:top w:val="single" w:sz="4" w:space="0" w:color="auto"/>
              <w:left w:val="single" w:sz="4" w:space="0" w:color="auto"/>
              <w:bottom w:val="single" w:sz="4" w:space="0" w:color="auto"/>
              <w:right w:val="single" w:sz="4" w:space="0" w:color="auto"/>
            </w:tcBorders>
            <w:shd w:val="clear" w:color="auto" w:fill="auto"/>
            <w:noWrap/>
            <w:hideMark/>
          </w:tcPr>
          <w:p w14:paraId="63F9EEBB"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нет данных</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06486D74"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6935</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239BB5BD"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5465</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2797C8C9"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7801</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04FE988C"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8178</w:t>
            </w:r>
          </w:p>
        </w:tc>
        <w:tc>
          <w:tcPr>
            <w:tcW w:w="656" w:type="dxa"/>
            <w:tcBorders>
              <w:top w:val="single" w:sz="4" w:space="0" w:color="auto"/>
              <w:left w:val="single" w:sz="4" w:space="0" w:color="auto"/>
              <w:bottom w:val="single" w:sz="4" w:space="0" w:color="auto"/>
              <w:right w:val="single" w:sz="4" w:space="0" w:color="auto"/>
            </w:tcBorders>
            <w:shd w:val="clear" w:color="auto" w:fill="auto"/>
            <w:noWrap/>
            <w:hideMark/>
          </w:tcPr>
          <w:p w14:paraId="362ED7F3"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9295</w:t>
            </w:r>
            <w:r w:rsidRPr="00CE6382">
              <w:rPr>
                <w:rFonts w:ascii="Times New Roman" w:eastAsia="Times New Roman" w:hAnsi="Times New Roman" w:cs="Times New Roman"/>
              </w:rPr>
              <w:br/>
              <w:t>(с 01.01 по 27.11)</w:t>
            </w:r>
          </w:p>
        </w:tc>
        <w:tc>
          <w:tcPr>
            <w:tcW w:w="656" w:type="dxa"/>
            <w:tcBorders>
              <w:top w:val="single" w:sz="4" w:space="0" w:color="auto"/>
              <w:left w:val="single" w:sz="4" w:space="0" w:color="auto"/>
              <w:bottom w:val="single" w:sz="4" w:space="0" w:color="auto"/>
              <w:right w:val="single" w:sz="4" w:space="0" w:color="auto"/>
            </w:tcBorders>
            <w:shd w:val="clear" w:color="auto" w:fill="auto"/>
            <w:hideMark/>
          </w:tcPr>
          <w:p w14:paraId="3E1F5BBF"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6622</w:t>
            </w:r>
          </w:p>
          <w:p w14:paraId="540F7964"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(с 1.01 по 31.07)</w:t>
            </w:r>
          </w:p>
        </w:tc>
        <w:tc>
          <w:tcPr>
            <w:tcW w:w="747" w:type="dxa"/>
            <w:tcBorders>
              <w:top w:val="single" w:sz="4" w:space="0" w:color="auto"/>
              <w:left w:val="single" w:sz="4" w:space="0" w:color="auto"/>
              <w:bottom w:val="single" w:sz="4" w:space="0" w:color="auto"/>
              <w:right w:val="nil"/>
            </w:tcBorders>
            <w:shd w:val="clear" w:color="auto" w:fill="auto"/>
            <w:hideMark/>
          </w:tcPr>
          <w:p w14:paraId="70B0C459"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6634</w:t>
            </w:r>
          </w:p>
          <w:p w14:paraId="48696E10"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(с 1.01 по 31.07)</w:t>
            </w:r>
          </w:p>
        </w:tc>
      </w:tr>
      <w:tr w:rsidR="003F4CFF" w:rsidRPr="006D4184" w14:paraId="4E6272E9" w14:textId="77777777" w:rsidTr="003F4CFF">
        <w:trPr>
          <w:trHeight w:val="57"/>
        </w:trPr>
        <w:tc>
          <w:tcPr>
            <w:tcW w:w="4935" w:type="dxa"/>
            <w:tcBorders>
              <w:top w:val="single" w:sz="4" w:space="0" w:color="auto"/>
              <w:left w:val="nil"/>
              <w:bottom w:val="single" w:sz="4" w:space="0" w:color="auto"/>
              <w:right w:val="single" w:sz="4" w:space="0" w:color="auto"/>
            </w:tcBorders>
            <w:shd w:val="clear" w:color="auto" w:fill="auto"/>
            <w:noWrap/>
            <w:hideMark/>
          </w:tcPr>
          <w:p w14:paraId="74AE28DB" w14:textId="77777777" w:rsidR="003F4CFF" w:rsidRPr="00CE6382" w:rsidRDefault="003F4CFF" w:rsidP="003F4CFF">
            <w:pPr>
              <w:widowControl w:val="0"/>
              <w:autoSpaceDE w:val="0"/>
              <w:autoSpaceDN w:val="0"/>
              <w:adjustRightInd w:val="0"/>
              <w:rPr>
                <w:rFonts w:ascii="Times New Roman" w:eastAsia="Times New Roman" w:hAnsi="Times New Roman" w:cs="Times New Roman"/>
                <w:vertAlign w:val="superscript"/>
              </w:rPr>
            </w:pPr>
            <w:r w:rsidRPr="00CE6382">
              <w:rPr>
                <w:rFonts w:ascii="Times New Roman" w:eastAsia="Times New Roman" w:hAnsi="Times New Roman" w:cs="Times New Roman"/>
              </w:rPr>
              <w:t>Управление Федеральной налоговой службы по Новосибирской области</w:t>
            </w:r>
            <w:r w:rsidRPr="00CE6382">
              <w:rPr>
                <w:rFonts w:ascii="Times New Roman" w:eastAsia="Times New Roman" w:hAnsi="Times New Roman" w:cs="Times New Roman"/>
                <w:vertAlign w:val="superscript"/>
              </w:rPr>
              <w:footnoteReference w:id="7"/>
            </w:r>
          </w:p>
        </w:tc>
        <w:tc>
          <w:tcPr>
            <w:tcW w:w="747" w:type="dxa"/>
            <w:tcBorders>
              <w:top w:val="single" w:sz="4" w:space="0" w:color="auto"/>
              <w:left w:val="single" w:sz="4" w:space="0" w:color="auto"/>
              <w:bottom w:val="single" w:sz="4" w:space="0" w:color="auto"/>
              <w:right w:val="single" w:sz="4" w:space="0" w:color="auto"/>
            </w:tcBorders>
            <w:shd w:val="clear" w:color="auto" w:fill="auto"/>
            <w:noWrap/>
            <w:hideMark/>
          </w:tcPr>
          <w:p w14:paraId="5862551D"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bCs/>
              </w:rPr>
              <w:t>685</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4F68279B"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bCs/>
              </w:rPr>
              <w:t>707</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69C438A0"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bCs/>
              </w:rPr>
              <w:t>686</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27BD51BB"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bCs/>
              </w:rPr>
              <w:t>676</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24F53339"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bCs/>
              </w:rPr>
              <w:t>732</w:t>
            </w:r>
          </w:p>
        </w:tc>
        <w:tc>
          <w:tcPr>
            <w:tcW w:w="656" w:type="dxa"/>
            <w:tcBorders>
              <w:top w:val="single" w:sz="4" w:space="0" w:color="auto"/>
              <w:left w:val="single" w:sz="4" w:space="0" w:color="auto"/>
              <w:bottom w:val="single" w:sz="4" w:space="0" w:color="auto"/>
              <w:right w:val="single" w:sz="4" w:space="0" w:color="auto"/>
            </w:tcBorders>
            <w:shd w:val="clear" w:color="auto" w:fill="auto"/>
            <w:noWrap/>
            <w:hideMark/>
          </w:tcPr>
          <w:p w14:paraId="6DBAE5B3" w14:textId="77777777" w:rsidR="003F4CFF" w:rsidRPr="00CE6382" w:rsidRDefault="003F4CFF" w:rsidP="003F4CFF">
            <w:pPr>
              <w:widowControl w:val="0"/>
              <w:autoSpaceDE w:val="0"/>
              <w:autoSpaceDN w:val="0"/>
              <w:adjustRightInd w:val="0"/>
              <w:rPr>
                <w:rFonts w:ascii="Times New Roman" w:eastAsia="Times New Roman" w:hAnsi="Times New Roman" w:cs="Times New Roman"/>
                <w:bCs/>
              </w:rPr>
            </w:pPr>
            <w:r w:rsidRPr="00CE6382">
              <w:rPr>
                <w:rFonts w:ascii="Times New Roman" w:eastAsia="Times New Roman" w:hAnsi="Times New Roman" w:cs="Times New Roman"/>
                <w:bCs/>
              </w:rPr>
              <w:t>888</w:t>
            </w:r>
          </w:p>
          <w:p w14:paraId="360AF59F"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bCs/>
              </w:rPr>
              <w:t>(303)</w:t>
            </w:r>
          </w:p>
        </w:tc>
        <w:tc>
          <w:tcPr>
            <w:tcW w:w="656" w:type="dxa"/>
            <w:tcBorders>
              <w:top w:val="single" w:sz="4" w:space="0" w:color="auto"/>
              <w:left w:val="single" w:sz="4" w:space="0" w:color="auto"/>
              <w:bottom w:val="single" w:sz="4" w:space="0" w:color="auto"/>
              <w:right w:val="single" w:sz="4" w:space="0" w:color="auto"/>
            </w:tcBorders>
            <w:shd w:val="clear" w:color="auto" w:fill="auto"/>
            <w:hideMark/>
          </w:tcPr>
          <w:p w14:paraId="5D7D9653" w14:textId="77777777" w:rsidR="003F4CFF" w:rsidRPr="00CE6382" w:rsidRDefault="003F4CFF" w:rsidP="003F4CFF">
            <w:pPr>
              <w:widowControl w:val="0"/>
              <w:autoSpaceDE w:val="0"/>
              <w:autoSpaceDN w:val="0"/>
              <w:adjustRightInd w:val="0"/>
              <w:rPr>
                <w:rFonts w:ascii="Times New Roman" w:eastAsia="Times New Roman" w:hAnsi="Times New Roman" w:cs="Times New Roman"/>
                <w:bCs/>
              </w:rPr>
            </w:pPr>
            <w:r w:rsidRPr="00CE6382">
              <w:rPr>
                <w:rFonts w:ascii="Times New Roman" w:eastAsia="Times New Roman" w:hAnsi="Times New Roman" w:cs="Times New Roman"/>
                <w:bCs/>
              </w:rPr>
              <w:t>565 (202)</w:t>
            </w:r>
          </w:p>
          <w:p w14:paraId="35FCC585" w14:textId="77777777" w:rsidR="003F4CFF" w:rsidRPr="00CE6382" w:rsidRDefault="003F4CFF" w:rsidP="003F4CFF">
            <w:pPr>
              <w:widowControl w:val="0"/>
              <w:autoSpaceDE w:val="0"/>
              <w:autoSpaceDN w:val="0"/>
              <w:adjustRightInd w:val="0"/>
              <w:rPr>
                <w:rFonts w:ascii="Times New Roman" w:eastAsia="Times New Roman" w:hAnsi="Times New Roman" w:cs="Times New Roman"/>
                <w:bCs/>
              </w:rPr>
            </w:pPr>
            <w:r w:rsidRPr="00CE6382">
              <w:rPr>
                <w:rFonts w:ascii="Times New Roman" w:eastAsia="Times New Roman" w:hAnsi="Times New Roman" w:cs="Times New Roman"/>
                <w:bCs/>
              </w:rPr>
              <w:t>(с 1.01 по 30.09)</w:t>
            </w:r>
          </w:p>
        </w:tc>
        <w:tc>
          <w:tcPr>
            <w:tcW w:w="747" w:type="dxa"/>
            <w:tcBorders>
              <w:top w:val="single" w:sz="4" w:space="0" w:color="auto"/>
              <w:left w:val="single" w:sz="4" w:space="0" w:color="auto"/>
              <w:bottom w:val="single" w:sz="4" w:space="0" w:color="auto"/>
              <w:right w:val="nil"/>
            </w:tcBorders>
            <w:shd w:val="clear" w:color="auto" w:fill="auto"/>
            <w:hideMark/>
          </w:tcPr>
          <w:p w14:paraId="3D325137" w14:textId="77777777" w:rsidR="003F4CFF" w:rsidRPr="00CE6382" w:rsidRDefault="003F4CFF" w:rsidP="003F4CFF">
            <w:pPr>
              <w:widowControl w:val="0"/>
              <w:autoSpaceDE w:val="0"/>
              <w:autoSpaceDN w:val="0"/>
              <w:adjustRightInd w:val="0"/>
              <w:rPr>
                <w:rFonts w:ascii="Times New Roman" w:eastAsia="Times New Roman" w:hAnsi="Times New Roman" w:cs="Times New Roman"/>
                <w:bCs/>
              </w:rPr>
            </w:pPr>
            <w:r w:rsidRPr="00CE6382">
              <w:rPr>
                <w:rFonts w:ascii="Times New Roman" w:eastAsia="Times New Roman" w:hAnsi="Times New Roman" w:cs="Times New Roman"/>
                <w:bCs/>
              </w:rPr>
              <w:t>нет данных</w:t>
            </w:r>
          </w:p>
        </w:tc>
      </w:tr>
      <w:tr w:rsidR="003F4CFF" w:rsidRPr="006D4184" w14:paraId="4E6FD0E0" w14:textId="77777777" w:rsidTr="003F4CFF">
        <w:trPr>
          <w:trHeight w:val="57"/>
        </w:trPr>
        <w:tc>
          <w:tcPr>
            <w:tcW w:w="4935" w:type="dxa"/>
            <w:tcBorders>
              <w:top w:val="single" w:sz="4" w:space="0" w:color="auto"/>
              <w:left w:val="nil"/>
              <w:bottom w:val="single" w:sz="4" w:space="0" w:color="auto"/>
              <w:right w:val="single" w:sz="4" w:space="0" w:color="auto"/>
            </w:tcBorders>
            <w:shd w:val="clear" w:color="auto" w:fill="auto"/>
            <w:noWrap/>
            <w:hideMark/>
          </w:tcPr>
          <w:p w14:paraId="31DF3CDF"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Управление Федеральной антимонопольной по Новосибирской области</w:t>
            </w:r>
            <w:r w:rsidRPr="00CE6382">
              <w:rPr>
                <w:rFonts w:ascii="Times New Roman" w:eastAsia="Times New Roman" w:hAnsi="Times New Roman" w:cs="Times New Roman"/>
                <w:vertAlign w:val="superscript"/>
              </w:rPr>
              <w:footnoteReference w:id="8"/>
            </w:r>
          </w:p>
        </w:tc>
        <w:tc>
          <w:tcPr>
            <w:tcW w:w="747" w:type="dxa"/>
            <w:tcBorders>
              <w:top w:val="single" w:sz="4" w:space="0" w:color="auto"/>
              <w:left w:val="single" w:sz="4" w:space="0" w:color="auto"/>
              <w:bottom w:val="single" w:sz="4" w:space="0" w:color="auto"/>
              <w:right w:val="single" w:sz="4" w:space="0" w:color="auto"/>
            </w:tcBorders>
            <w:shd w:val="clear" w:color="auto" w:fill="auto"/>
            <w:noWrap/>
            <w:hideMark/>
          </w:tcPr>
          <w:p w14:paraId="5C2F03E3"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1690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12B5033E"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2561</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454A2AF4"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3187</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495EACC7"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2542</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50173BD6"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2324</w:t>
            </w:r>
          </w:p>
        </w:tc>
        <w:tc>
          <w:tcPr>
            <w:tcW w:w="656" w:type="dxa"/>
            <w:tcBorders>
              <w:top w:val="single" w:sz="4" w:space="0" w:color="auto"/>
              <w:left w:val="single" w:sz="4" w:space="0" w:color="auto"/>
              <w:bottom w:val="single" w:sz="4" w:space="0" w:color="auto"/>
              <w:right w:val="single" w:sz="4" w:space="0" w:color="auto"/>
            </w:tcBorders>
            <w:shd w:val="clear" w:color="auto" w:fill="auto"/>
            <w:noWrap/>
            <w:hideMark/>
          </w:tcPr>
          <w:p w14:paraId="265F7003"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2706</w:t>
            </w:r>
            <w:r w:rsidRPr="00CE6382">
              <w:rPr>
                <w:rFonts w:ascii="Times New Roman" w:eastAsia="Times New Roman" w:hAnsi="Times New Roman" w:cs="Times New Roman"/>
                <w:vertAlign w:val="superscript"/>
              </w:rPr>
              <w:footnoteReference w:id="9"/>
            </w:r>
          </w:p>
        </w:tc>
        <w:tc>
          <w:tcPr>
            <w:tcW w:w="656" w:type="dxa"/>
            <w:tcBorders>
              <w:top w:val="single" w:sz="4" w:space="0" w:color="auto"/>
              <w:left w:val="single" w:sz="4" w:space="0" w:color="auto"/>
              <w:bottom w:val="single" w:sz="4" w:space="0" w:color="auto"/>
              <w:right w:val="single" w:sz="4" w:space="0" w:color="auto"/>
            </w:tcBorders>
            <w:shd w:val="clear" w:color="auto" w:fill="auto"/>
            <w:hideMark/>
          </w:tcPr>
          <w:p w14:paraId="3658F2D1"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2725</w:t>
            </w:r>
            <w:r w:rsidRPr="00CE6382">
              <w:rPr>
                <w:rFonts w:ascii="Times New Roman" w:eastAsia="Times New Roman" w:hAnsi="Times New Roman" w:cs="Times New Roman"/>
                <w:vertAlign w:val="superscript"/>
              </w:rPr>
              <w:lastRenderedPageBreak/>
              <w:footnoteReference w:id="10"/>
            </w:r>
          </w:p>
        </w:tc>
        <w:tc>
          <w:tcPr>
            <w:tcW w:w="747" w:type="dxa"/>
            <w:tcBorders>
              <w:top w:val="single" w:sz="4" w:space="0" w:color="auto"/>
              <w:left w:val="single" w:sz="4" w:space="0" w:color="auto"/>
              <w:bottom w:val="single" w:sz="4" w:space="0" w:color="auto"/>
              <w:right w:val="nil"/>
            </w:tcBorders>
            <w:shd w:val="clear" w:color="auto" w:fill="auto"/>
            <w:hideMark/>
          </w:tcPr>
          <w:p w14:paraId="0D67F998" w14:textId="77777777" w:rsidR="003F4CFF" w:rsidRPr="00CE6382" w:rsidRDefault="003F4CFF" w:rsidP="003F4CFF">
            <w:pPr>
              <w:widowControl w:val="0"/>
              <w:autoSpaceDE w:val="0"/>
              <w:autoSpaceDN w:val="0"/>
              <w:adjustRightInd w:val="0"/>
              <w:rPr>
                <w:rFonts w:ascii="Times New Roman" w:eastAsia="Times New Roman" w:hAnsi="Times New Roman" w:cs="Times New Roman"/>
                <w:lang w:val="en-US"/>
              </w:rPr>
            </w:pPr>
            <w:r w:rsidRPr="00CE6382">
              <w:rPr>
                <w:rFonts w:ascii="Times New Roman" w:eastAsia="Times New Roman" w:hAnsi="Times New Roman" w:cs="Times New Roman"/>
                <w:lang w:val="en-US"/>
              </w:rPr>
              <w:lastRenderedPageBreak/>
              <w:t>1942</w:t>
            </w:r>
            <w:r w:rsidRPr="00CE6382">
              <w:rPr>
                <w:rFonts w:ascii="Times New Roman" w:hAnsi="Times New Roman" w:cs="Times New Roman"/>
                <w:vertAlign w:val="superscript"/>
                <w:lang w:val="en-US"/>
              </w:rPr>
              <w:footnoteReference w:id="11"/>
            </w:r>
          </w:p>
          <w:p w14:paraId="68DF0280" w14:textId="77777777" w:rsidR="003F4CFF" w:rsidRPr="00CE6382" w:rsidRDefault="003F4CFF" w:rsidP="003F4CFF">
            <w:pPr>
              <w:widowControl w:val="0"/>
              <w:autoSpaceDE w:val="0"/>
              <w:autoSpaceDN w:val="0"/>
              <w:adjustRightInd w:val="0"/>
              <w:rPr>
                <w:rFonts w:ascii="Times New Roman" w:eastAsia="Times New Roman" w:hAnsi="Times New Roman" w:cs="Times New Roman"/>
                <w:lang w:val="en-US"/>
              </w:rPr>
            </w:pPr>
            <w:r w:rsidRPr="00CE6382">
              <w:rPr>
                <w:rFonts w:ascii="Times New Roman" w:eastAsia="Times New Roman" w:hAnsi="Times New Roman" w:cs="Times New Roman"/>
              </w:rPr>
              <w:t xml:space="preserve">(с </w:t>
            </w:r>
            <w:r w:rsidRPr="00CE6382">
              <w:rPr>
                <w:rFonts w:ascii="Times New Roman" w:eastAsia="Times New Roman" w:hAnsi="Times New Roman" w:cs="Times New Roman"/>
              </w:rPr>
              <w:lastRenderedPageBreak/>
              <w:t>01.01 по 30.09)</w:t>
            </w:r>
          </w:p>
        </w:tc>
      </w:tr>
      <w:tr w:rsidR="003F4CFF" w:rsidRPr="006D4184" w14:paraId="4A63CEA2" w14:textId="77777777" w:rsidTr="003F4CFF">
        <w:trPr>
          <w:trHeight w:val="439"/>
        </w:trPr>
        <w:tc>
          <w:tcPr>
            <w:tcW w:w="4935" w:type="dxa"/>
            <w:tcBorders>
              <w:top w:val="single" w:sz="4" w:space="0" w:color="auto"/>
              <w:left w:val="nil"/>
              <w:bottom w:val="single" w:sz="4" w:space="0" w:color="auto"/>
              <w:right w:val="single" w:sz="4" w:space="0" w:color="auto"/>
            </w:tcBorders>
            <w:shd w:val="clear" w:color="auto" w:fill="auto"/>
            <w:noWrap/>
            <w:hideMark/>
          </w:tcPr>
          <w:p w14:paraId="32ACFC30"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lastRenderedPageBreak/>
              <w:t>Управление Федеральной службы государственной регистрации, кадастра и картографии по Новосибирской области</w:t>
            </w:r>
            <w:r w:rsidRPr="00CE6382">
              <w:rPr>
                <w:rFonts w:ascii="Times New Roman" w:eastAsia="Times New Roman" w:hAnsi="Times New Roman" w:cs="Times New Roman"/>
                <w:vertAlign w:val="superscript"/>
              </w:rPr>
              <w:footnoteReference w:id="12"/>
            </w:r>
          </w:p>
        </w:tc>
        <w:tc>
          <w:tcPr>
            <w:tcW w:w="747" w:type="dxa"/>
            <w:tcBorders>
              <w:top w:val="single" w:sz="4" w:space="0" w:color="auto"/>
              <w:left w:val="single" w:sz="4" w:space="0" w:color="auto"/>
              <w:bottom w:val="single" w:sz="4" w:space="0" w:color="auto"/>
              <w:right w:val="single" w:sz="4" w:space="0" w:color="auto"/>
            </w:tcBorders>
            <w:shd w:val="clear" w:color="auto" w:fill="auto"/>
            <w:noWrap/>
            <w:hideMark/>
          </w:tcPr>
          <w:p w14:paraId="31539CF9"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205</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6FB9C6A2"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205</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45062E4F"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200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192B777A"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198</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14:paraId="33933094"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147</w:t>
            </w:r>
          </w:p>
        </w:tc>
        <w:tc>
          <w:tcPr>
            <w:tcW w:w="656" w:type="dxa"/>
            <w:tcBorders>
              <w:top w:val="single" w:sz="4" w:space="0" w:color="auto"/>
              <w:left w:val="single" w:sz="4" w:space="0" w:color="auto"/>
              <w:bottom w:val="single" w:sz="4" w:space="0" w:color="auto"/>
              <w:right w:val="single" w:sz="4" w:space="0" w:color="auto"/>
            </w:tcBorders>
            <w:shd w:val="clear" w:color="auto" w:fill="auto"/>
            <w:noWrap/>
            <w:hideMark/>
          </w:tcPr>
          <w:p w14:paraId="30BB6C84"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170 / 26</w:t>
            </w:r>
          </w:p>
        </w:tc>
        <w:tc>
          <w:tcPr>
            <w:tcW w:w="656" w:type="dxa"/>
            <w:tcBorders>
              <w:top w:val="single" w:sz="4" w:space="0" w:color="auto"/>
              <w:left w:val="single" w:sz="4" w:space="0" w:color="auto"/>
              <w:bottom w:val="single" w:sz="4" w:space="0" w:color="auto"/>
              <w:right w:val="single" w:sz="4" w:space="0" w:color="auto"/>
            </w:tcBorders>
            <w:shd w:val="clear" w:color="auto" w:fill="auto"/>
            <w:hideMark/>
          </w:tcPr>
          <w:p w14:paraId="213EDA1F"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247</w:t>
            </w:r>
          </w:p>
          <w:p w14:paraId="0342ACC2"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(с 1.01 по 31.10) / 38</w:t>
            </w:r>
          </w:p>
        </w:tc>
        <w:tc>
          <w:tcPr>
            <w:tcW w:w="747" w:type="dxa"/>
            <w:tcBorders>
              <w:top w:val="single" w:sz="4" w:space="0" w:color="auto"/>
              <w:left w:val="single" w:sz="4" w:space="0" w:color="auto"/>
              <w:bottom w:val="single" w:sz="4" w:space="0" w:color="auto"/>
              <w:right w:val="nil"/>
            </w:tcBorders>
            <w:shd w:val="clear" w:color="auto" w:fill="auto"/>
            <w:hideMark/>
          </w:tcPr>
          <w:p w14:paraId="2FEA4B9F" w14:textId="77777777" w:rsidR="003F4CFF" w:rsidRPr="00CE6382" w:rsidRDefault="003F4CFF" w:rsidP="003F4CFF">
            <w:pPr>
              <w:widowControl w:val="0"/>
              <w:autoSpaceDE w:val="0"/>
              <w:autoSpaceDN w:val="0"/>
              <w:adjustRightInd w:val="0"/>
              <w:rPr>
                <w:rFonts w:ascii="Times New Roman" w:eastAsia="Times New Roman" w:hAnsi="Times New Roman" w:cs="Times New Roman"/>
              </w:rPr>
            </w:pPr>
            <w:r w:rsidRPr="00CE6382">
              <w:rPr>
                <w:rFonts w:ascii="Times New Roman" w:eastAsia="Times New Roman" w:hAnsi="Times New Roman" w:cs="Times New Roman"/>
              </w:rPr>
              <w:t>нет данных / 14 (с 1.01 по 31.08)</w:t>
            </w:r>
          </w:p>
        </w:tc>
      </w:tr>
    </w:tbl>
    <w:p w14:paraId="71FAEC59" w14:textId="77777777" w:rsidR="003F4CFF" w:rsidRPr="006D4184" w:rsidRDefault="003F4CFF" w:rsidP="003F4CFF">
      <w:pPr>
        <w:widowControl w:val="0"/>
        <w:autoSpaceDE w:val="0"/>
        <w:autoSpaceDN w:val="0"/>
        <w:adjustRightInd w:val="0"/>
        <w:jc w:val="both"/>
        <w:rPr>
          <w:rFonts w:ascii="Times New Roman" w:eastAsia="Times New Roman" w:hAnsi="Times New Roman" w:cs="Times New Roman"/>
          <w:color w:val="000000"/>
          <w:sz w:val="16"/>
          <w:szCs w:val="16"/>
        </w:rPr>
      </w:pPr>
    </w:p>
    <w:p w14:paraId="424A07D2"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На основе данных таблицы можно говорить о тенденции к росту количества жалоб в Роспотребнадзор с 2014 г. по 2019 г. (по предварительным оценкам на основе данных за 1-е полугодие 2019 г.), а также увеличении числа жалоб в УФНС с 2015 г. по 2017 г. и числа жалоб в Росреестр с 2016 г. по 2018 г. Число жалоб и обращений в Управление Федеральной антимонопольной службы по Новосибирской области в целом остается стабильным. Данные о количестве жалоб в Управление Федеральной налоговой службы по Новосибирской области за 2018–2019 гг. отсутствуют (в отчетности на сайте</w:t>
      </w:r>
      <w:r w:rsidRPr="006D4184">
        <w:rPr>
          <w:rFonts w:cs="Times New Roman"/>
          <w:color w:val="000000"/>
          <w:sz w:val="28"/>
          <w:szCs w:val="28"/>
          <w:vertAlign w:val="superscript"/>
        </w:rPr>
        <w:footnoteReference w:id="13"/>
      </w:r>
      <w:r w:rsidRPr="006D4184">
        <w:rPr>
          <w:rFonts w:ascii="Times New Roman" w:eastAsia="Times New Roman" w:hAnsi="Times New Roman" w:cs="Times New Roman"/>
          <w:color w:val="000000"/>
          <w:sz w:val="28"/>
          <w:szCs w:val="28"/>
        </w:rPr>
        <w:t xml:space="preserve"> </w:t>
      </w:r>
      <w:r w:rsidRPr="004A7B7F">
        <w:rPr>
          <w:rFonts w:ascii="Times New Roman" w:hAnsi="Times New Roman" w:cs="Times New Roman"/>
          <w:sz w:val="28"/>
          <w:szCs w:val="28"/>
        </w:rPr>
        <w:t xml:space="preserve">представлены сведения об обращениях граждан, но не о количестве жалоб). </w:t>
      </w:r>
    </w:p>
    <w:p w14:paraId="2D1AD5F0" w14:textId="77777777" w:rsidR="003F4CFF" w:rsidRPr="00C03123" w:rsidRDefault="003F4CFF" w:rsidP="003F4CFF">
      <w:pPr>
        <w:ind w:firstLine="567"/>
        <w:jc w:val="both"/>
        <w:rPr>
          <w:rFonts w:ascii="Times New Roman" w:hAnsi="Times New Roman" w:cs="Times New Roman"/>
          <w:sz w:val="28"/>
          <w:szCs w:val="28"/>
        </w:rPr>
      </w:pPr>
    </w:p>
    <w:p w14:paraId="798E1912" w14:textId="77777777" w:rsidR="003F4CFF" w:rsidRPr="00CE6382" w:rsidRDefault="003F4CFF" w:rsidP="003F4CFF">
      <w:pPr>
        <w:ind w:firstLine="567"/>
        <w:jc w:val="both"/>
        <w:rPr>
          <w:rFonts w:ascii="Times New Roman" w:hAnsi="Times New Roman" w:cs="Times New Roman"/>
          <w:b/>
          <w:sz w:val="28"/>
          <w:szCs w:val="28"/>
        </w:rPr>
      </w:pPr>
      <w:r w:rsidRPr="001127D6">
        <w:rPr>
          <w:rFonts w:ascii="Times New Roman" w:hAnsi="Times New Roman" w:cs="Times New Roman"/>
          <w:b/>
          <w:sz w:val="28"/>
          <w:szCs w:val="28"/>
        </w:rPr>
        <w:t>Удовлетворенность потребителей качеством приобретенных в 2019 г. товаров, работ и услуг, произведенных (оказанных) в субъектах Российской Федерации, имеющих общие территориальные границы с Новосибирской областью</w:t>
      </w:r>
      <w:r>
        <w:rPr>
          <w:rFonts w:ascii="Times New Roman" w:hAnsi="Times New Roman" w:cs="Times New Roman"/>
          <w:b/>
          <w:sz w:val="28"/>
          <w:szCs w:val="28"/>
        </w:rPr>
        <w:t xml:space="preserve">. </w:t>
      </w:r>
      <w:r w:rsidRPr="006D4184">
        <w:rPr>
          <w:rFonts w:ascii="Times New Roman" w:hAnsi="Times New Roman" w:cs="Times New Roman"/>
          <w:sz w:val="28"/>
          <w:szCs w:val="28"/>
        </w:rPr>
        <w:t xml:space="preserve">Потребители Новосибирской области имеют возможность приобретать товары, работы и услуги, произведенные в соседних регионах – в Кемеровской, Омской и Томской областях. </w:t>
      </w:r>
    </w:p>
    <w:p w14:paraId="5B64D347" w14:textId="77777777" w:rsidR="003F4CFF" w:rsidRPr="006D4184"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Установлено, что о</w:t>
      </w:r>
      <w:r w:rsidRPr="006D4184">
        <w:rPr>
          <w:rFonts w:ascii="Times New Roman" w:hAnsi="Times New Roman" w:cs="Times New Roman"/>
          <w:sz w:val="28"/>
          <w:szCs w:val="28"/>
        </w:rPr>
        <w:t>коло трети опрошенных жителей Новосибирской области приобретали товары, работы или услуги, произведенные в соседних регионах: 31,8%</w:t>
      </w:r>
      <w:r>
        <w:rPr>
          <w:rFonts w:ascii="Times New Roman" w:hAnsi="Times New Roman" w:cs="Times New Roman"/>
          <w:sz w:val="28"/>
          <w:szCs w:val="28"/>
        </w:rPr>
        <w:t xml:space="preserve"> респондентов </w:t>
      </w:r>
      <w:r w:rsidRPr="006D4184">
        <w:rPr>
          <w:rFonts w:ascii="Times New Roman" w:hAnsi="Times New Roman" w:cs="Times New Roman"/>
          <w:sz w:val="28"/>
          <w:szCs w:val="28"/>
        </w:rPr>
        <w:t xml:space="preserve">приобретали товары, услуги, произведенные в Кемеровской области, 33,3% – в Томской области, 35,2% – в Омской области. </w:t>
      </w:r>
    </w:p>
    <w:p w14:paraId="460A41DB" w14:textId="77777777"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 xml:space="preserve">Наиболее популярными товарами, услугами из соседних регионов являются продовольственные товары: приобретали продукты питания, напитки, произведенные в Кемеровской области, 20,4% опрошенных жителей Новосибирской области, произведенные в Томской области – 24,8% опрошенных, в Омской области – 29,5% респондентов. </w:t>
      </w:r>
    </w:p>
    <w:p w14:paraId="128D3A17" w14:textId="77777777" w:rsidR="003F4CFF" w:rsidRPr="006D4184" w:rsidRDefault="003F4CFF" w:rsidP="003F4CFF">
      <w:pPr>
        <w:ind w:firstLine="709"/>
        <w:jc w:val="both"/>
        <w:rPr>
          <w:rFonts w:ascii="Times New Roman" w:hAnsi="Times New Roman" w:cs="Times New Roman"/>
          <w:sz w:val="28"/>
          <w:szCs w:val="28"/>
        </w:rPr>
      </w:pPr>
    </w:p>
    <w:p w14:paraId="4EFA3B6D" w14:textId="77777777" w:rsidR="003F4CFF" w:rsidRPr="006D4184" w:rsidRDefault="003F4CFF" w:rsidP="003F4CFF">
      <w:pPr>
        <w:spacing w:after="160" w:line="259" w:lineRule="auto"/>
        <w:rPr>
          <w:rFonts w:ascii="Times New Roman" w:hAnsi="Times New Roman" w:cs="Times New Roman"/>
          <w:b/>
          <w:sz w:val="24"/>
          <w:szCs w:val="24"/>
        </w:rPr>
      </w:pPr>
      <w:r w:rsidRPr="006D4184">
        <w:rPr>
          <w:rFonts w:eastAsia="Times New Roman" w:cs="Times New Roman"/>
          <w:noProof/>
          <w:color w:val="986297"/>
          <w:sz w:val="24"/>
          <w:szCs w:val="22"/>
        </w:rPr>
        <w:lastRenderedPageBreak/>
        <w:drawing>
          <wp:inline distT="0" distB="0" distL="0" distR="0" wp14:anchorId="62DD72E1" wp14:editId="648D0C22">
            <wp:extent cx="5886450" cy="308610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E636ED">
        <w:rPr>
          <w:rFonts w:ascii="Times New Roman" w:hAnsi="Times New Roman" w:cs="Times New Roman"/>
          <w:b/>
          <w:sz w:val="24"/>
          <w:szCs w:val="24"/>
        </w:rPr>
        <w:t>Диаграмма 4–</w:t>
      </w:r>
      <w:r w:rsidRPr="00C808E2">
        <w:rPr>
          <w:rFonts w:ascii="Times New Roman" w:hAnsi="Times New Roman" w:cs="Times New Roman"/>
          <w:b/>
          <w:sz w:val="24"/>
          <w:szCs w:val="24"/>
        </w:rPr>
        <w:t xml:space="preserve"> Товары</w:t>
      </w:r>
      <w:r>
        <w:rPr>
          <w:rFonts w:ascii="Times New Roman" w:hAnsi="Times New Roman" w:cs="Times New Roman"/>
          <w:b/>
          <w:sz w:val="24"/>
          <w:szCs w:val="24"/>
        </w:rPr>
        <w:t xml:space="preserve"> и услуги</w:t>
      </w:r>
      <w:r w:rsidRPr="006D4184">
        <w:rPr>
          <w:rFonts w:ascii="Times New Roman" w:hAnsi="Times New Roman" w:cs="Times New Roman"/>
          <w:b/>
          <w:sz w:val="24"/>
          <w:szCs w:val="24"/>
        </w:rPr>
        <w:t>, приобретаемые жителями Новосибирской области в соседних регионах в 2019 г. (% от числа опрошенных)</w:t>
      </w:r>
    </w:p>
    <w:p w14:paraId="70C6B1D7" w14:textId="08C04915" w:rsidR="003F4CFF" w:rsidRPr="006D4184" w:rsidRDefault="003F4CFF" w:rsidP="003F4CFF">
      <w:pPr>
        <w:ind w:firstLine="567"/>
        <w:jc w:val="both"/>
        <w:rPr>
          <w:rFonts w:ascii="Times New Roman" w:hAnsi="Times New Roman" w:cs="Times New Roman"/>
          <w:sz w:val="28"/>
          <w:szCs w:val="28"/>
        </w:rPr>
      </w:pPr>
      <w:r w:rsidRPr="006D4184">
        <w:rPr>
          <w:rFonts w:ascii="Times New Roman" w:hAnsi="Times New Roman" w:cs="Times New Roman"/>
          <w:sz w:val="28"/>
          <w:szCs w:val="28"/>
        </w:rPr>
        <w:t>3,5% жителей Новосибирской области приобретали уголь из Кемеровской области. Около 1–2% респондентов покупали товары для строительства, ремонта, инструменты или мебель, произведенные в соседних регионах (в Кемеровской области – 1,7% опрошенных, в Томской области – 1,6%, в Омской области – 1,2%). Также 1,2–1,4% респондентов пользовались транспортными услугами, предоставляемыми в Кемеровской и Томской областях. Остальные виды товаров, работ, услуг из соседних регио</w:t>
      </w:r>
      <w:r>
        <w:rPr>
          <w:rFonts w:ascii="Times New Roman" w:hAnsi="Times New Roman" w:cs="Times New Roman"/>
          <w:sz w:val="28"/>
          <w:szCs w:val="28"/>
        </w:rPr>
        <w:t>нов приобретали менее чем по 1</w:t>
      </w:r>
      <w:r w:rsidRPr="006D4184">
        <w:rPr>
          <w:rFonts w:ascii="Times New Roman" w:hAnsi="Times New Roman" w:cs="Times New Roman"/>
          <w:sz w:val="28"/>
          <w:szCs w:val="28"/>
        </w:rPr>
        <w:t xml:space="preserve">% </w:t>
      </w:r>
      <w:r w:rsidRPr="00BF7B1F">
        <w:rPr>
          <w:rFonts w:ascii="Times New Roman" w:hAnsi="Times New Roman" w:cs="Times New Roman"/>
          <w:sz w:val="28"/>
          <w:szCs w:val="28"/>
        </w:rPr>
        <w:t>респондентов ( таблиц</w:t>
      </w:r>
      <w:r w:rsidR="001E0024">
        <w:rPr>
          <w:rFonts w:ascii="Times New Roman" w:hAnsi="Times New Roman" w:cs="Times New Roman"/>
          <w:sz w:val="28"/>
          <w:szCs w:val="28"/>
        </w:rPr>
        <w:t>а</w:t>
      </w:r>
      <w:r w:rsidRPr="00BF7B1F">
        <w:rPr>
          <w:rFonts w:ascii="Times New Roman" w:hAnsi="Times New Roman" w:cs="Times New Roman"/>
          <w:sz w:val="28"/>
          <w:szCs w:val="28"/>
        </w:rPr>
        <w:t xml:space="preserve"> 15).</w:t>
      </w:r>
    </w:p>
    <w:p w14:paraId="11A17EDE" w14:textId="77777777" w:rsidR="003F4CFF" w:rsidRPr="006D4184" w:rsidRDefault="003F4CFF" w:rsidP="003F4CFF">
      <w:pPr>
        <w:jc w:val="both"/>
        <w:rPr>
          <w:rFonts w:eastAsia="SimSun" w:cs="Times New Roman"/>
          <w:sz w:val="28"/>
          <w:szCs w:val="28"/>
          <w:lang w:eastAsia="ar-SA"/>
        </w:rPr>
      </w:pPr>
    </w:p>
    <w:p w14:paraId="7B8CC491" w14:textId="77777777" w:rsidR="003F4CFF" w:rsidRPr="00373D81" w:rsidRDefault="003F4CFF" w:rsidP="003F4CFF">
      <w:pPr>
        <w:jc w:val="both"/>
        <w:rPr>
          <w:rFonts w:ascii="Times New Roman" w:hAnsi="Times New Roman" w:cs="Times New Roman"/>
          <w:sz w:val="28"/>
          <w:szCs w:val="28"/>
        </w:rPr>
      </w:pPr>
      <w:r w:rsidRPr="00BF7B1F">
        <w:rPr>
          <w:rFonts w:ascii="Times New Roman" w:eastAsia="SimSun" w:hAnsi="Times New Roman" w:cs="Times New Roman"/>
          <w:sz w:val="28"/>
          <w:szCs w:val="28"/>
          <w:lang w:eastAsia="ar-SA"/>
        </w:rPr>
        <w:t>Таблица 15 </w:t>
      </w:r>
      <w:r w:rsidRPr="00BF7B1F">
        <w:rPr>
          <w:rFonts w:ascii="Times New Roman" w:hAnsi="Times New Roman" w:cs="Times New Roman"/>
          <w:sz w:val="28"/>
          <w:szCs w:val="28"/>
        </w:rPr>
        <w:t>–</w:t>
      </w:r>
      <w:r>
        <w:rPr>
          <w:rFonts w:ascii="Times New Roman" w:hAnsi="Times New Roman" w:cs="Times New Roman"/>
          <w:sz w:val="28"/>
          <w:szCs w:val="28"/>
        </w:rPr>
        <w:t> </w:t>
      </w:r>
      <w:r w:rsidRPr="00373D81">
        <w:rPr>
          <w:rFonts w:ascii="Times New Roman" w:hAnsi="Times New Roman" w:cs="Times New Roman"/>
          <w:sz w:val="28"/>
          <w:szCs w:val="28"/>
        </w:rPr>
        <w:t xml:space="preserve">Товары и услуги, приобретаемые жителями Новосибирской области в соседних регионах в </w:t>
      </w:r>
      <w:r>
        <w:rPr>
          <w:rFonts w:ascii="Times New Roman" w:hAnsi="Times New Roman" w:cs="Times New Roman"/>
          <w:sz w:val="28"/>
          <w:szCs w:val="28"/>
        </w:rPr>
        <w:t>2019 г. (% от числа опрошенных)</w:t>
      </w:r>
    </w:p>
    <w:tbl>
      <w:tblPr>
        <w:tblW w:w="5000" w:type="pct"/>
        <w:tblBorders>
          <w:top w:val="single" w:sz="4" w:space="0" w:color="7F7F7F"/>
          <w:bottom w:val="single" w:sz="4" w:space="0" w:color="7F7F7F"/>
        </w:tblBorders>
        <w:tblLook w:val="04A0" w:firstRow="1" w:lastRow="0" w:firstColumn="1" w:lastColumn="0" w:noHBand="0" w:noVBand="1"/>
      </w:tblPr>
      <w:tblGrid>
        <w:gridCol w:w="4468"/>
        <w:gridCol w:w="2113"/>
        <w:gridCol w:w="1629"/>
        <w:gridCol w:w="1711"/>
      </w:tblGrid>
      <w:tr w:rsidR="003F4CFF" w:rsidRPr="00293FDC" w14:paraId="4661F295" w14:textId="77777777" w:rsidTr="00124BC6">
        <w:trPr>
          <w:trHeight w:val="20"/>
        </w:trPr>
        <w:tc>
          <w:tcPr>
            <w:tcW w:w="2252" w:type="pct"/>
            <w:tcBorders>
              <w:top w:val="single" w:sz="12" w:space="0" w:color="auto"/>
              <w:left w:val="nil"/>
              <w:bottom w:val="nil"/>
              <w:right w:val="nil"/>
            </w:tcBorders>
            <w:shd w:val="clear" w:color="auto" w:fill="auto"/>
            <w:noWrap/>
            <w:hideMark/>
          </w:tcPr>
          <w:p w14:paraId="625DD82C" w14:textId="77777777" w:rsidR="003F4CFF" w:rsidRPr="00237525" w:rsidRDefault="003F4CFF" w:rsidP="003F4CFF">
            <w:pPr>
              <w:rPr>
                <w:rFonts w:ascii="Times New Roman" w:hAnsi="Times New Roman"/>
              </w:rPr>
            </w:pPr>
            <w:r w:rsidRPr="00237525">
              <w:rPr>
                <w:rFonts w:ascii="Times New Roman" w:hAnsi="Times New Roman"/>
              </w:rPr>
              <w:t>Товары, работы, услуги</w:t>
            </w:r>
          </w:p>
        </w:tc>
        <w:tc>
          <w:tcPr>
            <w:tcW w:w="1065" w:type="pct"/>
            <w:tcBorders>
              <w:top w:val="single" w:sz="12" w:space="0" w:color="auto"/>
              <w:left w:val="nil"/>
              <w:bottom w:val="nil"/>
              <w:right w:val="nil"/>
            </w:tcBorders>
            <w:shd w:val="clear" w:color="auto" w:fill="auto"/>
            <w:noWrap/>
            <w:hideMark/>
          </w:tcPr>
          <w:p w14:paraId="453B0699" w14:textId="77777777" w:rsidR="003F4CFF" w:rsidRPr="00237525" w:rsidRDefault="003F4CFF" w:rsidP="003F4CFF">
            <w:pPr>
              <w:rPr>
                <w:rFonts w:ascii="Times New Roman" w:hAnsi="Times New Roman"/>
              </w:rPr>
            </w:pPr>
            <w:r w:rsidRPr="00237525">
              <w:rPr>
                <w:rFonts w:ascii="Times New Roman" w:hAnsi="Times New Roman"/>
              </w:rPr>
              <w:t>Кемеровская область</w:t>
            </w:r>
          </w:p>
        </w:tc>
        <w:tc>
          <w:tcPr>
            <w:tcW w:w="821" w:type="pct"/>
            <w:tcBorders>
              <w:top w:val="single" w:sz="12" w:space="0" w:color="auto"/>
              <w:left w:val="nil"/>
              <w:bottom w:val="nil"/>
              <w:right w:val="nil"/>
            </w:tcBorders>
            <w:shd w:val="clear" w:color="auto" w:fill="auto"/>
            <w:noWrap/>
            <w:hideMark/>
          </w:tcPr>
          <w:p w14:paraId="0478E3AB" w14:textId="77777777" w:rsidR="003F4CFF" w:rsidRPr="00237525" w:rsidRDefault="003F4CFF" w:rsidP="003F4CFF">
            <w:pPr>
              <w:rPr>
                <w:rFonts w:ascii="Times New Roman" w:hAnsi="Times New Roman"/>
              </w:rPr>
            </w:pPr>
            <w:r w:rsidRPr="00237525">
              <w:rPr>
                <w:rFonts w:ascii="Times New Roman" w:hAnsi="Times New Roman"/>
              </w:rPr>
              <w:t>Омская область</w:t>
            </w:r>
          </w:p>
        </w:tc>
        <w:tc>
          <w:tcPr>
            <w:tcW w:w="862" w:type="pct"/>
            <w:tcBorders>
              <w:top w:val="single" w:sz="12" w:space="0" w:color="auto"/>
              <w:left w:val="nil"/>
              <w:bottom w:val="nil"/>
              <w:right w:val="nil"/>
            </w:tcBorders>
            <w:shd w:val="clear" w:color="auto" w:fill="auto"/>
            <w:noWrap/>
            <w:hideMark/>
          </w:tcPr>
          <w:p w14:paraId="2CC2C08F" w14:textId="77777777" w:rsidR="003F4CFF" w:rsidRPr="00237525" w:rsidRDefault="003F4CFF" w:rsidP="003F4CFF">
            <w:pPr>
              <w:rPr>
                <w:rFonts w:ascii="Times New Roman" w:hAnsi="Times New Roman"/>
              </w:rPr>
            </w:pPr>
            <w:r w:rsidRPr="00237525">
              <w:rPr>
                <w:rFonts w:ascii="Times New Roman" w:hAnsi="Times New Roman"/>
              </w:rPr>
              <w:t>Томская область</w:t>
            </w:r>
          </w:p>
        </w:tc>
      </w:tr>
      <w:tr w:rsidR="003F4CFF" w:rsidRPr="00293FDC" w14:paraId="10158C7E" w14:textId="77777777" w:rsidTr="00124BC6">
        <w:trPr>
          <w:trHeight w:val="20"/>
        </w:trPr>
        <w:tc>
          <w:tcPr>
            <w:tcW w:w="2252" w:type="pct"/>
            <w:tcBorders>
              <w:top w:val="single" w:sz="4" w:space="0" w:color="7F7F7F"/>
              <w:left w:val="nil"/>
              <w:bottom w:val="single" w:sz="4" w:space="0" w:color="7F7F7F"/>
              <w:right w:val="nil"/>
            </w:tcBorders>
            <w:shd w:val="clear" w:color="auto" w:fill="auto"/>
            <w:hideMark/>
          </w:tcPr>
          <w:p w14:paraId="36A426A8" w14:textId="77777777" w:rsidR="003F4CFF" w:rsidRPr="00237525" w:rsidRDefault="003F4CFF" w:rsidP="003F4CFF">
            <w:pPr>
              <w:rPr>
                <w:rFonts w:ascii="Times New Roman" w:hAnsi="Times New Roman"/>
              </w:rPr>
            </w:pPr>
            <w:r w:rsidRPr="00237525">
              <w:rPr>
                <w:rFonts w:ascii="Times New Roman" w:hAnsi="Times New Roman"/>
              </w:rPr>
              <w:t>ничего не покупали</w:t>
            </w:r>
          </w:p>
        </w:tc>
        <w:tc>
          <w:tcPr>
            <w:tcW w:w="1065" w:type="pct"/>
            <w:tcBorders>
              <w:top w:val="single" w:sz="4" w:space="0" w:color="7F7F7F"/>
              <w:left w:val="nil"/>
              <w:bottom w:val="single" w:sz="4" w:space="0" w:color="7F7F7F"/>
              <w:right w:val="nil"/>
            </w:tcBorders>
            <w:shd w:val="clear" w:color="auto" w:fill="auto"/>
            <w:hideMark/>
          </w:tcPr>
          <w:p w14:paraId="526BBD6B"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68,2%</w:t>
            </w:r>
          </w:p>
        </w:tc>
        <w:tc>
          <w:tcPr>
            <w:tcW w:w="821" w:type="pct"/>
            <w:tcBorders>
              <w:top w:val="single" w:sz="4" w:space="0" w:color="7F7F7F"/>
              <w:left w:val="nil"/>
              <w:bottom w:val="single" w:sz="4" w:space="0" w:color="7F7F7F"/>
              <w:right w:val="nil"/>
            </w:tcBorders>
            <w:shd w:val="clear" w:color="auto" w:fill="auto"/>
            <w:hideMark/>
          </w:tcPr>
          <w:p w14:paraId="0A4E892B"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64,8%</w:t>
            </w:r>
          </w:p>
        </w:tc>
        <w:tc>
          <w:tcPr>
            <w:tcW w:w="862" w:type="pct"/>
            <w:tcBorders>
              <w:top w:val="single" w:sz="4" w:space="0" w:color="7F7F7F"/>
              <w:left w:val="nil"/>
              <w:bottom w:val="single" w:sz="4" w:space="0" w:color="7F7F7F"/>
              <w:right w:val="nil"/>
            </w:tcBorders>
            <w:shd w:val="clear" w:color="auto" w:fill="auto"/>
            <w:hideMark/>
          </w:tcPr>
          <w:p w14:paraId="01F0DB31"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66,7%</w:t>
            </w:r>
          </w:p>
        </w:tc>
      </w:tr>
      <w:tr w:rsidR="003F4CFF" w:rsidRPr="00293FDC" w14:paraId="6CEE0432" w14:textId="77777777" w:rsidTr="00124BC6">
        <w:trPr>
          <w:trHeight w:val="20"/>
        </w:trPr>
        <w:tc>
          <w:tcPr>
            <w:tcW w:w="2252" w:type="pct"/>
            <w:tcBorders>
              <w:top w:val="nil"/>
              <w:left w:val="nil"/>
              <w:bottom w:val="nil"/>
              <w:right w:val="nil"/>
            </w:tcBorders>
            <w:shd w:val="clear" w:color="auto" w:fill="auto"/>
            <w:hideMark/>
          </w:tcPr>
          <w:p w14:paraId="25BB7F44" w14:textId="77777777" w:rsidR="003F4CFF" w:rsidRPr="00237525" w:rsidRDefault="003F4CFF" w:rsidP="003F4CFF">
            <w:pPr>
              <w:rPr>
                <w:rFonts w:ascii="Times New Roman" w:hAnsi="Times New Roman"/>
              </w:rPr>
            </w:pPr>
            <w:r w:rsidRPr="00237525">
              <w:rPr>
                <w:rFonts w:ascii="Times New Roman" w:hAnsi="Times New Roman"/>
              </w:rPr>
              <w:t>продукты питания, напитки</w:t>
            </w:r>
          </w:p>
        </w:tc>
        <w:tc>
          <w:tcPr>
            <w:tcW w:w="1065" w:type="pct"/>
            <w:tcBorders>
              <w:top w:val="nil"/>
              <w:left w:val="nil"/>
              <w:bottom w:val="nil"/>
              <w:right w:val="nil"/>
            </w:tcBorders>
            <w:shd w:val="clear" w:color="auto" w:fill="auto"/>
            <w:hideMark/>
          </w:tcPr>
          <w:p w14:paraId="250E14BE"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20,4%</w:t>
            </w:r>
          </w:p>
        </w:tc>
        <w:tc>
          <w:tcPr>
            <w:tcW w:w="821" w:type="pct"/>
            <w:tcBorders>
              <w:top w:val="nil"/>
              <w:left w:val="nil"/>
              <w:bottom w:val="nil"/>
              <w:right w:val="nil"/>
            </w:tcBorders>
            <w:shd w:val="clear" w:color="auto" w:fill="auto"/>
            <w:hideMark/>
          </w:tcPr>
          <w:p w14:paraId="283E89FA"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29,5%</w:t>
            </w:r>
          </w:p>
        </w:tc>
        <w:tc>
          <w:tcPr>
            <w:tcW w:w="862" w:type="pct"/>
            <w:tcBorders>
              <w:top w:val="nil"/>
              <w:left w:val="nil"/>
              <w:bottom w:val="nil"/>
              <w:right w:val="nil"/>
            </w:tcBorders>
            <w:shd w:val="clear" w:color="auto" w:fill="auto"/>
            <w:hideMark/>
          </w:tcPr>
          <w:p w14:paraId="02400435"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24,8%</w:t>
            </w:r>
          </w:p>
        </w:tc>
      </w:tr>
      <w:tr w:rsidR="003F4CFF" w:rsidRPr="00293FDC" w14:paraId="57DB8882" w14:textId="77777777" w:rsidTr="00124BC6">
        <w:trPr>
          <w:trHeight w:val="20"/>
        </w:trPr>
        <w:tc>
          <w:tcPr>
            <w:tcW w:w="2252" w:type="pct"/>
            <w:tcBorders>
              <w:top w:val="single" w:sz="4" w:space="0" w:color="7F7F7F"/>
              <w:left w:val="nil"/>
              <w:bottom w:val="single" w:sz="4" w:space="0" w:color="7F7F7F"/>
              <w:right w:val="nil"/>
            </w:tcBorders>
            <w:shd w:val="clear" w:color="auto" w:fill="auto"/>
            <w:hideMark/>
          </w:tcPr>
          <w:p w14:paraId="0223F30C" w14:textId="77777777" w:rsidR="003F4CFF" w:rsidRPr="00237525" w:rsidRDefault="003F4CFF" w:rsidP="003F4CFF">
            <w:pPr>
              <w:rPr>
                <w:rFonts w:ascii="Times New Roman" w:hAnsi="Times New Roman"/>
              </w:rPr>
            </w:pPr>
            <w:r w:rsidRPr="00237525">
              <w:rPr>
                <w:rFonts w:ascii="Times New Roman" w:hAnsi="Times New Roman"/>
              </w:rPr>
              <w:t>уголь</w:t>
            </w:r>
          </w:p>
        </w:tc>
        <w:tc>
          <w:tcPr>
            <w:tcW w:w="1065" w:type="pct"/>
            <w:tcBorders>
              <w:top w:val="single" w:sz="4" w:space="0" w:color="7F7F7F"/>
              <w:left w:val="nil"/>
              <w:bottom w:val="single" w:sz="4" w:space="0" w:color="7F7F7F"/>
              <w:right w:val="nil"/>
            </w:tcBorders>
            <w:shd w:val="clear" w:color="auto" w:fill="auto"/>
            <w:hideMark/>
          </w:tcPr>
          <w:p w14:paraId="382FC7BC"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3,5%</w:t>
            </w:r>
          </w:p>
        </w:tc>
        <w:tc>
          <w:tcPr>
            <w:tcW w:w="821" w:type="pct"/>
            <w:tcBorders>
              <w:top w:val="single" w:sz="4" w:space="0" w:color="7F7F7F"/>
              <w:left w:val="nil"/>
              <w:bottom w:val="single" w:sz="4" w:space="0" w:color="7F7F7F"/>
              <w:right w:val="nil"/>
            </w:tcBorders>
            <w:shd w:val="clear" w:color="auto" w:fill="auto"/>
            <w:hideMark/>
          </w:tcPr>
          <w:p w14:paraId="1C0E4FDE"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w:t>
            </w:r>
          </w:p>
        </w:tc>
        <w:tc>
          <w:tcPr>
            <w:tcW w:w="862" w:type="pct"/>
            <w:tcBorders>
              <w:top w:val="single" w:sz="4" w:space="0" w:color="7F7F7F"/>
              <w:left w:val="nil"/>
              <w:bottom w:val="single" w:sz="4" w:space="0" w:color="7F7F7F"/>
              <w:right w:val="nil"/>
            </w:tcBorders>
            <w:shd w:val="clear" w:color="auto" w:fill="auto"/>
            <w:hideMark/>
          </w:tcPr>
          <w:p w14:paraId="6C1AB696"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w:t>
            </w:r>
          </w:p>
        </w:tc>
      </w:tr>
      <w:tr w:rsidR="003F4CFF" w:rsidRPr="00293FDC" w14:paraId="631F6D5F" w14:textId="77777777" w:rsidTr="00124BC6">
        <w:trPr>
          <w:trHeight w:val="20"/>
        </w:trPr>
        <w:tc>
          <w:tcPr>
            <w:tcW w:w="2252" w:type="pct"/>
            <w:tcBorders>
              <w:top w:val="nil"/>
              <w:left w:val="nil"/>
              <w:bottom w:val="nil"/>
              <w:right w:val="nil"/>
            </w:tcBorders>
            <w:shd w:val="clear" w:color="auto" w:fill="auto"/>
            <w:hideMark/>
          </w:tcPr>
          <w:p w14:paraId="1C10D259" w14:textId="77777777" w:rsidR="003F4CFF" w:rsidRPr="00237525" w:rsidRDefault="003F4CFF" w:rsidP="003F4CFF">
            <w:pPr>
              <w:rPr>
                <w:rFonts w:ascii="Times New Roman" w:hAnsi="Times New Roman"/>
              </w:rPr>
            </w:pPr>
            <w:r w:rsidRPr="00237525">
              <w:rPr>
                <w:rFonts w:ascii="Times New Roman" w:hAnsi="Times New Roman"/>
              </w:rPr>
              <w:t>товары для строительства, ремонта, инструменты, мебель</w:t>
            </w:r>
          </w:p>
        </w:tc>
        <w:tc>
          <w:tcPr>
            <w:tcW w:w="1065" w:type="pct"/>
            <w:tcBorders>
              <w:top w:val="nil"/>
              <w:left w:val="nil"/>
              <w:bottom w:val="nil"/>
              <w:right w:val="nil"/>
            </w:tcBorders>
            <w:shd w:val="clear" w:color="auto" w:fill="auto"/>
            <w:hideMark/>
          </w:tcPr>
          <w:p w14:paraId="4C62621E"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1,7%</w:t>
            </w:r>
          </w:p>
        </w:tc>
        <w:tc>
          <w:tcPr>
            <w:tcW w:w="821" w:type="pct"/>
            <w:tcBorders>
              <w:top w:val="nil"/>
              <w:left w:val="nil"/>
              <w:bottom w:val="nil"/>
              <w:right w:val="nil"/>
            </w:tcBorders>
            <w:shd w:val="clear" w:color="auto" w:fill="auto"/>
            <w:hideMark/>
          </w:tcPr>
          <w:p w14:paraId="755B052B"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1,2%</w:t>
            </w:r>
          </w:p>
        </w:tc>
        <w:tc>
          <w:tcPr>
            <w:tcW w:w="862" w:type="pct"/>
            <w:tcBorders>
              <w:top w:val="nil"/>
              <w:left w:val="nil"/>
              <w:bottom w:val="nil"/>
              <w:right w:val="nil"/>
            </w:tcBorders>
            <w:shd w:val="clear" w:color="auto" w:fill="auto"/>
            <w:hideMark/>
          </w:tcPr>
          <w:p w14:paraId="3FE22E85"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1,6%</w:t>
            </w:r>
          </w:p>
        </w:tc>
      </w:tr>
      <w:tr w:rsidR="003F4CFF" w:rsidRPr="00293FDC" w14:paraId="4FDE94FE" w14:textId="77777777" w:rsidTr="00124BC6">
        <w:trPr>
          <w:trHeight w:val="20"/>
        </w:trPr>
        <w:tc>
          <w:tcPr>
            <w:tcW w:w="2252" w:type="pct"/>
            <w:tcBorders>
              <w:top w:val="single" w:sz="4" w:space="0" w:color="7F7F7F"/>
              <w:left w:val="nil"/>
              <w:bottom w:val="single" w:sz="4" w:space="0" w:color="7F7F7F"/>
              <w:right w:val="nil"/>
            </w:tcBorders>
            <w:shd w:val="clear" w:color="auto" w:fill="auto"/>
            <w:hideMark/>
          </w:tcPr>
          <w:p w14:paraId="47B3B32C" w14:textId="77777777" w:rsidR="003F4CFF" w:rsidRPr="00237525" w:rsidRDefault="003F4CFF" w:rsidP="003F4CFF">
            <w:pPr>
              <w:rPr>
                <w:rFonts w:ascii="Times New Roman" w:hAnsi="Times New Roman"/>
              </w:rPr>
            </w:pPr>
            <w:r w:rsidRPr="00237525">
              <w:rPr>
                <w:rFonts w:ascii="Times New Roman" w:hAnsi="Times New Roman"/>
              </w:rPr>
              <w:t>транспортные услуги</w:t>
            </w:r>
          </w:p>
        </w:tc>
        <w:tc>
          <w:tcPr>
            <w:tcW w:w="1065" w:type="pct"/>
            <w:tcBorders>
              <w:top w:val="single" w:sz="4" w:space="0" w:color="7F7F7F"/>
              <w:left w:val="nil"/>
              <w:bottom w:val="single" w:sz="4" w:space="0" w:color="7F7F7F"/>
              <w:right w:val="nil"/>
            </w:tcBorders>
            <w:shd w:val="clear" w:color="auto" w:fill="auto"/>
            <w:hideMark/>
          </w:tcPr>
          <w:p w14:paraId="53ED7AC5"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1,4%</w:t>
            </w:r>
          </w:p>
        </w:tc>
        <w:tc>
          <w:tcPr>
            <w:tcW w:w="821" w:type="pct"/>
            <w:tcBorders>
              <w:top w:val="single" w:sz="4" w:space="0" w:color="7F7F7F"/>
              <w:left w:val="nil"/>
              <w:bottom w:val="single" w:sz="4" w:space="0" w:color="7F7F7F"/>
              <w:right w:val="nil"/>
            </w:tcBorders>
            <w:shd w:val="clear" w:color="auto" w:fill="auto"/>
            <w:hideMark/>
          </w:tcPr>
          <w:p w14:paraId="588BC4F6"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0,4%</w:t>
            </w:r>
          </w:p>
        </w:tc>
        <w:tc>
          <w:tcPr>
            <w:tcW w:w="862" w:type="pct"/>
            <w:tcBorders>
              <w:top w:val="single" w:sz="4" w:space="0" w:color="7F7F7F"/>
              <w:left w:val="nil"/>
              <w:bottom w:val="single" w:sz="4" w:space="0" w:color="7F7F7F"/>
              <w:right w:val="nil"/>
            </w:tcBorders>
            <w:shd w:val="clear" w:color="auto" w:fill="auto"/>
            <w:hideMark/>
          </w:tcPr>
          <w:p w14:paraId="050FF2B4"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1,2%</w:t>
            </w:r>
          </w:p>
        </w:tc>
      </w:tr>
      <w:tr w:rsidR="003F4CFF" w:rsidRPr="00293FDC" w14:paraId="1C2036DF" w14:textId="77777777" w:rsidTr="00124BC6">
        <w:trPr>
          <w:trHeight w:val="20"/>
        </w:trPr>
        <w:tc>
          <w:tcPr>
            <w:tcW w:w="2252" w:type="pct"/>
            <w:tcBorders>
              <w:top w:val="nil"/>
              <w:left w:val="nil"/>
              <w:bottom w:val="nil"/>
              <w:right w:val="nil"/>
            </w:tcBorders>
            <w:shd w:val="clear" w:color="auto" w:fill="auto"/>
            <w:hideMark/>
          </w:tcPr>
          <w:p w14:paraId="2906B78E" w14:textId="77777777" w:rsidR="003F4CFF" w:rsidRPr="00237525" w:rsidRDefault="003F4CFF" w:rsidP="003F4CFF">
            <w:pPr>
              <w:rPr>
                <w:rFonts w:ascii="Times New Roman" w:hAnsi="Times New Roman"/>
              </w:rPr>
            </w:pPr>
            <w:r w:rsidRPr="00237525">
              <w:rPr>
                <w:rFonts w:ascii="Times New Roman" w:hAnsi="Times New Roman"/>
              </w:rPr>
              <w:t>товары легкой промышленности (одежда, обувь, текстиль)</w:t>
            </w:r>
          </w:p>
        </w:tc>
        <w:tc>
          <w:tcPr>
            <w:tcW w:w="1065" w:type="pct"/>
            <w:tcBorders>
              <w:top w:val="nil"/>
              <w:left w:val="nil"/>
              <w:bottom w:val="nil"/>
              <w:right w:val="nil"/>
            </w:tcBorders>
            <w:shd w:val="clear" w:color="auto" w:fill="auto"/>
            <w:hideMark/>
          </w:tcPr>
          <w:p w14:paraId="01BC8FEB"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0,6%</w:t>
            </w:r>
          </w:p>
        </w:tc>
        <w:tc>
          <w:tcPr>
            <w:tcW w:w="821" w:type="pct"/>
            <w:tcBorders>
              <w:top w:val="nil"/>
              <w:left w:val="nil"/>
              <w:bottom w:val="nil"/>
              <w:right w:val="nil"/>
            </w:tcBorders>
            <w:shd w:val="clear" w:color="auto" w:fill="auto"/>
            <w:hideMark/>
          </w:tcPr>
          <w:p w14:paraId="39E9C8DE"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0,6%</w:t>
            </w:r>
          </w:p>
        </w:tc>
        <w:tc>
          <w:tcPr>
            <w:tcW w:w="862" w:type="pct"/>
            <w:tcBorders>
              <w:top w:val="nil"/>
              <w:left w:val="nil"/>
              <w:bottom w:val="nil"/>
              <w:right w:val="nil"/>
            </w:tcBorders>
            <w:shd w:val="clear" w:color="auto" w:fill="auto"/>
            <w:hideMark/>
          </w:tcPr>
          <w:p w14:paraId="58CBC3B7"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0,2%</w:t>
            </w:r>
          </w:p>
        </w:tc>
      </w:tr>
      <w:tr w:rsidR="003F4CFF" w:rsidRPr="00293FDC" w14:paraId="2C9550E3" w14:textId="77777777" w:rsidTr="00124BC6">
        <w:trPr>
          <w:trHeight w:val="20"/>
        </w:trPr>
        <w:tc>
          <w:tcPr>
            <w:tcW w:w="2252" w:type="pct"/>
            <w:tcBorders>
              <w:top w:val="single" w:sz="4" w:space="0" w:color="7F7F7F"/>
              <w:left w:val="nil"/>
              <w:bottom w:val="single" w:sz="4" w:space="0" w:color="7F7F7F"/>
              <w:right w:val="nil"/>
            </w:tcBorders>
            <w:shd w:val="clear" w:color="auto" w:fill="auto"/>
            <w:hideMark/>
          </w:tcPr>
          <w:p w14:paraId="1AE5D85D" w14:textId="77777777" w:rsidR="003F4CFF" w:rsidRPr="00237525" w:rsidRDefault="003F4CFF" w:rsidP="003F4CFF">
            <w:pPr>
              <w:rPr>
                <w:rFonts w:ascii="Times New Roman" w:hAnsi="Times New Roman"/>
              </w:rPr>
            </w:pPr>
            <w:r w:rsidRPr="00237525">
              <w:rPr>
                <w:rFonts w:ascii="Times New Roman" w:hAnsi="Times New Roman"/>
              </w:rPr>
              <w:t>услуги ЖКХ</w:t>
            </w:r>
          </w:p>
        </w:tc>
        <w:tc>
          <w:tcPr>
            <w:tcW w:w="1065" w:type="pct"/>
            <w:tcBorders>
              <w:top w:val="single" w:sz="4" w:space="0" w:color="7F7F7F"/>
              <w:left w:val="nil"/>
              <w:bottom w:val="single" w:sz="4" w:space="0" w:color="7F7F7F"/>
              <w:right w:val="nil"/>
            </w:tcBorders>
            <w:shd w:val="clear" w:color="auto" w:fill="auto"/>
            <w:hideMark/>
          </w:tcPr>
          <w:p w14:paraId="7EAA28F8"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0,6%</w:t>
            </w:r>
          </w:p>
        </w:tc>
        <w:tc>
          <w:tcPr>
            <w:tcW w:w="821" w:type="pct"/>
            <w:tcBorders>
              <w:top w:val="single" w:sz="4" w:space="0" w:color="7F7F7F"/>
              <w:left w:val="nil"/>
              <w:bottom w:val="single" w:sz="4" w:space="0" w:color="7F7F7F"/>
              <w:right w:val="nil"/>
            </w:tcBorders>
            <w:shd w:val="clear" w:color="auto" w:fill="auto"/>
            <w:hideMark/>
          </w:tcPr>
          <w:p w14:paraId="60F2B358"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0,2%</w:t>
            </w:r>
          </w:p>
        </w:tc>
        <w:tc>
          <w:tcPr>
            <w:tcW w:w="862" w:type="pct"/>
            <w:tcBorders>
              <w:top w:val="single" w:sz="4" w:space="0" w:color="7F7F7F"/>
              <w:left w:val="nil"/>
              <w:bottom w:val="single" w:sz="4" w:space="0" w:color="7F7F7F"/>
              <w:right w:val="nil"/>
            </w:tcBorders>
            <w:shd w:val="clear" w:color="auto" w:fill="auto"/>
            <w:hideMark/>
          </w:tcPr>
          <w:p w14:paraId="59D71D8B"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0,2%</w:t>
            </w:r>
          </w:p>
        </w:tc>
      </w:tr>
      <w:tr w:rsidR="003F4CFF" w:rsidRPr="00293FDC" w14:paraId="775B4A7F" w14:textId="77777777" w:rsidTr="00124BC6">
        <w:trPr>
          <w:trHeight w:val="20"/>
        </w:trPr>
        <w:tc>
          <w:tcPr>
            <w:tcW w:w="2252" w:type="pct"/>
            <w:tcBorders>
              <w:top w:val="nil"/>
              <w:left w:val="nil"/>
              <w:bottom w:val="nil"/>
              <w:right w:val="nil"/>
            </w:tcBorders>
            <w:shd w:val="clear" w:color="auto" w:fill="auto"/>
            <w:hideMark/>
          </w:tcPr>
          <w:p w14:paraId="774CE3D0" w14:textId="77777777" w:rsidR="003F4CFF" w:rsidRPr="00237525" w:rsidRDefault="003F4CFF" w:rsidP="003F4CFF">
            <w:pPr>
              <w:rPr>
                <w:rFonts w:ascii="Times New Roman" w:hAnsi="Times New Roman"/>
              </w:rPr>
            </w:pPr>
            <w:r w:rsidRPr="00237525">
              <w:rPr>
                <w:rFonts w:ascii="Times New Roman" w:hAnsi="Times New Roman"/>
              </w:rPr>
              <w:t>услуги розничной торговли лекарственными препаратами, медицинскими изделиями и сопутствующими товарами</w:t>
            </w:r>
          </w:p>
        </w:tc>
        <w:tc>
          <w:tcPr>
            <w:tcW w:w="1065" w:type="pct"/>
            <w:tcBorders>
              <w:top w:val="nil"/>
              <w:left w:val="nil"/>
              <w:bottom w:val="nil"/>
              <w:right w:val="nil"/>
            </w:tcBorders>
            <w:shd w:val="clear" w:color="auto" w:fill="auto"/>
            <w:hideMark/>
          </w:tcPr>
          <w:p w14:paraId="5BCC8A1D"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0,4%</w:t>
            </w:r>
          </w:p>
        </w:tc>
        <w:tc>
          <w:tcPr>
            <w:tcW w:w="821" w:type="pct"/>
            <w:tcBorders>
              <w:top w:val="nil"/>
              <w:left w:val="nil"/>
              <w:bottom w:val="nil"/>
              <w:right w:val="nil"/>
            </w:tcBorders>
            <w:shd w:val="clear" w:color="auto" w:fill="auto"/>
            <w:hideMark/>
          </w:tcPr>
          <w:p w14:paraId="50DB5593"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0,4%</w:t>
            </w:r>
          </w:p>
        </w:tc>
        <w:tc>
          <w:tcPr>
            <w:tcW w:w="862" w:type="pct"/>
            <w:tcBorders>
              <w:top w:val="nil"/>
              <w:left w:val="nil"/>
              <w:bottom w:val="nil"/>
              <w:right w:val="nil"/>
            </w:tcBorders>
            <w:shd w:val="clear" w:color="auto" w:fill="auto"/>
            <w:hideMark/>
          </w:tcPr>
          <w:p w14:paraId="096EB67B"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0,4%</w:t>
            </w:r>
          </w:p>
        </w:tc>
      </w:tr>
      <w:tr w:rsidR="003F4CFF" w:rsidRPr="00293FDC" w14:paraId="6BF2880C" w14:textId="77777777" w:rsidTr="00124BC6">
        <w:trPr>
          <w:trHeight w:val="20"/>
        </w:trPr>
        <w:tc>
          <w:tcPr>
            <w:tcW w:w="2252" w:type="pct"/>
            <w:tcBorders>
              <w:top w:val="single" w:sz="4" w:space="0" w:color="7F7F7F"/>
              <w:left w:val="nil"/>
              <w:bottom w:val="single" w:sz="4" w:space="0" w:color="7F7F7F"/>
              <w:right w:val="nil"/>
            </w:tcBorders>
            <w:shd w:val="clear" w:color="auto" w:fill="auto"/>
            <w:hideMark/>
          </w:tcPr>
          <w:p w14:paraId="0445E4B9" w14:textId="77777777" w:rsidR="003F4CFF" w:rsidRPr="00237525" w:rsidRDefault="003F4CFF" w:rsidP="003F4CFF">
            <w:pPr>
              <w:rPr>
                <w:rFonts w:ascii="Times New Roman" w:hAnsi="Times New Roman"/>
              </w:rPr>
            </w:pPr>
            <w:r w:rsidRPr="00237525">
              <w:rPr>
                <w:rFonts w:ascii="Times New Roman" w:hAnsi="Times New Roman"/>
              </w:rPr>
              <w:t>услуги по ремонту, строительству, автосервис</w:t>
            </w:r>
          </w:p>
        </w:tc>
        <w:tc>
          <w:tcPr>
            <w:tcW w:w="1065" w:type="pct"/>
            <w:tcBorders>
              <w:top w:val="single" w:sz="4" w:space="0" w:color="7F7F7F"/>
              <w:left w:val="nil"/>
              <w:bottom w:val="single" w:sz="4" w:space="0" w:color="7F7F7F"/>
              <w:right w:val="nil"/>
            </w:tcBorders>
            <w:shd w:val="clear" w:color="auto" w:fill="auto"/>
            <w:hideMark/>
          </w:tcPr>
          <w:p w14:paraId="086446FB"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0,4%</w:t>
            </w:r>
          </w:p>
        </w:tc>
        <w:tc>
          <w:tcPr>
            <w:tcW w:w="821" w:type="pct"/>
            <w:tcBorders>
              <w:top w:val="single" w:sz="4" w:space="0" w:color="7F7F7F"/>
              <w:left w:val="nil"/>
              <w:bottom w:val="single" w:sz="4" w:space="0" w:color="7F7F7F"/>
              <w:right w:val="nil"/>
            </w:tcBorders>
            <w:shd w:val="clear" w:color="auto" w:fill="auto"/>
            <w:hideMark/>
          </w:tcPr>
          <w:p w14:paraId="0A03C063"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0,0%</w:t>
            </w:r>
          </w:p>
        </w:tc>
        <w:tc>
          <w:tcPr>
            <w:tcW w:w="862" w:type="pct"/>
            <w:tcBorders>
              <w:top w:val="single" w:sz="4" w:space="0" w:color="7F7F7F"/>
              <w:left w:val="nil"/>
              <w:bottom w:val="single" w:sz="4" w:space="0" w:color="7F7F7F"/>
              <w:right w:val="nil"/>
            </w:tcBorders>
            <w:shd w:val="clear" w:color="auto" w:fill="auto"/>
            <w:hideMark/>
          </w:tcPr>
          <w:p w14:paraId="4CF84817"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0,2%</w:t>
            </w:r>
          </w:p>
        </w:tc>
      </w:tr>
      <w:tr w:rsidR="003F4CFF" w:rsidRPr="00293FDC" w14:paraId="7B49D1B3" w14:textId="77777777" w:rsidTr="00124BC6">
        <w:trPr>
          <w:trHeight w:val="20"/>
        </w:trPr>
        <w:tc>
          <w:tcPr>
            <w:tcW w:w="2252" w:type="pct"/>
            <w:tcBorders>
              <w:top w:val="nil"/>
              <w:left w:val="nil"/>
              <w:bottom w:val="nil"/>
              <w:right w:val="nil"/>
            </w:tcBorders>
            <w:shd w:val="clear" w:color="auto" w:fill="auto"/>
            <w:hideMark/>
          </w:tcPr>
          <w:p w14:paraId="525A3190" w14:textId="77777777" w:rsidR="003F4CFF" w:rsidRPr="00237525" w:rsidRDefault="003F4CFF" w:rsidP="003F4CFF">
            <w:pPr>
              <w:rPr>
                <w:rFonts w:ascii="Times New Roman" w:hAnsi="Times New Roman"/>
              </w:rPr>
            </w:pPr>
            <w:r w:rsidRPr="00237525">
              <w:rPr>
                <w:rFonts w:ascii="Times New Roman" w:hAnsi="Times New Roman"/>
              </w:rPr>
              <w:t>автомобиль, запчасти к автомобилю</w:t>
            </w:r>
          </w:p>
        </w:tc>
        <w:tc>
          <w:tcPr>
            <w:tcW w:w="1065" w:type="pct"/>
            <w:tcBorders>
              <w:top w:val="nil"/>
              <w:left w:val="nil"/>
              <w:bottom w:val="nil"/>
              <w:right w:val="nil"/>
            </w:tcBorders>
            <w:shd w:val="clear" w:color="auto" w:fill="auto"/>
            <w:hideMark/>
          </w:tcPr>
          <w:p w14:paraId="692C4F3B"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0,2%</w:t>
            </w:r>
          </w:p>
        </w:tc>
        <w:tc>
          <w:tcPr>
            <w:tcW w:w="821" w:type="pct"/>
            <w:tcBorders>
              <w:top w:val="nil"/>
              <w:left w:val="nil"/>
              <w:bottom w:val="nil"/>
              <w:right w:val="nil"/>
            </w:tcBorders>
            <w:shd w:val="clear" w:color="auto" w:fill="auto"/>
            <w:hideMark/>
          </w:tcPr>
          <w:p w14:paraId="63E8762E"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0,1%</w:t>
            </w:r>
          </w:p>
        </w:tc>
        <w:tc>
          <w:tcPr>
            <w:tcW w:w="862" w:type="pct"/>
            <w:tcBorders>
              <w:top w:val="nil"/>
              <w:left w:val="nil"/>
              <w:bottom w:val="nil"/>
              <w:right w:val="nil"/>
            </w:tcBorders>
            <w:shd w:val="clear" w:color="auto" w:fill="auto"/>
            <w:hideMark/>
          </w:tcPr>
          <w:p w14:paraId="680AA431"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w:t>
            </w:r>
          </w:p>
        </w:tc>
      </w:tr>
      <w:tr w:rsidR="003F4CFF" w:rsidRPr="00293FDC" w14:paraId="32E0C1F9" w14:textId="77777777" w:rsidTr="00124BC6">
        <w:trPr>
          <w:trHeight w:val="20"/>
        </w:trPr>
        <w:tc>
          <w:tcPr>
            <w:tcW w:w="2252" w:type="pct"/>
            <w:tcBorders>
              <w:top w:val="single" w:sz="4" w:space="0" w:color="7F7F7F"/>
              <w:left w:val="nil"/>
              <w:bottom w:val="single" w:sz="4" w:space="0" w:color="7F7F7F"/>
              <w:right w:val="nil"/>
            </w:tcBorders>
            <w:shd w:val="clear" w:color="auto" w:fill="auto"/>
            <w:hideMark/>
          </w:tcPr>
          <w:p w14:paraId="59FEC16D" w14:textId="77777777" w:rsidR="003F4CFF" w:rsidRPr="00237525" w:rsidRDefault="003F4CFF" w:rsidP="003F4CFF">
            <w:pPr>
              <w:rPr>
                <w:rFonts w:ascii="Times New Roman" w:hAnsi="Times New Roman"/>
              </w:rPr>
            </w:pPr>
            <w:r w:rsidRPr="00237525">
              <w:rPr>
                <w:rFonts w:ascii="Times New Roman" w:hAnsi="Times New Roman"/>
              </w:rPr>
              <w:t>дороги, бензин</w:t>
            </w:r>
          </w:p>
        </w:tc>
        <w:tc>
          <w:tcPr>
            <w:tcW w:w="1065" w:type="pct"/>
            <w:tcBorders>
              <w:top w:val="single" w:sz="4" w:space="0" w:color="7F7F7F"/>
              <w:left w:val="nil"/>
              <w:bottom w:val="single" w:sz="4" w:space="0" w:color="7F7F7F"/>
              <w:right w:val="nil"/>
            </w:tcBorders>
            <w:shd w:val="clear" w:color="auto" w:fill="auto"/>
            <w:hideMark/>
          </w:tcPr>
          <w:p w14:paraId="1D4F671D"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0,2%</w:t>
            </w:r>
          </w:p>
        </w:tc>
        <w:tc>
          <w:tcPr>
            <w:tcW w:w="821" w:type="pct"/>
            <w:tcBorders>
              <w:top w:val="single" w:sz="4" w:space="0" w:color="7F7F7F"/>
              <w:left w:val="nil"/>
              <w:bottom w:val="single" w:sz="4" w:space="0" w:color="7F7F7F"/>
              <w:right w:val="nil"/>
            </w:tcBorders>
            <w:shd w:val="clear" w:color="auto" w:fill="auto"/>
            <w:hideMark/>
          </w:tcPr>
          <w:p w14:paraId="0A338853"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0,6%</w:t>
            </w:r>
          </w:p>
        </w:tc>
        <w:tc>
          <w:tcPr>
            <w:tcW w:w="862" w:type="pct"/>
            <w:tcBorders>
              <w:top w:val="single" w:sz="4" w:space="0" w:color="7F7F7F"/>
              <w:left w:val="nil"/>
              <w:bottom w:val="single" w:sz="4" w:space="0" w:color="7F7F7F"/>
              <w:right w:val="nil"/>
            </w:tcBorders>
            <w:shd w:val="clear" w:color="auto" w:fill="auto"/>
            <w:hideMark/>
          </w:tcPr>
          <w:p w14:paraId="760181E2"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0,6%</w:t>
            </w:r>
          </w:p>
        </w:tc>
      </w:tr>
      <w:tr w:rsidR="003F4CFF" w:rsidRPr="00293FDC" w14:paraId="2614BAAC" w14:textId="77777777" w:rsidTr="00124BC6">
        <w:trPr>
          <w:trHeight w:val="20"/>
        </w:trPr>
        <w:tc>
          <w:tcPr>
            <w:tcW w:w="2252" w:type="pct"/>
            <w:tcBorders>
              <w:top w:val="nil"/>
              <w:left w:val="nil"/>
              <w:bottom w:val="nil"/>
              <w:right w:val="nil"/>
            </w:tcBorders>
            <w:shd w:val="clear" w:color="auto" w:fill="auto"/>
            <w:hideMark/>
          </w:tcPr>
          <w:p w14:paraId="737E457F" w14:textId="77777777" w:rsidR="003F4CFF" w:rsidRPr="00237525" w:rsidRDefault="003F4CFF" w:rsidP="003F4CFF">
            <w:pPr>
              <w:rPr>
                <w:rFonts w:ascii="Times New Roman" w:hAnsi="Times New Roman"/>
              </w:rPr>
            </w:pPr>
            <w:r w:rsidRPr="00237525">
              <w:rPr>
                <w:rFonts w:ascii="Times New Roman" w:hAnsi="Times New Roman"/>
              </w:rPr>
              <w:t>медицинские услуги</w:t>
            </w:r>
          </w:p>
        </w:tc>
        <w:tc>
          <w:tcPr>
            <w:tcW w:w="1065" w:type="pct"/>
            <w:tcBorders>
              <w:top w:val="nil"/>
              <w:left w:val="nil"/>
              <w:bottom w:val="nil"/>
              <w:right w:val="nil"/>
            </w:tcBorders>
            <w:shd w:val="clear" w:color="auto" w:fill="auto"/>
            <w:hideMark/>
          </w:tcPr>
          <w:p w14:paraId="4E3D0362"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0,2%</w:t>
            </w:r>
          </w:p>
        </w:tc>
        <w:tc>
          <w:tcPr>
            <w:tcW w:w="821" w:type="pct"/>
            <w:tcBorders>
              <w:top w:val="nil"/>
              <w:left w:val="nil"/>
              <w:bottom w:val="nil"/>
              <w:right w:val="nil"/>
            </w:tcBorders>
            <w:shd w:val="clear" w:color="auto" w:fill="auto"/>
            <w:hideMark/>
          </w:tcPr>
          <w:p w14:paraId="15B7B653"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0,3%</w:t>
            </w:r>
          </w:p>
        </w:tc>
        <w:tc>
          <w:tcPr>
            <w:tcW w:w="862" w:type="pct"/>
            <w:tcBorders>
              <w:top w:val="nil"/>
              <w:left w:val="nil"/>
              <w:bottom w:val="nil"/>
              <w:right w:val="nil"/>
            </w:tcBorders>
            <w:shd w:val="clear" w:color="auto" w:fill="auto"/>
            <w:hideMark/>
          </w:tcPr>
          <w:p w14:paraId="43DA3AF6"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0,0%</w:t>
            </w:r>
          </w:p>
        </w:tc>
      </w:tr>
      <w:tr w:rsidR="003F4CFF" w:rsidRPr="00293FDC" w14:paraId="3BE47339" w14:textId="77777777" w:rsidTr="00124BC6">
        <w:trPr>
          <w:trHeight w:val="20"/>
        </w:trPr>
        <w:tc>
          <w:tcPr>
            <w:tcW w:w="2252" w:type="pct"/>
            <w:tcBorders>
              <w:top w:val="single" w:sz="4" w:space="0" w:color="7F7F7F"/>
              <w:left w:val="nil"/>
              <w:bottom w:val="single" w:sz="4" w:space="0" w:color="7F7F7F"/>
              <w:right w:val="nil"/>
            </w:tcBorders>
            <w:shd w:val="clear" w:color="auto" w:fill="auto"/>
            <w:hideMark/>
          </w:tcPr>
          <w:p w14:paraId="044A2105" w14:textId="77777777" w:rsidR="003F4CFF" w:rsidRPr="00237525" w:rsidRDefault="003F4CFF" w:rsidP="003F4CFF">
            <w:pPr>
              <w:rPr>
                <w:rFonts w:ascii="Times New Roman" w:hAnsi="Times New Roman"/>
              </w:rPr>
            </w:pPr>
            <w:r w:rsidRPr="00237525">
              <w:rPr>
                <w:rFonts w:ascii="Times New Roman" w:hAnsi="Times New Roman"/>
              </w:rPr>
              <w:t>услуги детского отдыха и оздоровления</w:t>
            </w:r>
          </w:p>
        </w:tc>
        <w:tc>
          <w:tcPr>
            <w:tcW w:w="1065" w:type="pct"/>
            <w:tcBorders>
              <w:top w:val="single" w:sz="4" w:space="0" w:color="7F7F7F"/>
              <w:left w:val="nil"/>
              <w:bottom w:val="single" w:sz="4" w:space="0" w:color="7F7F7F"/>
              <w:right w:val="nil"/>
            </w:tcBorders>
            <w:shd w:val="clear" w:color="auto" w:fill="auto"/>
            <w:hideMark/>
          </w:tcPr>
          <w:p w14:paraId="2AE169B3"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0,2%</w:t>
            </w:r>
          </w:p>
        </w:tc>
        <w:tc>
          <w:tcPr>
            <w:tcW w:w="821" w:type="pct"/>
            <w:tcBorders>
              <w:top w:val="single" w:sz="4" w:space="0" w:color="7F7F7F"/>
              <w:left w:val="nil"/>
              <w:bottom w:val="single" w:sz="4" w:space="0" w:color="7F7F7F"/>
              <w:right w:val="nil"/>
            </w:tcBorders>
            <w:shd w:val="clear" w:color="auto" w:fill="auto"/>
            <w:hideMark/>
          </w:tcPr>
          <w:p w14:paraId="24A0CA4D"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w:t>
            </w:r>
          </w:p>
        </w:tc>
        <w:tc>
          <w:tcPr>
            <w:tcW w:w="862" w:type="pct"/>
            <w:tcBorders>
              <w:top w:val="single" w:sz="4" w:space="0" w:color="7F7F7F"/>
              <w:left w:val="nil"/>
              <w:bottom w:val="single" w:sz="4" w:space="0" w:color="7F7F7F"/>
              <w:right w:val="nil"/>
            </w:tcBorders>
            <w:shd w:val="clear" w:color="auto" w:fill="auto"/>
            <w:hideMark/>
          </w:tcPr>
          <w:p w14:paraId="477DB062"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w:t>
            </w:r>
          </w:p>
        </w:tc>
      </w:tr>
      <w:tr w:rsidR="003F4CFF" w:rsidRPr="00293FDC" w14:paraId="5BB5AD62" w14:textId="77777777" w:rsidTr="00124BC6">
        <w:trPr>
          <w:trHeight w:val="20"/>
        </w:trPr>
        <w:tc>
          <w:tcPr>
            <w:tcW w:w="2252" w:type="pct"/>
            <w:tcBorders>
              <w:top w:val="nil"/>
              <w:left w:val="nil"/>
              <w:bottom w:val="nil"/>
              <w:right w:val="nil"/>
            </w:tcBorders>
            <w:shd w:val="clear" w:color="auto" w:fill="auto"/>
            <w:hideMark/>
          </w:tcPr>
          <w:p w14:paraId="46252075" w14:textId="77777777" w:rsidR="003F4CFF" w:rsidRPr="00237525" w:rsidRDefault="003F4CFF" w:rsidP="003F4CFF">
            <w:pPr>
              <w:rPr>
                <w:rFonts w:ascii="Times New Roman" w:hAnsi="Times New Roman"/>
              </w:rPr>
            </w:pPr>
            <w:r w:rsidRPr="00237525">
              <w:rPr>
                <w:rFonts w:ascii="Times New Roman" w:hAnsi="Times New Roman"/>
              </w:rPr>
              <w:t>услуги образования</w:t>
            </w:r>
          </w:p>
        </w:tc>
        <w:tc>
          <w:tcPr>
            <w:tcW w:w="1065" w:type="pct"/>
            <w:tcBorders>
              <w:top w:val="nil"/>
              <w:left w:val="nil"/>
              <w:bottom w:val="nil"/>
              <w:right w:val="nil"/>
            </w:tcBorders>
            <w:shd w:val="clear" w:color="auto" w:fill="auto"/>
            <w:hideMark/>
          </w:tcPr>
          <w:p w14:paraId="195AFEAD"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0,2%</w:t>
            </w:r>
          </w:p>
        </w:tc>
        <w:tc>
          <w:tcPr>
            <w:tcW w:w="821" w:type="pct"/>
            <w:tcBorders>
              <w:top w:val="nil"/>
              <w:left w:val="nil"/>
              <w:bottom w:val="nil"/>
              <w:right w:val="nil"/>
            </w:tcBorders>
            <w:shd w:val="clear" w:color="auto" w:fill="auto"/>
            <w:hideMark/>
          </w:tcPr>
          <w:p w14:paraId="52E8E1FA"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0,2%</w:t>
            </w:r>
          </w:p>
        </w:tc>
        <w:tc>
          <w:tcPr>
            <w:tcW w:w="862" w:type="pct"/>
            <w:tcBorders>
              <w:top w:val="nil"/>
              <w:left w:val="nil"/>
              <w:bottom w:val="nil"/>
              <w:right w:val="nil"/>
            </w:tcBorders>
            <w:shd w:val="clear" w:color="auto" w:fill="auto"/>
            <w:hideMark/>
          </w:tcPr>
          <w:p w14:paraId="4B321753"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0,0%</w:t>
            </w:r>
          </w:p>
        </w:tc>
      </w:tr>
      <w:tr w:rsidR="003F4CFF" w:rsidRPr="00293FDC" w14:paraId="791181AC" w14:textId="77777777" w:rsidTr="00124BC6">
        <w:trPr>
          <w:trHeight w:val="20"/>
        </w:trPr>
        <w:tc>
          <w:tcPr>
            <w:tcW w:w="2252" w:type="pct"/>
            <w:tcBorders>
              <w:top w:val="single" w:sz="4" w:space="0" w:color="7F7F7F"/>
              <w:left w:val="nil"/>
              <w:bottom w:val="single" w:sz="4" w:space="0" w:color="7F7F7F"/>
              <w:right w:val="nil"/>
            </w:tcBorders>
            <w:shd w:val="clear" w:color="auto" w:fill="auto"/>
            <w:hideMark/>
          </w:tcPr>
          <w:p w14:paraId="63C96775" w14:textId="77777777" w:rsidR="003F4CFF" w:rsidRPr="00237525" w:rsidRDefault="003F4CFF" w:rsidP="003F4CFF">
            <w:pPr>
              <w:rPr>
                <w:rFonts w:ascii="Times New Roman" w:hAnsi="Times New Roman"/>
              </w:rPr>
            </w:pPr>
            <w:r w:rsidRPr="00237525">
              <w:rPr>
                <w:rFonts w:ascii="Times New Roman" w:hAnsi="Times New Roman"/>
              </w:rPr>
              <w:lastRenderedPageBreak/>
              <w:t>услуги общественного питания</w:t>
            </w:r>
          </w:p>
        </w:tc>
        <w:tc>
          <w:tcPr>
            <w:tcW w:w="1065" w:type="pct"/>
            <w:tcBorders>
              <w:top w:val="single" w:sz="4" w:space="0" w:color="7F7F7F"/>
              <w:left w:val="nil"/>
              <w:bottom w:val="single" w:sz="4" w:space="0" w:color="7F7F7F"/>
              <w:right w:val="nil"/>
            </w:tcBorders>
            <w:shd w:val="clear" w:color="auto" w:fill="auto"/>
            <w:hideMark/>
          </w:tcPr>
          <w:p w14:paraId="4092F20F"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0,2%</w:t>
            </w:r>
          </w:p>
        </w:tc>
        <w:tc>
          <w:tcPr>
            <w:tcW w:w="821" w:type="pct"/>
            <w:tcBorders>
              <w:top w:val="single" w:sz="4" w:space="0" w:color="7F7F7F"/>
              <w:left w:val="nil"/>
              <w:bottom w:val="single" w:sz="4" w:space="0" w:color="7F7F7F"/>
              <w:right w:val="nil"/>
            </w:tcBorders>
            <w:shd w:val="clear" w:color="auto" w:fill="auto"/>
            <w:hideMark/>
          </w:tcPr>
          <w:p w14:paraId="605CFB45"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w:t>
            </w:r>
          </w:p>
        </w:tc>
        <w:tc>
          <w:tcPr>
            <w:tcW w:w="862" w:type="pct"/>
            <w:tcBorders>
              <w:top w:val="single" w:sz="4" w:space="0" w:color="7F7F7F"/>
              <w:left w:val="nil"/>
              <w:bottom w:val="single" w:sz="4" w:space="0" w:color="7F7F7F"/>
              <w:right w:val="nil"/>
            </w:tcBorders>
            <w:shd w:val="clear" w:color="auto" w:fill="auto"/>
            <w:hideMark/>
          </w:tcPr>
          <w:p w14:paraId="6A206D64"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0,4%</w:t>
            </w:r>
          </w:p>
        </w:tc>
      </w:tr>
      <w:tr w:rsidR="003F4CFF" w:rsidRPr="00293FDC" w14:paraId="185451E9" w14:textId="77777777" w:rsidTr="00124BC6">
        <w:trPr>
          <w:trHeight w:val="20"/>
        </w:trPr>
        <w:tc>
          <w:tcPr>
            <w:tcW w:w="2252" w:type="pct"/>
            <w:tcBorders>
              <w:top w:val="nil"/>
              <w:left w:val="nil"/>
              <w:bottom w:val="nil"/>
              <w:right w:val="nil"/>
            </w:tcBorders>
            <w:shd w:val="clear" w:color="auto" w:fill="auto"/>
            <w:hideMark/>
          </w:tcPr>
          <w:p w14:paraId="2FA8965A" w14:textId="77777777" w:rsidR="003F4CFF" w:rsidRPr="00237525" w:rsidRDefault="003F4CFF" w:rsidP="003F4CFF">
            <w:pPr>
              <w:rPr>
                <w:rFonts w:ascii="Times New Roman" w:hAnsi="Times New Roman"/>
              </w:rPr>
            </w:pPr>
            <w:r w:rsidRPr="00237525">
              <w:rPr>
                <w:rFonts w:ascii="Times New Roman" w:hAnsi="Times New Roman"/>
              </w:rPr>
              <w:t>гостиничные и туристические услуги</w:t>
            </w:r>
          </w:p>
        </w:tc>
        <w:tc>
          <w:tcPr>
            <w:tcW w:w="1065" w:type="pct"/>
            <w:tcBorders>
              <w:top w:val="nil"/>
              <w:left w:val="nil"/>
              <w:bottom w:val="nil"/>
              <w:right w:val="nil"/>
            </w:tcBorders>
            <w:shd w:val="clear" w:color="auto" w:fill="auto"/>
            <w:hideMark/>
          </w:tcPr>
          <w:p w14:paraId="719CBFB4"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0,1%</w:t>
            </w:r>
          </w:p>
        </w:tc>
        <w:tc>
          <w:tcPr>
            <w:tcW w:w="821" w:type="pct"/>
            <w:tcBorders>
              <w:top w:val="nil"/>
              <w:left w:val="nil"/>
              <w:bottom w:val="nil"/>
              <w:right w:val="nil"/>
            </w:tcBorders>
            <w:shd w:val="clear" w:color="auto" w:fill="auto"/>
            <w:hideMark/>
          </w:tcPr>
          <w:p w14:paraId="25734165"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w:t>
            </w:r>
          </w:p>
        </w:tc>
        <w:tc>
          <w:tcPr>
            <w:tcW w:w="862" w:type="pct"/>
            <w:tcBorders>
              <w:top w:val="nil"/>
              <w:left w:val="nil"/>
              <w:bottom w:val="nil"/>
              <w:right w:val="nil"/>
            </w:tcBorders>
            <w:shd w:val="clear" w:color="auto" w:fill="auto"/>
            <w:hideMark/>
          </w:tcPr>
          <w:p w14:paraId="51A093D6"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0,3%</w:t>
            </w:r>
          </w:p>
        </w:tc>
      </w:tr>
      <w:tr w:rsidR="003F4CFF" w:rsidRPr="00293FDC" w14:paraId="3ABF7ACA" w14:textId="77777777" w:rsidTr="00124BC6">
        <w:trPr>
          <w:trHeight w:val="20"/>
        </w:trPr>
        <w:tc>
          <w:tcPr>
            <w:tcW w:w="2252" w:type="pct"/>
            <w:tcBorders>
              <w:top w:val="single" w:sz="4" w:space="0" w:color="7F7F7F"/>
              <w:left w:val="nil"/>
              <w:bottom w:val="single" w:sz="4" w:space="0" w:color="7F7F7F"/>
              <w:right w:val="nil"/>
            </w:tcBorders>
            <w:shd w:val="clear" w:color="auto" w:fill="auto"/>
            <w:hideMark/>
          </w:tcPr>
          <w:p w14:paraId="75D710F6" w14:textId="77777777" w:rsidR="003F4CFF" w:rsidRPr="00237525" w:rsidRDefault="003F4CFF" w:rsidP="003F4CFF">
            <w:pPr>
              <w:rPr>
                <w:rFonts w:ascii="Times New Roman" w:hAnsi="Times New Roman"/>
              </w:rPr>
            </w:pPr>
            <w:r w:rsidRPr="00237525">
              <w:rPr>
                <w:rFonts w:ascii="Times New Roman" w:hAnsi="Times New Roman"/>
              </w:rPr>
              <w:t>рынок животноводства</w:t>
            </w:r>
          </w:p>
        </w:tc>
        <w:tc>
          <w:tcPr>
            <w:tcW w:w="1065" w:type="pct"/>
            <w:tcBorders>
              <w:top w:val="single" w:sz="4" w:space="0" w:color="7F7F7F"/>
              <w:left w:val="nil"/>
              <w:bottom w:val="single" w:sz="4" w:space="0" w:color="7F7F7F"/>
              <w:right w:val="nil"/>
            </w:tcBorders>
            <w:shd w:val="clear" w:color="auto" w:fill="auto"/>
            <w:hideMark/>
          </w:tcPr>
          <w:p w14:paraId="56B2ABD8"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0,0%</w:t>
            </w:r>
          </w:p>
        </w:tc>
        <w:tc>
          <w:tcPr>
            <w:tcW w:w="821" w:type="pct"/>
            <w:tcBorders>
              <w:top w:val="single" w:sz="4" w:space="0" w:color="7F7F7F"/>
              <w:left w:val="nil"/>
              <w:bottom w:val="single" w:sz="4" w:space="0" w:color="7F7F7F"/>
              <w:right w:val="nil"/>
            </w:tcBorders>
            <w:shd w:val="clear" w:color="auto" w:fill="auto"/>
            <w:hideMark/>
          </w:tcPr>
          <w:p w14:paraId="1F776EB0"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w:t>
            </w:r>
          </w:p>
        </w:tc>
        <w:tc>
          <w:tcPr>
            <w:tcW w:w="862" w:type="pct"/>
            <w:tcBorders>
              <w:top w:val="single" w:sz="4" w:space="0" w:color="7F7F7F"/>
              <w:left w:val="nil"/>
              <w:bottom w:val="single" w:sz="4" w:space="0" w:color="7F7F7F"/>
              <w:right w:val="nil"/>
            </w:tcBorders>
            <w:shd w:val="clear" w:color="auto" w:fill="auto"/>
            <w:hideMark/>
          </w:tcPr>
          <w:p w14:paraId="43DE1B05"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0,1%</w:t>
            </w:r>
          </w:p>
        </w:tc>
      </w:tr>
      <w:tr w:rsidR="003F4CFF" w:rsidRPr="00293FDC" w14:paraId="0C4677E6" w14:textId="77777777" w:rsidTr="00124BC6">
        <w:trPr>
          <w:trHeight w:val="20"/>
        </w:trPr>
        <w:tc>
          <w:tcPr>
            <w:tcW w:w="2252" w:type="pct"/>
            <w:tcBorders>
              <w:top w:val="nil"/>
              <w:left w:val="nil"/>
              <w:bottom w:val="nil"/>
              <w:right w:val="nil"/>
            </w:tcBorders>
            <w:shd w:val="clear" w:color="auto" w:fill="auto"/>
            <w:hideMark/>
          </w:tcPr>
          <w:p w14:paraId="5ED66768" w14:textId="77777777" w:rsidR="003F4CFF" w:rsidRPr="00237525" w:rsidRDefault="003F4CFF" w:rsidP="003F4CFF">
            <w:pPr>
              <w:rPr>
                <w:rFonts w:ascii="Times New Roman" w:hAnsi="Times New Roman"/>
              </w:rPr>
            </w:pPr>
            <w:r w:rsidRPr="00237525">
              <w:rPr>
                <w:rFonts w:ascii="Times New Roman" w:hAnsi="Times New Roman"/>
              </w:rPr>
              <w:t>услуги связи</w:t>
            </w:r>
          </w:p>
        </w:tc>
        <w:tc>
          <w:tcPr>
            <w:tcW w:w="1065" w:type="pct"/>
            <w:tcBorders>
              <w:top w:val="nil"/>
              <w:left w:val="nil"/>
              <w:bottom w:val="nil"/>
              <w:right w:val="nil"/>
            </w:tcBorders>
            <w:shd w:val="clear" w:color="auto" w:fill="auto"/>
            <w:hideMark/>
          </w:tcPr>
          <w:p w14:paraId="6249DA52"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0,0%</w:t>
            </w:r>
          </w:p>
        </w:tc>
        <w:tc>
          <w:tcPr>
            <w:tcW w:w="821" w:type="pct"/>
            <w:tcBorders>
              <w:top w:val="nil"/>
              <w:left w:val="nil"/>
              <w:bottom w:val="nil"/>
              <w:right w:val="nil"/>
            </w:tcBorders>
            <w:shd w:val="clear" w:color="auto" w:fill="auto"/>
            <w:hideMark/>
          </w:tcPr>
          <w:p w14:paraId="464957F3"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w:t>
            </w:r>
          </w:p>
        </w:tc>
        <w:tc>
          <w:tcPr>
            <w:tcW w:w="862" w:type="pct"/>
            <w:tcBorders>
              <w:top w:val="nil"/>
              <w:left w:val="nil"/>
              <w:bottom w:val="nil"/>
              <w:right w:val="nil"/>
            </w:tcBorders>
            <w:shd w:val="clear" w:color="auto" w:fill="auto"/>
            <w:hideMark/>
          </w:tcPr>
          <w:p w14:paraId="06BFEF28"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w:t>
            </w:r>
          </w:p>
        </w:tc>
      </w:tr>
      <w:tr w:rsidR="003F4CFF" w:rsidRPr="00293FDC" w14:paraId="6FC9B319" w14:textId="77777777" w:rsidTr="00124BC6">
        <w:trPr>
          <w:trHeight w:val="20"/>
        </w:trPr>
        <w:tc>
          <w:tcPr>
            <w:tcW w:w="2252" w:type="pct"/>
            <w:tcBorders>
              <w:top w:val="single" w:sz="4" w:space="0" w:color="7F7F7F"/>
              <w:left w:val="nil"/>
              <w:bottom w:val="single" w:sz="4" w:space="0" w:color="7F7F7F"/>
              <w:right w:val="nil"/>
            </w:tcBorders>
            <w:shd w:val="clear" w:color="auto" w:fill="auto"/>
            <w:hideMark/>
          </w:tcPr>
          <w:p w14:paraId="06726609" w14:textId="77777777" w:rsidR="003F4CFF" w:rsidRPr="00237525" w:rsidRDefault="003F4CFF" w:rsidP="003F4CFF">
            <w:pPr>
              <w:rPr>
                <w:rFonts w:ascii="Times New Roman" w:hAnsi="Times New Roman"/>
              </w:rPr>
            </w:pPr>
            <w:r w:rsidRPr="00237525">
              <w:rPr>
                <w:rFonts w:ascii="Times New Roman" w:hAnsi="Times New Roman"/>
              </w:rPr>
              <w:t>лес, древесина</w:t>
            </w:r>
          </w:p>
        </w:tc>
        <w:tc>
          <w:tcPr>
            <w:tcW w:w="1065" w:type="pct"/>
            <w:tcBorders>
              <w:top w:val="single" w:sz="4" w:space="0" w:color="7F7F7F"/>
              <w:left w:val="nil"/>
              <w:bottom w:val="single" w:sz="4" w:space="0" w:color="7F7F7F"/>
              <w:right w:val="nil"/>
            </w:tcBorders>
            <w:shd w:val="clear" w:color="auto" w:fill="auto"/>
            <w:hideMark/>
          </w:tcPr>
          <w:p w14:paraId="6DC11293"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w:t>
            </w:r>
          </w:p>
        </w:tc>
        <w:tc>
          <w:tcPr>
            <w:tcW w:w="821" w:type="pct"/>
            <w:tcBorders>
              <w:top w:val="single" w:sz="4" w:space="0" w:color="7F7F7F"/>
              <w:left w:val="nil"/>
              <w:bottom w:val="single" w:sz="4" w:space="0" w:color="7F7F7F"/>
              <w:right w:val="nil"/>
            </w:tcBorders>
            <w:shd w:val="clear" w:color="auto" w:fill="auto"/>
            <w:hideMark/>
          </w:tcPr>
          <w:p w14:paraId="22F29128"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0,0%</w:t>
            </w:r>
          </w:p>
        </w:tc>
        <w:tc>
          <w:tcPr>
            <w:tcW w:w="862" w:type="pct"/>
            <w:tcBorders>
              <w:top w:val="single" w:sz="4" w:space="0" w:color="7F7F7F"/>
              <w:left w:val="nil"/>
              <w:bottom w:val="single" w:sz="4" w:space="0" w:color="7F7F7F"/>
              <w:right w:val="nil"/>
            </w:tcBorders>
            <w:shd w:val="clear" w:color="auto" w:fill="auto"/>
            <w:hideMark/>
          </w:tcPr>
          <w:p w14:paraId="4EB779D5"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0,6%</w:t>
            </w:r>
          </w:p>
        </w:tc>
      </w:tr>
      <w:tr w:rsidR="003F4CFF" w:rsidRPr="00293FDC" w14:paraId="6F47F6F0" w14:textId="77777777" w:rsidTr="00124BC6">
        <w:trPr>
          <w:trHeight w:val="20"/>
        </w:trPr>
        <w:tc>
          <w:tcPr>
            <w:tcW w:w="2252" w:type="pct"/>
            <w:tcBorders>
              <w:top w:val="nil"/>
              <w:left w:val="nil"/>
              <w:bottom w:val="nil"/>
              <w:right w:val="nil"/>
            </w:tcBorders>
            <w:shd w:val="clear" w:color="auto" w:fill="auto"/>
            <w:hideMark/>
          </w:tcPr>
          <w:p w14:paraId="27E8B44E" w14:textId="77777777" w:rsidR="003F4CFF" w:rsidRPr="00237525" w:rsidRDefault="003F4CFF" w:rsidP="003F4CFF">
            <w:pPr>
              <w:rPr>
                <w:rFonts w:ascii="Times New Roman" w:hAnsi="Times New Roman"/>
              </w:rPr>
            </w:pPr>
            <w:r w:rsidRPr="00237525">
              <w:rPr>
                <w:rFonts w:ascii="Times New Roman" w:hAnsi="Times New Roman"/>
              </w:rPr>
              <w:t>прочие непродовольственные товары розничной торговли («вещи», «товары для дома» и др.)</w:t>
            </w:r>
          </w:p>
        </w:tc>
        <w:tc>
          <w:tcPr>
            <w:tcW w:w="1065" w:type="pct"/>
            <w:tcBorders>
              <w:top w:val="nil"/>
              <w:left w:val="nil"/>
              <w:bottom w:val="nil"/>
              <w:right w:val="nil"/>
            </w:tcBorders>
            <w:shd w:val="clear" w:color="auto" w:fill="auto"/>
            <w:hideMark/>
          </w:tcPr>
          <w:p w14:paraId="2559CF4E"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0,3%</w:t>
            </w:r>
          </w:p>
        </w:tc>
        <w:tc>
          <w:tcPr>
            <w:tcW w:w="821" w:type="pct"/>
            <w:tcBorders>
              <w:top w:val="nil"/>
              <w:left w:val="nil"/>
              <w:bottom w:val="nil"/>
              <w:right w:val="nil"/>
            </w:tcBorders>
            <w:shd w:val="clear" w:color="auto" w:fill="auto"/>
            <w:hideMark/>
          </w:tcPr>
          <w:p w14:paraId="0172BB4E"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0,3%</w:t>
            </w:r>
          </w:p>
        </w:tc>
        <w:tc>
          <w:tcPr>
            <w:tcW w:w="862" w:type="pct"/>
            <w:tcBorders>
              <w:top w:val="nil"/>
              <w:left w:val="nil"/>
              <w:bottom w:val="nil"/>
              <w:right w:val="nil"/>
            </w:tcBorders>
            <w:shd w:val="clear" w:color="auto" w:fill="auto"/>
            <w:hideMark/>
          </w:tcPr>
          <w:p w14:paraId="29885C41"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1,4%</w:t>
            </w:r>
          </w:p>
        </w:tc>
      </w:tr>
      <w:tr w:rsidR="003F4CFF" w:rsidRPr="00293FDC" w14:paraId="16164D78" w14:textId="77777777" w:rsidTr="00124BC6">
        <w:trPr>
          <w:trHeight w:val="20"/>
        </w:trPr>
        <w:tc>
          <w:tcPr>
            <w:tcW w:w="2252" w:type="pct"/>
            <w:tcBorders>
              <w:top w:val="single" w:sz="4" w:space="0" w:color="7F7F7F"/>
              <w:left w:val="nil"/>
              <w:bottom w:val="single" w:sz="4" w:space="0" w:color="7F7F7F"/>
              <w:right w:val="nil"/>
            </w:tcBorders>
            <w:shd w:val="clear" w:color="auto" w:fill="auto"/>
            <w:hideMark/>
          </w:tcPr>
          <w:p w14:paraId="36D94BEA" w14:textId="77777777" w:rsidR="003F4CFF" w:rsidRPr="00237525" w:rsidRDefault="003F4CFF" w:rsidP="003F4CFF">
            <w:pPr>
              <w:rPr>
                <w:rFonts w:ascii="Times New Roman" w:hAnsi="Times New Roman"/>
              </w:rPr>
            </w:pPr>
            <w:r w:rsidRPr="00237525">
              <w:rPr>
                <w:rFonts w:ascii="Times New Roman" w:hAnsi="Times New Roman"/>
              </w:rPr>
              <w:t>прочие услуги</w:t>
            </w:r>
          </w:p>
        </w:tc>
        <w:tc>
          <w:tcPr>
            <w:tcW w:w="1065" w:type="pct"/>
            <w:tcBorders>
              <w:top w:val="single" w:sz="4" w:space="0" w:color="7F7F7F"/>
              <w:left w:val="nil"/>
              <w:bottom w:val="single" w:sz="4" w:space="0" w:color="7F7F7F"/>
              <w:right w:val="nil"/>
            </w:tcBorders>
            <w:shd w:val="clear" w:color="auto" w:fill="auto"/>
            <w:hideMark/>
          </w:tcPr>
          <w:p w14:paraId="49420F79"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0,4%</w:t>
            </w:r>
          </w:p>
        </w:tc>
        <w:tc>
          <w:tcPr>
            <w:tcW w:w="821" w:type="pct"/>
            <w:tcBorders>
              <w:top w:val="single" w:sz="4" w:space="0" w:color="7F7F7F"/>
              <w:left w:val="nil"/>
              <w:bottom w:val="single" w:sz="4" w:space="0" w:color="7F7F7F"/>
              <w:right w:val="nil"/>
            </w:tcBorders>
            <w:shd w:val="clear" w:color="auto" w:fill="auto"/>
            <w:hideMark/>
          </w:tcPr>
          <w:p w14:paraId="06586908"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0,2%</w:t>
            </w:r>
          </w:p>
        </w:tc>
        <w:tc>
          <w:tcPr>
            <w:tcW w:w="862" w:type="pct"/>
            <w:tcBorders>
              <w:top w:val="single" w:sz="4" w:space="0" w:color="7F7F7F"/>
              <w:left w:val="nil"/>
              <w:bottom w:val="single" w:sz="4" w:space="0" w:color="7F7F7F"/>
              <w:right w:val="nil"/>
            </w:tcBorders>
            <w:shd w:val="clear" w:color="auto" w:fill="auto"/>
            <w:hideMark/>
          </w:tcPr>
          <w:p w14:paraId="08C203BE"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0,2%</w:t>
            </w:r>
          </w:p>
        </w:tc>
      </w:tr>
      <w:tr w:rsidR="003F4CFF" w:rsidRPr="00293FDC" w14:paraId="043808D9" w14:textId="77777777" w:rsidTr="00124BC6">
        <w:trPr>
          <w:trHeight w:val="20"/>
        </w:trPr>
        <w:tc>
          <w:tcPr>
            <w:tcW w:w="2252" w:type="pct"/>
            <w:tcBorders>
              <w:top w:val="nil"/>
              <w:left w:val="nil"/>
              <w:bottom w:val="single" w:sz="12" w:space="0" w:color="auto"/>
              <w:right w:val="nil"/>
            </w:tcBorders>
            <w:shd w:val="clear" w:color="auto" w:fill="auto"/>
            <w:hideMark/>
          </w:tcPr>
          <w:p w14:paraId="70A6A5F8" w14:textId="77777777" w:rsidR="003F4CFF" w:rsidRPr="00237525" w:rsidRDefault="003F4CFF" w:rsidP="003F4CFF">
            <w:pPr>
              <w:rPr>
                <w:rFonts w:ascii="Times New Roman" w:hAnsi="Times New Roman"/>
              </w:rPr>
            </w:pPr>
            <w:r w:rsidRPr="00237525">
              <w:rPr>
                <w:rFonts w:ascii="Times New Roman" w:hAnsi="Times New Roman"/>
              </w:rPr>
              <w:t>другое</w:t>
            </w:r>
          </w:p>
        </w:tc>
        <w:tc>
          <w:tcPr>
            <w:tcW w:w="1065" w:type="pct"/>
            <w:tcBorders>
              <w:top w:val="nil"/>
              <w:left w:val="nil"/>
              <w:bottom w:val="single" w:sz="12" w:space="0" w:color="auto"/>
              <w:right w:val="nil"/>
            </w:tcBorders>
            <w:shd w:val="clear" w:color="auto" w:fill="auto"/>
            <w:hideMark/>
          </w:tcPr>
          <w:p w14:paraId="443A0FD5"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0,6%</w:t>
            </w:r>
          </w:p>
        </w:tc>
        <w:tc>
          <w:tcPr>
            <w:tcW w:w="821" w:type="pct"/>
            <w:tcBorders>
              <w:top w:val="nil"/>
              <w:left w:val="nil"/>
              <w:bottom w:val="single" w:sz="12" w:space="0" w:color="auto"/>
              <w:right w:val="nil"/>
            </w:tcBorders>
            <w:shd w:val="clear" w:color="auto" w:fill="auto"/>
            <w:hideMark/>
          </w:tcPr>
          <w:p w14:paraId="027E3839"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1,3%</w:t>
            </w:r>
          </w:p>
        </w:tc>
        <w:tc>
          <w:tcPr>
            <w:tcW w:w="862" w:type="pct"/>
            <w:tcBorders>
              <w:top w:val="nil"/>
              <w:left w:val="nil"/>
              <w:bottom w:val="single" w:sz="12" w:space="0" w:color="auto"/>
              <w:right w:val="nil"/>
            </w:tcBorders>
            <w:shd w:val="clear" w:color="auto" w:fill="auto"/>
            <w:hideMark/>
          </w:tcPr>
          <w:p w14:paraId="3F3F8E04" w14:textId="77777777" w:rsidR="003F4CFF" w:rsidRPr="00293FDC" w:rsidRDefault="003F4CFF" w:rsidP="003F4CFF">
            <w:pPr>
              <w:rPr>
                <w:rFonts w:ascii="Times New Roman" w:eastAsia="Times New Roman" w:hAnsi="Times New Roman" w:cs="Times New Roman"/>
              </w:rPr>
            </w:pPr>
            <w:r w:rsidRPr="00293FDC">
              <w:rPr>
                <w:rFonts w:ascii="Times New Roman" w:eastAsia="Times New Roman" w:hAnsi="Times New Roman" w:cs="Times New Roman"/>
              </w:rPr>
              <w:t>1,0%</w:t>
            </w:r>
          </w:p>
        </w:tc>
      </w:tr>
    </w:tbl>
    <w:p w14:paraId="74B82BB2" w14:textId="77777777" w:rsidR="003F4CFF" w:rsidRDefault="003F4CFF" w:rsidP="003F4CFF">
      <w:pPr>
        <w:jc w:val="both"/>
        <w:rPr>
          <w:rFonts w:ascii="Times New Roman" w:hAnsi="Times New Roman" w:cs="Times New Roman"/>
          <w:sz w:val="28"/>
          <w:szCs w:val="28"/>
          <w:lang w:eastAsia="en-US"/>
        </w:rPr>
      </w:pPr>
    </w:p>
    <w:p w14:paraId="587134B6" w14:textId="77777777" w:rsidR="003F4CFF" w:rsidRPr="00206132" w:rsidRDefault="003F4CFF" w:rsidP="003F4CFF">
      <w:pPr>
        <w:ind w:firstLine="567"/>
        <w:jc w:val="both"/>
        <w:rPr>
          <w:rFonts w:ascii="Times New Roman" w:hAnsi="Times New Roman" w:cs="Times New Roman"/>
          <w:sz w:val="28"/>
          <w:szCs w:val="28"/>
          <w:lang w:eastAsia="en-US"/>
        </w:rPr>
      </w:pPr>
      <w:r w:rsidRPr="00206132">
        <w:rPr>
          <w:rFonts w:ascii="Times New Roman" w:hAnsi="Times New Roman" w:cs="Times New Roman"/>
          <w:sz w:val="28"/>
          <w:szCs w:val="28"/>
        </w:rPr>
        <w:t>Уровень удовлетворенности потребителей качеством приобретаемых товаров и услуг, произведенных в Кемеровской</w:t>
      </w:r>
      <w:r>
        <w:rPr>
          <w:rFonts w:ascii="Times New Roman" w:hAnsi="Times New Roman" w:cs="Times New Roman"/>
          <w:sz w:val="28"/>
          <w:szCs w:val="28"/>
        </w:rPr>
        <w:t>, Омской и Томской</w:t>
      </w:r>
      <w:r w:rsidRPr="00206132">
        <w:rPr>
          <w:rFonts w:ascii="Times New Roman" w:hAnsi="Times New Roman" w:cs="Times New Roman"/>
          <w:sz w:val="28"/>
          <w:szCs w:val="28"/>
        </w:rPr>
        <w:t xml:space="preserve"> </w:t>
      </w:r>
      <w:r>
        <w:rPr>
          <w:rFonts w:ascii="Times New Roman" w:hAnsi="Times New Roman" w:cs="Times New Roman"/>
          <w:sz w:val="28"/>
          <w:szCs w:val="28"/>
        </w:rPr>
        <w:t>областях представлен ниже на диаграммах.</w:t>
      </w:r>
    </w:p>
    <w:p w14:paraId="0A001D6F" w14:textId="77777777" w:rsidR="003F4CFF" w:rsidRPr="007A3056" w:rsidRDefault="003F4CFF" w:rsidP="003F4CFF">
      <w:pPr>
        <w:autoSpaceDE w:val="0"/>
        <w:autoSpaceDN w:val="0"/>
        <w:adjustRightInd w:val="0"/>
        <w:rPr>
          <w:rFonts w:ascii="Times New Roman" w:hAnsi="Times New Roman" w:cs="Times New Roman"/>
          <w:b/>
          <w:sz w:val="24"/>
          <w:szCs w:val="24"/>
        </w:rPr>
      </w:pPr>
      <w:r w:rsidRPr="006D4184">
        <w:rPr>
          <w:rFonts w:cs="Times New Roman"/>
          <w:noProof/>
          <w:sz w:val="22"/>
          <w:szCs w:val="22"/>
        </w:rPr>
        <w:drawing>
          <wp:inline distT="0" distB="0" distL="0" distR="0" wp14:anchorId="121771DC" wp14:editId="2877C1EA">
            <wp:extent cx="6308090" cy="445770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7A3056">
        <w:rPr>
          <w:rFonts w:ascii="Times New Roman" w:hAnsi="Times New Roman" w:cs="Times New Roman"/>
          <w:b/>
          <w:sz w:val="24"/>
          <w:szCs w:val="24"/>
        </w:rPr>
        <w:t xml:space="preserve">Диаграмма </w:t>
      </w:r>
      <w:r>
        <w:rPr>
          <w:rFonts w:ascii="Times New Roman" w:hAnsi="Times New Roman" w:cs="Times New Roman"/>
          <w:b/>
          <w:sz w:val="24"/>
          <w:szCs w:val="24"/>
        </w:rPr>
        <w:t>5 -</w:t>
      </w:r>
      <w:r w:rsidRPr="007A3056">
        <w:rPr>
          <w:rFonts w:ascii="Times New Roman" w:hAnsi="Times New Roman" w:cs="Times New Roman"/>
          <w:b/>
          <w:sz w:val="24"/>
          <w:szCs w:val="24"/>
        </w:rPr>
        <w:t xml:space="preserve"> Уровень удовлетворенности потребителей качеством приобретаемых товаров и услуг</w:t>
      </w:r>
      <w:r>
        <w:rPr>
          <w:rFonts w:ascii="Times New Roman" w:hAnsi="Times New Roman" w:cs="Times New Roman"/>
          <w:b/>
          <w:sz w:val="24"/>
          <w:szCs w:val="24"/>
        </w:rPr>
        <w:t xml:space="preserve">, </w:t>
      </w:r>
      <w:r w:rsidRPr="007A3056">
        <w:rPr>
          <w:rFonts w:ascii="Times New Roman" w:hAnsi="Times New Roman" w:cs="Times New Roman"/>
          <w:b/>
          <w:sz w:val="24"/>
          <w:szCs w:val="24"/>
        </w:rPr>
        <w:t>произведенных в Кемеровской области (% от числа потребителей)</w:t>
      </w:r>
    </w:p>
    <w:p w14:paraId="4175F3B5" w14:textId="77777777" w:rsidR="003F4CFF" w:rsidRPr="006D4184" w:rsidRDefault="003F4CFF" w:rsidP="003F4CFF">
      <w:pPr>
        <w:jc w:val="both"/>
        <w:rPr>
          <w:rFonts w:ascii="Times New Roman" w:hAnsi="Times New Roman" w:cs="Times New Roman"/>
          <w:b/>
          <w:sz w:val="24"/>
          <w:szCs w:val="24"/>
        </w:rPr>
      </w:pPr>
      <w:r w:rsidRPr="006D4184">
        <w:rPr>
          <w:rFonts w:cs="Times New Roman"/>
          <w:noProof/>
          <w:sz w:val="22"/>
          <w:szCs w:val="22"/>
        </w:rPr>
        <w:lastRenderedPageBreak/>
        <w:drawing>
          <wp:inline distT="0" distB="0" distL="0" distR="0" wp14:anchorId="1557024E" wp14:editId="46002B13">
            <wp:extent cx="6293485" cy="337185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6D4184">
        <w:rPr>
          <w:rFonts w:ascii="Times New Roman" w:hAnsi="Times New Roman" w:cs="Times New Roman"/>
          <w:b/>
          <w:sz w:val="24"/>
          <w:szCs w:val="24"/>
        </w:rPr>
        <w:t xml:space="preserve">Диаграмма </w:t>
      </w:r>
      <w:r>
        <w:rPr>
          <w:rFonts w:ascii="Times New Roman" w:hAnsi="Times New Roman" w:cs="Times New Roman"/>
          <w:b/>
          <w:sz w:val="24"/>
          <w:szCs w:val="24"/>
        </w:rPr>
        <w:t xml:space="preserve">6 </w:t>
      </w:r>
      <w:r w:rsidRPr="006D4184">
        <w:rPr>
          <w:rFonts w:ascii="Times New Roman" w:hAnsi="Times New Roman" w:cs="Times New Roman"/>
          <w:b/>
          <w:sz w:val="24"/>
          <w:szCs w:val="24"/>
        </w:rPr>
        <w:t>– Уровень удовлетворенности потребителей качеством приобретаемых товаров и услуг, произведенных в Омской области (% от числа потребителей)</w:t>
      </w:r>
    </w:p>
    <w:p w14:paraId="65132C10" w14:textId="77777777" w:rsidR="003F4CFF" w:rsidRPr="006D4184" w:rsidRDefault="003F4CFF" w:rsidP="003F4CFF">
      <w:pPr>
        <w:ind w:firstLine="709"/>
        <w:rPr>
          <w:rFonts w:ascii="Times New Roman" w:hAnsi="Times New Roman" w:cs="Times New Roman"/>
          <w:sz w:val="28"/>
          <w:szCs w:val="28"/>
        </w:rPr>
      </w:pPr>
    </w:p>
    <w:p w14:paraId="2B8E3C54" w14:textId="77777777" w:rsidR="003F4CFF" w:rsidRPr="006D4184" w:rsidRDefault="003F4CFF" w:rsidP="003F4CFF">
      <w:pPr>
        <w:jc w:val="both"/>
        <w:rPr>
          <w:rFonts w:ascii="Times New Roman" w:hAnsi="Times New Roman" w:cs="Times New Roman"/>
          <w:b/>
          <w:sz w:val="24"/>
          <w:szCs w:val="24"/>
        </w:rPr>
      </w:pPr>
      <w:r w:rsidRPr="006D4184">
        <w:rPr>
          <w:rFonts w:cs="Times New Roman"/>
          <w:noProof/>
          <w:sz w:val="22"/>
          <w:szCs w:val="22"/>
        </w:rPr>
        <w:drawing>
          <wp:inline distT="0" distB="0" distL="0" distR="0" wp14:anchorId="0F814F59" wp14:editId="6ECDBBD5">
            <wp:extent cx="6043930" cy="386461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6D4184">
        <w:rPr>
          <w:rFonts w:ascii="Times New Roman" w:hAnsi="Times New Roman" w:cs="Times New Roman"/>
          <w:b/>
          <w:sz w:val="24"/>
          <w:szCs w:val="24"/>
        </w:rPr>
        <w:t>Диаграмма</w:t>
      </w:r>
      <w:r>
        <w:rPr>
          <w:rFonts w:ascii="Times New Roman" w:hAnsi="Times New Roman" w:cs="Times New Roman"/>
          <w:b/>
          <w:sz w:val="24"/>
          <w:szCs w:val="24"/>
        </w:rPr>
        <w:t xml:space="preserve"> 7</w:t>
      </w:r>
      <w:r w:rsidRPr="006D4184">
        <w:rPr>
          <w:rFonts w:ascii="Times New Roman" w:hAnsi="Times New Roman" w:cs="Times New Roman"/>
          <w:b/>
          <w:sz w:val="24"/>
          <w:szCs w:val="24"/>
        </w:rPr>
        <w:t xml:space="preserve"> – Уровень удовлетворенности потребителей качеством приобретаемых товаров и услуг</w:t>
      </w:r>
      <w:r>
        <w:rPr>
          <w:rFonts w:ascii="Times New Roman" w:hAnsi="Times New Roman" w:cs="Times New Roman"/>
          <w:b/>
          <w:sz w:val="24"/>
          <w:szCs w:val="24"/>
        </w:rPr>
        <w:t xml:space="preserve">, </w:t>
      </w:r>
      <w:r w:rsidRPr="006D4184">
        <w:rPr>
          <w:rFonts w:ascii="Times New Roman" w:hAnsi="Times New Roman" w:cs="Times New Roman"/>
          <w:b/>
          <w:sz w:val="24"/>
          <w:szCs w:val="24"/>
        </w:rPr>
        <w:t>произведенных в Томской области (% от числа потребителей)</w:t>
      </w:r>
    </w:p>
    <w:p w14:paraId="0AAD262E" w14:textId="77777777" w:rsidR="003F4CFF" w:rsidRPr="00686279" w:rsidRDefault="003F4CFF" w:rsidP="003F4CFF">
      <w:pPr>
        <w:pStyle w:val="ac"/>
        <w:ind w:firstLine="567"/>
        <w:jc w:val="both"/>
        <w:outlineLvl w:val="2"/>
        <w:rPr>
          <w:rFonts w:ascii="Times New Roman" w:hAnsi="Times New Roman"/>
          <w:b/>
        </w:rPr>
      </w:pPr>
      <w:r>
        <w:rPr>
          <w:rFonts w:ascii="Times New Roman" w:hAnsi="Times New Roman"/>
          <w:b/>
        </w:rPr>
        <w:br w:type="page"/>
      </w:r>
      <w:bookmarkStart w:id="74" w:name="_Toc31983977"/>
      <w:bookmarkStart w:id="75" w:name="_Toc32240317"/>
      <w:bookmarkStart w:id="76" w:name="_Toc32421902"/>
      <w:bookmarkStart w:id="77" w:name="_Toc34129181"/>
      <w:r w:rsidRPr="00F732D1">
        <w:rPr>
          <w:rFonts w:ascii="Times New Roman" w:hAnsi="Times New Roman"/>
          <w:b/>
        </w:rPr>
        <w:lastRenderedPageBreak/>
        <w:t xml:space="preserve">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w:t>
      </w:r>
      <w:r>
        <w:rPr>
          <w:rFonts w:ascii="Times New Roman" w:hAnsi="Times New Roman"/>
          <w:b/>
        </w:rPr>
        <w:t>и муниципальными образованиями</w:t>
      </w:r>
      <w:bookmarkEnd w:id="74"/>
      <w:bookmarkEnd w:id="75"/>
      <w:bookmarkEnd w:id="76"/>
      <w:bookmarkEnd w:id="77"/>
    </w:p>
    <w:p w14:paraId="2F9E6703" w14:textId="77777777" w:rsidR="003F4CFF" w:rsidRPr="001127D6" w:rsidRDefault="003F4CFF" w:rsidP="003F4CFF">
      <w:pPr>
        <w:ind w:firstLine="567"/>
        <w:rPr>
          <w:rFonts w:ascii="Times New Roman" w:hAnsi="Times New Roman" w:cs="Times New Roman"/>
          <w:b/>
          <w:sz w:val="28"/>
          <w:szCs w:val="28"/>
        </w:rPr>
      </w:pPr>
    </w:p>
    <w:p w14:paraId="6AE2AFAF" w14:textId="77777777" w:rsidR="003F4CFF" w:rsidRDefault="003F4CFF" w:rsidP="003F4CFF">
      <w:pPr>
        <w:pStyle w:val="ac"/>
        <w:ind w:firstLine="567"/>
        <w:jc w:val="both"/>
        <w:rPr>
          <w:rFonts w:ascii="Times New Roman" w:hAnsi="Times New Roman"/>
          <w:b/>
        </w:rPr>
      </w:pPr>
      <w:r w:rsidRPr="001127D6">
        <w:rPr>
          <w:rFonts w:ascii="Times New Roman" w:hAnsi="Times New Roman"/>
          <w:b/>
        </w:rPr>
        <w:t>Удовлетворенность субъектов предпринимательства</w:t>
      </w:r>
      <w:r>
        <w:rPr>
          <w:rFonts w:ascii="Times New Roman" w:hAnsi="Times New Roman"/>
          <w:b/>
        </w:rPr>
        <w:t>.</w:t>
      </w:r>
    </w:p>
    <w:p w14:paraId="157AC55D"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 xml:space="preserve">Удовлетворенность субъектов предпринимательства уровнем доступности информации о развитии конкуренции в среднем по Новосибирской области составляет 55,6% от числа опрошенных. Удовлетворенность уровнем понятности информации в среднем по Новосибирской области – 57,4% от числа опрошенных. Удовлетворенность удобством получения информации в среднем по Новосибирской области – 58,3% от числа опрошенных. </w:t>
      </w:r>
    </w:p>
    <w:p w14:paraId="21F22CC5" w14:textId="77777777" w:rsidR="003F4CFF" w:rsidRPr="001127D6" w:rsidRDefault="003F4CFF" w:rsidP="003F4CFF">
      <w:pPr>
        <w:widowControl w:val="0"/>
        <w:autoSpaceDE w:val="0"/>
        <w:autoSpaceDN w:val="0"/>
        <w:adjustRightInd w:val="0"/>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Наиболее удовлетворены всеми 3 параметрами представители рынков услуг среднего профессионального образования, купли-продажи электрической энергии (мощности) на розничном рынке электрической энергии (мощности), а также на рынке племенного животноводства. Наиболее низкие оценки – на рынке архитектурно-строительного проектирования. </w:t>
      </w:r>
    </w:p>
    <w:p w14:paraId="62AC4CF1"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bookmarkStart w:id="78" w:name="_Toc501937523"/>
      <w:r w:rsidRPr="004A7B7F">
        <w:rPr>
          <w:rFonts w:ascii="Times New Roman" w:hAnsi="Times New Roman" w:cs="Times New Roman"/>
          <w:sz w:val="28"/>
          <w:szCs w:val="28"/>
        </w:rPr>
        <w:t xml:space="preserve">Внутри одного МО оценки доступности, понятности и удобства получения информации, как правило, незначительно отличаются друг от друга. Наиболее высокая удовлетворенность качеством информации выявлена в следующих МО: Северный, Чановский, Здвинский, Сузунский, Убинский районы (оценки удовлетворенности по трем показателям находятся на высоком уровне). Наименьшая удовлетворенность качеством информации по всем показателям установлена в р. п. Кольцово, Баганском и Ордынском районах (оценки удовлетворенности по трем показателям находятся на низком уровне). </w:t>
      </w:r>
    </w:p>
    <w:p w14:paraId="0710AF6B"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 xml:space="preserve">Среди представителей крупных предприятий (с количеством трудоустроенных работников свыше 250 человек) зафиксированы более высокие оценки уровня удовлетворенности качеством официальной информации о состоянии конкурентной среды на рынках товаров, работ и услуг региона: доступностью информации удовлетворены 79,1% опрошенных представителей крупных предприятий, понятностью информации – 80,6%, удобством получения информации – 77,6% опрошенных. </w:t>
      </w:r>
    </w:p>
    <w:p w14:paraId="262644A2" w14:textId="77777777" w:rsidR="003F4CFF" w:rsidRPr="001127D6" w:rsidRDefault="003F4CFF" w:rsidP="003F4CFF">
      <w:pPr>
        <w:widowControl w:val="0"/>
        <w:autoSpaceDE w:val="0"/>
        <w:autoSpaceDN w:val="0"/>
        <w:adjustRightInd w:val="0"/>
        <w:ind w:firstLine="567"/>
        <w:jc w:val="both"/>
        <w:rPr>
          <w:rFonts w:ascii="Times New Roman" w:hAnsi="Times New Roman" w:cs="Times New Roman"/>
          <w:sz w:val="28"/>
          <w:szCs w:val="28"/>
        </w:rPr>
      </w:pPr>
      <w:r w:rsidRPr="001127D6">
        <w:rPr>
          <w:rFonts w:ascii="Times New Roman" w:hAnsi="Times New Roman" w:cs="Times New Roman"/>
          <w:sz w:val="28"/>
          <w:szCs w:val="28"/>
        </w:rPr>
        <w:t>Большинство участников опроса считают возможным получение информации по вопросам ведения бизнеса как в государственных органах власти Новосибирской области, так и в органах муниципальной власти. Значение первого показателя составляет 71,8% в среднем по региону, значение второго – 69,1%. Разница в значениях показателей незначительная.</w:t>
      </w:r>
      <w:bookmarkEnd w:id="78"/>
      <w:r w:rsidRPr="001127D6">
        <w:rPr>
          <w:rFonts w:ascii="Times New Roman" w:hAnsi="Times New Roman" w:cs="Times New Roman"/>
          <w:sz w:val="28"/>
          <w:szCs w:val="28"/>
        </w:rPr>
        <w:t xml:space="preserve"> </w:t>
      </w:r>
    </w:p>
    <w:p w14:paraId="2523CD80" w14:textId="77777777" w:rsidR="003F4CFF" w:rsidRPr="001127D6" w:rsidRDefault="003F4CFF" w:rsidP="003F4CFF">
      <w:pPr>
        <w:pStyle w:val="ac"/>
        <w:ind w:firstLine="567"/>
        <w:jc w:val="both"/>
        <w:rPr>
          <w:rFonts w:ascii="Times New Roman" w:hAnsi="Times New Roman"/>
          <w:b/>
        </w:rPr>
      </w:pPr>
      <w:r w:rsidRPr="001127D6">
        <w:rPr>
          <w:rFonts w:ascii="Times New Roman" w:hAnsi="Times New Roman"/>
          <w:b/>
        </w:rPr>
        <w:t>Удовлетворенность потребителей (населения) товаров, работ и услуг</w:t>
      </w:r>
    </w:p>
    <w:p w14:paraId="698F6863"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Показатели удовлетворенности потребителей качеством официальной информации о работе организаций, ведущих деятельность на товарных рынках, измеряются с использованием шкалы: </w:t>
      </w:r>
    </w:p>
    <w:p w14:paraId="3DA48358"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75% и более – высокий уровень удовлетворенности;</w:t>
      </w:r>
    </w:p>
    <w:p w14:paraId="6B4F9797"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lastRenderedPageBreak/>
        <w:t xml:space="preserve">50–74,9% – средний уровень удовлетворенности; </w:t>
      </w:r>
    </w:p>
    <w:p w14:paraId="677766C7"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менее 50% – низкий уровень удовлетворенности.</w:t>
      </w:r>
    </w:p>
    <w:p w14:paraId="6AAEC1EC" w14:textId="77777777" w:rsidR="003F4CFF" w:rsidRPr="001127D6" w:rsidRDefault="003F4CFF" w:rsidP="003F4CFF">
      <w:pPr>
        <w:spacing w:after="160"/>
        <w:rPr>
          <w:rFonts w:ascii="Times New Roman" w:hAnsi="Times New Roman" w:cs="Times New Roman"/>
          <w:b/>
          <w:sz w:val="24"/>
          <w:szCs w:val="24"/>
        </w:rPr>
      </w:pPr>
      <w:r w:rsidRPr="001127D6">
        <w:rPr>
          <w:rFonts w:cs="Times New Roman"/>
          <w:noProof/>
          <w:sz w:val="22"/>
          <w:szCs w:val="22"/>
        </w:rPr>
        <w:drawing>
          <wp:inline distT="0" distB="0" distL="0" distR="0" wp14:anchorId="65ABC48D" wp14:editId="09A03DE7">
            <wp:extent cx="5836285" cy="172910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1127D6">
        <w:rPr>
          <w:rFonts w:ascii="Times New Roman" w:hAnsi="Times New Roman" w:cs="Times New Roman"/>
          <w:b/>
          <w:sz w:val="24"/>
          <w:szCs w:val="24"/>
        </w:rPr>
        <w:t xml:space="preserve">Диаграмма </w:t>
      </w:r>
      <w:r>
        <w:rPr>
          <w:rFonts w:ascii="Times New Roman" w:hAnsi="Times New Roman" w:cs="Times New Roman"/>
          <w:b/>
          <w:sz w:val="24"/>
          <w:szCs w:val="24"/>
        </w:rPr>
        <w:t xml:space="preserve">8 </w:t>
      </w:r>
      <w:r w:rsidRPr="001127D6">
        <w:rPr>
          <w:rFonts w:ascii="Times New Roman" w:hAnsi="Times New Roman" w:cs="Times New Roman"/>
          <w:b/>
          <w:sz w:val="24"/>
          <w:szCs w:val="24"/>
        </w:rPr>
        <w:t>– Удовлетворенность потребителей (населения) качеством официальной информации о состоянии конкурентной среды на рынках товаров, работ и услуг Новосибирской области: уровень доступности, уровень понятности и уровень удобства получения (% от числа потребителей)</w:t>
      </w:r>
    </w:p>
    <w:p w14:paraId="4D526E93" w14:textId="77777777" w:rsidR="003F4CFF" w:rsidRPr="001127D6" w:rsidRDefault="003F4CFF" w:rsidP="003F4CFF">
      <w:pPr>
        <w:ind w:firstLine="709"/>
        <w:jc w:val="both"/>
        <w:rPr>
          <w:rFonts w:ascii="Times New Roman" w:hAnsi="Times New Roman" w:cs="Times New Roman"/>
          <w:sz w:val="28"/>
          <w:szCs w:val="28"/>
        </w:rPr>
      </w:pPr>
    </w:p>
    <w:p w14:paraId="6E68D032"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Удовлетворенность уровнем доступности информации о работе организаций товарных рынков в среднем по Новосибирской области составляет 66,3% от числа потребителей. Удовлетворенность уровнем понятности информации о работе организаций товарных рынков в среднем по Новосибирской области – 68,0% от числа потребителей. Удовлетворенность удобством получения информации о работе организаций товарных рынков в среднем по Новосибирской области – 67,2% от числа потребителей. </w:t>
      </w:r>
    </w:p>
    <w:p w14:paraId="4608035A"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b/>
          <w:sz w:val="28"/>
          <w:szCs w:val="28"/>
        </w:rPr>
        <w:t>Доступность информации</w:t>
      </w:r>
      <w:r w:rsidRPr="001127D6">
        <w:rPr>
          <w:rFonts w:ascii="Times New Roman" w:hAnsi="Times New Roman" w:cs="Times New Roman"/>
          <w:sz w:val="28"/>
          <w:szCs w:val="28"/>
        </w:rPr>
        <w:t xml:space="preserve"> находится на среднем уровне на большинстве товарных рынков и в большинстве МО (показатель удовлетворенности средний). Только на рынках услуг розничной торговли лекарственными препаратами, медицинскими изделиями и сопутствующими товарами, оказания услуг по перевозке пассажиров и багажа легковым такси на территории субъекта Российской Федерации, услуг связи, в том числе услуг по предоставлению широкополосного доступа к информационно-телекоммуникационной сети «Интернет», купли-продажи электрической энергии (мощности) на розничном рынке электрической энергии (мощности), услуг общего образования и среднего профессионального образования, а также в Кочковском районе зафиксирован высокий показатель удовлетворенности потребителей уровнем доступности информации. И меньше всего потребители удовлетворены уровнем доступности информации на рынке дорожной деятельности (за исключением проектирования), а также в Сузунском, Кыштовском и Убинском районах.</w:t>
      </w:r>
    </w:p>
    <w:p w14:paraId="3C7570D5"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На большинстве товарных рынков зафиксирован средний уровень </w:t>
      </w:r>
      <w:r w:rsidRPr="001127D6">
        <w:rPr>
          <w:rFonts w:ascii="Times New Roman" w:hAnsi="Times New Roman" w:cs="Times New Roman"/>
          <w:b/>
          <w:sz w:val="28"/>
          <w:szCs w:val="28"/>
        </w:rPr>
        <w:t>понятности информации</w:t>
      </w:r>
      <w:r w:rsidRPr="001127D6">
        <w:rPr>
          <w:rFonts w:ascii="Times New Roman" w:hAnsi="Times New Roman" w:cs="Times New Roman"/>
          <w:sz w:val="28"/>
          <w:szCs w:val="28"/>
        </w:rPr>
        <w:t xml:space="preserve"> о работе организаций, за исключением рынков услуг розничной торговли лекарственными препаратами, медицинскими изделиями и сопутствующими товарами, оказания услуг по перевозке пассажиров и багажа легковым такси на территории субъекта Российской Федерации, услуг связи, в том числе услуг по предоставлению широкополосного доступа к информационно-телекоммуникационной сети «Интернет», а также в Кочковском районе, где </w:t>
      </w:r>
      <w:r w:rsidRPr="001127D6">
        <w:rPr>
          <w:rFonts w:ascii="Times New Roman" w:hAnsi="Times New Roman" w:cs="Times New Roman"/>
          <w:sz w:val="28"/>
          <w:szCs w:val="28"/>
        </w:rPr>
        <w:lastRenderedPageBreak/>
        <w:t xml:space="preserve">удовлетворенность потребителей зафиксирована на высоком уровне, на рынке дорожной деятельности (за исключением проектирования), а также в Убинском, Сузунском районах уровень удовлетворенности понятностью информации самый низкий. </w:t>
      </w:r>
    </w:p>
    <w:p w14:paraId="00766CC1"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Удовлетворенность </w:t>
      </w:r>
      <w:r w:rsidRPr="001127D6">
        <w:rPr>
          <w:rFonts w:ascii="Times New Roman" w:hAnsi="Times New Roman" w:cs="Times New Roman"/>
          <w:b/>
          <w:sz w:val="28"/>
          <w:szCs w:val="28"/>
        </w:rPr>
        <w:t>удобством получения информации</w:t>
      </w:r>
      <w:r w:rsidRPr="001127D6">
        <w:rPr>
          <w:rFonts w:ascii="Times New Roman" w:hAnsi="Times New Roman" w:cs="Times New Roman"/>
          <w:sz w:val="28"/>
          <w:szCs w:val="28"/>
        </w:rPr>
        <w:t xml:space="preserve"> об организациях потребители оценили на среднем уровне на 26 из 33 товарных рынках, а также в 18 из 35 МО. Высокие оценки удовлетворенности характерны для 6 рынков (услуг розничной торговли лекарственными препаратами, медицинскими издел</w:t>
      </w:r>
      <w:r>
        <w:rPr>
          <w:rFonts w:ascii="Times New Roman" w:hAnsi="Times New Roman" w:cs="Times New Roman"/>
          <w:sz w:val="28"/>
          <w:szCs w:val="28"/>
        </w:rPr>
        <w:t>иями и сопутствующими товарами,</w:t>
      </w:r>
      <w:r w:rsidRPr="001127D6">
        <w:rPr>
          <w:rFonts w:cs="Times New Roman"/>
          <w:sz w:val="22"/>
          <w:szCs w:val="22"/>
        </w:rPr>
        <w:t xml:space="preserve"> </w:t>
      </w:r>
      <w:r w:rsidRPr="001127D6">
        <w:rPr>
          <w:rFonts w:ascii="Times New Roman" w:hAnsi="Times New Roman" w:cs="Times New Roman"/>
          <w:sz w:val="28"/>
          <w:szCs w:val="28"/>
        </w:rPr>
        <w:t>услуг связи, в том числе услуг по предоставлению широкополосного доступа к информационно-телекоммуникационной сети «Интернет», оказания услуг по перевозке пассажиров и багажа легковым такси на территории субъекта Российской Федерации, купли-продажи электрической энергии (мощности) на розничном рынке электрической энергии (мощности), услуг общего образования, производства бетона), а также для 15 МО (г. Искитим, Кочковский, Маслянинский, Чистоозерный, Здвинский, Куйбышевский, Купинский и Искитимский, Коченевский, Карасукский, Северный, Кыштовский, Черепановский и Краснозерский районы). Низкий уровень удовлетворенности удобством получения информации отмечали чаще всего на рынке дорожной деятельности (за исключением проектирования), в Убинском и Сузунском районах.</w:t>
      </w:r>
    </w:p>
    <w:p w14:paraId="5A36E5A1"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Потребители наиболее качественно информированы об организациях на следующих рынках: услуг розничной торговли лекарственными препаратами, медицинскими изделиями и сопутствующими товарами, оказания услуг по перевозке пассажиров и багажа легковым такси на территории субъекта Российской Федерации, услуг связи, в том числе услуг по предоставлению широкополосного доступа к информационно-телекоммуникационной сети «Интернет», услуг общего образования и купли-продажи электрической энергии (мощности) на розничном рынке электрической энергии (мощности) – высокая удовлетворенность зафиксирована в большинстве или во всех МО. Наиболее проблемным с точки зрения информирования потребителей об организациях товарных рынков является рынок дорожной деятельности (за исключением проектирования): в МО превалирует низкий уровень удовлетворенности всеми показателями качества информации, в отдельных МО также зафиксирована низкая удовлетворенность. </w:t>
      </w:r>
    </w:p>
    <w:p w14:paraId="07143034" w14:textId="77777777" w:rsidR="003F4CFF" w:rsidRDefault="003F4CFF" w:rsidP="003F4CFF">
      <w:pPr>
        <w:ind w:firstLine="567"/>
        <w:rPr>
          <w:rFonts w:ascii="Times New Roman" w:hAnsi="Times New Roman" w:cs="Times New Roman"/>
          <w:b/>
          <w:sz w:val="28"/>
          <w:szCs w:val="28"/>
        </w:rPr>
      </w:pPr>
    </w:p>
    <w:p w14:paraId="2C89EA3F" w14:textId="77777777" w:rsidR="003F4CFF" w:rsidRPr="001127D6" w:rsidRDefault="003F4CFF" w:rsidP="003F4CFF">
      <w:pPr>
        <w:pStyle w:val="ac"/>
        <w:ind w:firstLine="567"/>
        <w:jc w:val="both"/>
        <w:rPr>
          <w:rFonts w:ascii="Times New Roman" w:hAnsi="Times New Roman"/>
          <w:b/>
        </w:rPr>
      </w:pPr>
      <w:r w:rsidRPr="001127D6">
        <w:rPr>
          <w:rFonts w:ascii="Times New Roman" w:hAnsi="Times New Roman"/>
          <w:b/>
        </w:rPr>
        <w:t>Оценка уровня доступности, полноты, скорости и удобства получения официальной информации на официальных интернет-сайтах территориальных органов федеральных органов исполнительной власти, министерства экономического развития Новосибирской области и муниципальных образований</w:t>
      </w:r>
    </w:p>
    <w:p w14:paraId="41EC44EF"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 xml:space="preserve">Оценка уровня доступности, полноты, скорости и удобства получения официальной информации по результатам деятельности территориальных органов федеральных органов исполнительной власти, в том числе Федеральной антимонопольной службы, Федеральной налоговой службы, Федеральной службы государственной статистики, Федеральной службы государственной регистрации, </w:t>
      </w:r>
      <w:r w:rsidRPr="004A7B7F">
        <w:rPr>
          <w:rFonts w:ascii="Times New Roman" w:hAnsi="Times New Roman" w:cs="Times New Roman"/>
          <w:sz w:val="28"/>
          <w:szCs w:val="28"/>
        </w:rPr>
        <w:lastRenderedPageBreak/>
        <w:t>кадастра и картографии, Федеральной службы по надзору в сфере защиты прав потребителей и благополучия человека, проведена на основе кабинетного анализа информации, размещенной на интернет-сайтах этих организаций.</w:t>
      </w:r>
    </w:p>
    <w:p w14:paraId="201D5AB2" w14:textId="77777777" w:rsidR="003F4CFF" w:rsidRDefault="003F4CFF" w:rsidP="003F4CFF">
      <w:pPr>
        <w:widowControl w:val="0"/>
        <w:autoSpaceDE w:val="0"/>
        <w:autoSpaceDN w:val="0"/>
        <w:adjustRightInd w:val="0"/>
        <w:ind w:firstLine="567"/>
        <w:jc w:val="both"/>
        <w:rPr>
          <w:rFonts w:ascii="Times New Roman" w:hAnsi="Times New Roman" w:cs="Times New Roman"/>
          <w:color w:val="000000"/>
          <w:sz w:val="28"/>
          <w:szCs w:val="28"/>
          <w:highlight w:val="yellow"/>
        </w:rPr>
      </w:pPr>
    </w:p>
    <w:p w14:paraId="212D1849" w14:textId="77777777" w:rsidR="003F4CFF" w:rsidRPr="00BF7B1F" w:rsidRDefault="003F4CFF" w:rsidP="003F4CFF">
      <w:pPr>
        <w:widowControl w:val="0"/>
        <w:autoSpaceDE w:val="0"/>
        <w:autoSpaceDN w:val="0"/>
        <w:adjustRightInd w:val="0"/>
        <w:jc w:val="both"/>
        <w:rPr>
          <w:rFonts w:ascii="Times New Roman" w:hAnsi="Times New Roman" w:cs="Times New Roman"/>
          <w:color w:val="000000"/>
          <w:sz w:val="28"/>
          <w:szCs w:val="28"/>
        </w:rPr>
      </w:pPr>
      <w:r w:rsidRPr="00E636ED">
        <w:rPr>
          <w:rFonts w:ascii="Times New Roman" w:hAnsi="Times New Roman" w:cs="Times New Roman"/>
          <w:color w:val="000000"/>
          <w:sz w:val="28"/>
          <w:szCs w:val="28"/>
        </w:rPr>
        <w:t>Таблица 16</w:t>
      </w:r>
      <w:r w:rsidRPr="00BF7B1F">
        <w:rPr>
          <w:rFonts w:ascii="Times New Roman" w:hAnsi="Times New Roman" w:cs="Times New Roman"/>
          <w:color w:val="000000"/>
          <w:sz w:val="28"/>
          <w:szCs w:val="28"/>
        </w:rPr>
        <w:t> </w:t>
      </w:r>
      <w:r w:rsidRPr="004A7B7F">
        <w:rPr>
          <w:rFonts w:ascii="Times New Roman" w:hAnsi="Times New Roman" w:cs="Times New Roman"/>
          <w:sz w:val="28"/>
          <w:szCs w:val="28"/>
        </w:rPr>
        <w:t>– Результаты экспертной оценки информации, представленной на интернет-сайтах территориальных органов федеральных органов исполнительной власти по 5-балльной шкале, баллы</w:t>
      </w:r>
    </w:p>
    <w:tbl>
      <w:tblPr>
        <w:tblW w:w="4994"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5470"/>
        <w:gridCol w:w="1203"/>
        <w:gridCol w:w="1066"/>
        <w:gridCol w:w="1106"/>
        <w:gridCol w:w="1064"/>
      </w:tblGrid>
      <w:tr w:rsidR="003F4CFF" w:rsidRPr="00293FDC" w14:paraId="11509A6E" w14:textId="77777777" w:rsidTr="003F4CFF">
        <w:trPr>
          <w:tblHeader/>
        </w:trPr>
        <w:tc>
          <w:tcPr>
            <w:tcW w:w="2760" w:type="pct"/>
            <w:tcBorders>
              <w:top w:val="single" w:sz="4" w:space="0" w:color="auto"/>
              <w:left w:val="nil"/>
              <w:bottom w:val="single" w:sz="4" w:space="0" w:color="auto"/>
              <w:right w:val="nil"/>
            </w:tcBorders>
            <w:shd w:val="clear" w:color="auto" w:fill="auto"/>
            <w:vAlign w:val="center"/>
          </w:tcPr>
          <w:p w14:paraId="5A097625" w14:textId="77777777" w:rsidR="003F4CFF" w:rsidRPr="00293FDC" w:rsidRDefault="003F4CFF" w:rsidP="003F4CFF">
            <w:pPr>
              <w:widowControl w:val="0"/>
              <w:autoSpaceDE w:val="0"/>
              <w:autoSpaceDN w:val="0"/>
              <w:adjustRightInd w:val="0"/>
              <w:rPr>
                <w:rFonts w:ascii="Times New Roman" w:hAnsi="Times New Roman" w:cs="Times New Roman"/>
              </w:rPr>
            </w:pPr>
          </w:p>
        </w:tc>
        <w:tc>
          <w:tcPr>
            <w:tcW w:w="607" w:type="pct"/>
            <w:tcBorders>
              <w:top w:val="single" w:sz="4" w:space="0" w:color="auto"/>
              <w:left w:val="nil"/>
              <w:bottom w:val="single" w:sz="4" w:space="0" w:color="auto"/>
              <w:right w:val="nil"/>
            </w:tcBorders>
            <w:shd w:val="clear" w:color="auto" w:fill="auto"/>
            <w:vAlign w:val="center"/>
            <w:hideMark/>
          </w:tcPr>
          <w:p w14:paraId="38064A2D"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Доступность</w:t>
            </w:r>
          </w:p>
        </w:tc>
        <w:tc>
          <w:tcPr>
            <w:tcW w:w="538" w:type="pct"/>
            <w:tcBorders>
              <w:top w:val="single" w:sz="4" w:space="0" w:color="auto"/>
              <w:left w:val="nil"/>
              <w:bottom w:val="single" w:sz="4" w:space="0" w:color="auto"/>
              <w:right w:val="nil"/>
            </w:tcBorders>
            <w:shd w:val="clear" w:color="auto" w:fill="auto"/>
            <w:vAlign w:val="center"/>
            <w:hideMark/>
          </w:tcPr>
          <w:p w14:paraId="645866EE"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Полнота</w:t>
            </w:r>
          </w:p>
        </w:tc>
        <w:tc>
          <w:tcPr>
            <w:tcW w:w="558" w:type="pct"/>
            <w:tcBorders>
              <w:top w:val="single" w:sz="4" w:space="0" w:color="auto"/>
              <w:left w:val="nil"/>
              <w:bottom w:val="single" w:sz="4" w:space="0" w:color="auto"/>
              <w:right w:val="nil"/>
            </w:tcBorders>
            <w:shd w:val="clear" w:color="auto" w:fill="auto"/>
            <w:vAlign w:val="center"/>
            <w:hideMark/>
          </w:tcPr>
          <w:p w14:paraId="2E719659"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Скорость получения</w:t>
            </w:r>
          </w:p>
        </w:tc>
        <w:tc>
          <w:tcPr>
            <w:tcW w:w="537" w:type="pct"/>
            <w:tcBorders>
              <w:top w:val="single" w:sz="4" w:space="0" w:color="auto"/>
              <w:left w:val="nil"/>
              <w:bottom w:val="single" w:sz="4" w:space="0" w:color="auto"/>
              <w:right w:val="nil"/>
            </w:tcBorders>
            <w:shd w:val="clear" w:color="auto" w:fill="auto"/>
            <w:vAlign w:val="center"/>
            <w:hideMark/>
          </w:tcPr>
          <w:p w14:paraId="56A19EA9"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Удобство получения</w:t>
            </w:r>
          </w:p>
        </w:tc>
      </w:tr>
      <w:tr w:rsidR="003F4CFF" w:rsidRPr="00293FDC" w14:paraId="4A4637EF" w14:textId="77777777" w:rsidTr="003F4CFF">
        <w:tc>
          <w:tcPr>
            <w:tcW w:w="2760" w:type="pct"/>
            <w:tcBorders>
              <w:top w:val="single" w:sz="4" w:space="0" w:color="auto"/>
              <w:left w:val="nil"/>
              <w:bottom w:val="single" w:sz="4" w:space="0" w:color="auto"/>
              <w:right w:val="nil"/>
            </w:tcBorders>
            <w:shd w:val="clear" w:color="auto" w:fill="auto"/>
            <w:hideMark/>
          </w:tcPr>
          <w:p w14:paraId="5C412A0D" w14:textId="77777777" w:rsidR="003F4CFF" w:rsidRPr="00293FDC" w:rsidRDefault="003F4CFF" w:rsidP="003F4CFF">
            <w:pPr>
              <w:widowControl w:val="0"/>
              <w:autoSpaceDE w:val="0"/>
              <w:autoSpaceDN w:val="0"/>
              <w:adjustRightInd w:val="0"/>
              <w:ind w:right="122"/>
              <w:rPr>
                <w:rFonts w:ascii="Times New Roman" w:hAnsi="Times New Roman" w:cs="Times New Roman"/>
              </w:rPr>
            </w:pPr>
            <w:r w:rsidRPr="00293FDC">
              <w:rPr>
                <w:rFonts w:ascii="Times New Roman" w:hAnsi="Times New Roman" w:cs="Times New Roman"/>
                <w:bCs/>
              </w:rPr>
              <w:t xml:space="preserve">Управление Федеральной антимонопольной службы по Новосибирской области </w:t>
            </w:r>
            <w:hyperlink r:id="rId77" w:history="1">
              <w:r w:rsidRPr="00293FDC">
                <w:rPr>
                  <w:rFonts w:cs="Times New Roman"/>
                  <w:u w:val="single"/>
                </w:rPr>
                <w:t>http://novosibirsk.fas.gov.ru</w:t>
              </w:r>
            </w:hyperlink>
          </w:p>
        </w:tc>
        <w:tc>
          <w:tcPr>
            <w:tcW w:w="607" w:type="pct"/>
            <w:tcBorders>
              <w:top w:val="single" w:sz="4" w:space="0" w:color="auto"/>
              <w:left w:val="nil"/>
              <w:bottom w:val="single" w:sz="4" w:space="0" w:color="auto"/>
              <w:right w:val="nil"/>
            </w:tcBorders>
            <w:shd w:val="clear" w:color="auto" w:fill="auto"/>
            <w:vAlign w:val="center"/>
            <w:hideMark/>
          </w:tcPr>
          <w:p w14:paraId="4AF7287D"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4</w:t>
            </w:r>
          </w:p>
        </w:tc>
        <w:tc>
          <w:tcPr>
            <w:tcW w:w="538" w:type="pct"/>
            <w:tcBorders>
              <w:top w:val="single" w:sz="4" w:space="0" w:color="auto"/>
              <w:left w:val="nil"/>
              <w:bottom w:val="single" w:sz="4" w:space="0" w:color="auto"/>
              <w:right w:val="nil"/>
            </w:tcBorders>
            <w:shd w:val="clear" w:color="auto" w:fill="auto"/>
            <w:vAlign w:val="center"/>
            <w:hideMark/>
          </w:tcPr>
          <w:p w14:paraId="06D90F3E"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4</w:t>
            </w:r>
          </w:p>
        </w:tc>
        <w:tc>
          <w:tcPr>
            <w:tcW w:w="558" w:type="pct"/>
            <w:tcBorders>
              <w:top w:val="single" w:sz="4" w:space="0" w:color="auto"/>
              <w:left w:val="nil"/>
              <w:bottom w:val="single" w:sz="4" w:space="0" w:color="auto"/>
              <w:right w:val="nil"/>
            </w:tcBorders>
            <w:shd w:val="clear" w:color="auto" w:fill="auto"/>
            <w:vAlign w:val="center"/>
            <w:hideMark/>
          </w:tcPr>
          <w:p w14:paraId="502A6A1B"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5</w:t>
            </w:r>
          </w:p>
        </w:tc>
        <w:tc>
          <w:tcPr>
            <w:tcW w:w="537" w:type="pct"/>
            <w:tcBorders>
              <w:top w:val="single" w:sz="4" w:space="0" w:color="auto"/>
              <w:left w:val="nil"/>
              <w:bottom w:val="single" w:sz="4" w:space="0" w:color="auto"/>
              <w:right w:val="nil"/>
            </w:tcBorders>
            <w:shd w:val="clear" w:color="auto" w:fill="auto"/>
            <w:vAlign w:val="center"/>
            <w:hideMark/>
          </w:tcPr>
          <w:p w14:paraId="06356A93"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4</w:t>
            </w:r>
          </w:p>
        </w:tc>
      </w:tr>
      <w:tr w:rsidR="003F4CFF" w:rsidRPr="00293FDC" w14:paraId="6E223C88" w14:textId="77777777" w:rsidTr="003F4CFF">
        <w:tc>
          <w:tcPr>
            <w:tcW w:w="2760" w:type="pct"/>
            <w:tcBorders>
              <w:top w:val="single" w:sz="4" w:space="0" w:color="auto"/>
              <w:left w:val="nil"/>
              <w:bottom w:val="single" w:sz="4" w:space="0" w:color="auto"/>
              <w:right w:val="nil"/>
            </w:tcBorders>
            <w:shd w:val="clear" w:color="auto" w:fill="auto"/>
            <w:hideMark/>
          </w:tcPr>
          <w:p w14:paraId="02DC9DF3" w14:textId="77777777" w:rsidR="003F4CFF" w:rsidRPr="00293FDC" w:rsidRDefault="003F4CFF" w:rsidP="003F4CFF">
            <w:pPr>
              <w:widowControl w:val="0"/>
              <w:autoSpaceDE w:val="0"/>
              <w:autoSpaceDN w:val="0"/>
              <w:adjustRightInd w:val="0"/>
              <w:ind w:right="122"/>
              <w:rPr>
                <w:rFonts w:ascii="Times New Roman" w:hAnsi="Times New Roman" w:cs="Times New Roman"/>
              </w:rPr>
            </w:pPr>
            <w:r w:rsidRPr="00293FDC">
              <w:rPr>
                <w:rFonts w:ascii="Times New Roman" w:hAnsi="Times New Roman" w:cs="Times New Roman"/>
                <w:bCs/>
              </w:rPr>
              <w:t xml:space="preserve">Управление Федеральной налоговой службы по Новосибирской области </w:t>
            </w:r>
            <w:hyperlink r:id="rId78" w:history="1">
              <w:r w:rsidRPr="00293FDC">
                <w:rPr>
                  <w:rFonts w:cs="Times New Roman"/>
                  <w:u w:val="single"/>
                </w:rPr>
                <w:t>https://www.nalog.ru/rn54/</w:t>
              </w:r>
            </w:hyperlink>
          </w:p>
        </w:tc>
        <w:tc>
          <w:tcPr>
            <w:tcW w:w="607" w:type="pct"/>
            <w:tcBorders>
              <w:top w:val="single" w:sz="4" w:space="0" w:color="auto"/>
              <w:left w:val="nil"/>
              <w:bottom w:val="single" w:sz="4" w:space="0" w:color="auto"/>
              <w:right w:val="nil"/>
            </w:tcBorders>
            <w:shd w:val="clear" w:color="auto" w:fill="auto"/>
            <w:vAlign w:val="center"/>
            <w:hideMark/>
          </w:tcPr>
          <w:p w14:paraId="64A429C0"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5</w:t>
            </w:r>
          </w:p>
        </w:tc>
        <w:tc>
          <w:tcPr>
            <w:tcW w:w="538" w:type="pct"/>
            <w:tcBorders>
              <w:top w:val="single" w:sz="4" w:space="0" w:color="auto"/>
              <w:left w:val="nil"/>
              <w:bottom w:val="single" w:sz="4" w:space="0" w:color="auto"/>
              <w:right w:val="nil"/>
            </w:tcBorders>
            <w:shd w:val="clear" w:color="auto" w:fill="auto"/>
            <w:vAlign w:val="center"/>
            <w:hideMark/>
          </w:tcPr>
          <w:p w14:paraId="08E2869E"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5</w:t>
            </w:r>
          </w:p>
        </w:tc>
        <w:tc>
          <w:tcPr>
            <w:tcW w:w="558" w:type="pct"/>
            <w:tcBorders>
              <w:top w:val="single" w:sz="4" w:space="0" w:color="auto"/>
              <w:left w:val="nil"/>
              <w:bottom w:val="single" w:sz="4" w:space="0" w:color="auto"/>
              <w:right w:val="nil"/>
            </w:tcBorders>
            <w:shd w:val="clear" w:color="auto" w:fill="auto"/>
            <w:vAlign w:val="center"/>
            <w:hideMark/>
          </w:tcPr>
          <w:p w14:paraId="75531A09"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5</w:t>
            </w:r>
          </w:p>
        </w:tc>
        <w:tc>
          <w:tcPr>
            <w:tcW w:w="537" w:type="pct"/>
            <w:tcBorders>
              <w:top w:val="single" w:sz="4" w:space="0" w:color="auto"/>
              <w:left w:val="nil"/>
              <w:bottom w:val="single" w:sz="4" w:space="0" w:color="auto"/>
              <w:right w:val="nil"/>
            </w:tcBorders>
            <w:shd w:val="clear" w:color="auto" w:fill="auto"/>
            <w:vAlign w:val="center"/>
            <w:hideMark/>
          </w:tcPr>
          <w:p w14:paraId="101AC5C8"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4</w:t>
            </w:r>
          </w:p>
        </w:tc>
      </w:tr>
      <w:tr w:rsidR="003F4CFF" w:rsidRPr="00293FDC" w14:paraId="4E1C4E11" w14:textId="77777777" w:rsidTr="003F4CFF">
        <w:tc>
          <w:tcPr>
            <w:tcW w:w="2760" w:type="pct"/>
            <w:tcBorders>
              <w:top w:val="single" w:sz="4" w:space="0" w:color="auto"/>
              <w:left w:val="nil"/>
              <w:bottom w:val="single" w:sz="4" w:space="0" w:color="auto"/>
              <w:right w:val="nil"/>
            </w:tcBorders>
            <w:shd w:val="clear" w:color="auto" w:fill="auto"/>
            <w:hideMark/>
          </w:tcPr>
          <w:p w14:paraId="3279140F" w14:textId="77777777" w:rsidR="003F4CFF" w:rsidRPr="00293FDC" w:rsidRDefault="003F4CFF" w:rsidP="003F4CFF">
            <w:pPr>
              <w:widowControl w:val="0"/>
              <w:autoSpaceDE w:val="0"/>
              <w:autoSpaceDN w:val="0"/>
              <w:adjustRightInd w:val="0"/>
              <w:ind w:right="122"/>
              <w:rPr>
                <w:rFonts w:ascii="Times New Roman" w:eastAsia="Times New Roman" w:hAnsi="Times New Roman" w:cs="Times New Roman"/>
                <w:shd w:val="clear" w:color="auto" w:fill="FFFFFF"/>
              </w:rPr>
            </w:pPr>
            <w:r w:rsidRPr="00293FDC">
              <w:rPr>
                <w:rFonts w:ascii="Times New Roman" w:hAnsi="Times New Roman" w:cs="Times New Roman"/>
              </w:rPr>
              <w:t xml:space="preserve">Территориальный орган Федеральной службы государственной статистики по Новосибирской области </w:t>
            </w:r>
            <w:hyperlink r:id="rId79" w:history="1">
              <w:r w:rsidRPr="00293FDC">
                <w:rPr>
                  <w:rFonts w:cs="Times New Roman"/>
                  <w:u w:val="single"/>
                  <w:shd w:val="clear" w:color="auto" w:fill="FFFFFF"/>
                </w:rPr>
                <w:t>http://novosibstat.gks.ru/</w:t>
              </w:r>
            </w:hyperlink>
          </w:p>
        </w:tc>
        <w:tc>
          <w:tcPr>
            <w:tcW w:w="607" w:type="pct"/>
            <w:tcBorders>
              <w:top w:val="single" w:sz="4" w:space="0" w:color="auto"/>
              <w:left w:val="nil"/>
              <w:bottom w:val="single" w:sz="4" w:space="0" w:color="auto"/>
              <w:right w:val="nil"/>
            </w:tcBorders>
            <w:shd w:val="clear" w:color="auto" w:fill="auto"/>
            <w:vAlign w:val="center"/>
            <w:hideMark/>
          </w:tcPr>
          <w:p w14:paraId="6A035797"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3</w:t>
            </w:r>
          </w:p>
        </w:tc>
        <w:tc>
          <w:tcPr>
            <w:tcW w:w="538" w:type="pct"/>
            <w:tcBorders>
              <w:top w:val="single" w:sz="4" w:space="0" w:color="auto"/>
              <w:left w:val="nil"/>
              <w:bottom w:val="single" w:sz="4" w:space="0" w:color="auto"/>
              <w:right w:val="nil"/>
            </w:tcBorders>
            <w:shd w:val="clear" w:color="auto" w:fill="auto"/>
            <w:vAlign w:val="center"/>
            <w:hideMark/>
          </w:tcPr>
          <w:p w14:paraId="1D443B63"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4</w:t>
            </w:r>
          </w:p>
        </w:tc>
        <w:tc>
          <w:tcPr>
            <w:tcW w:w="558" w:type="pct"/>
            <w:tcBorders>
              <w:top w:val="single" w:sz="4" w:space="0" w:color="auto"/>
              <w:left w:val="nil"/>
              <w:bottom w:val="single" w:sz="4" w:space="0" w:color="auto"/>
              <w:right w:val="nil"/>
            </w:tcBorders>
            <w:shd w:val="clear" w:color="auto" w:fill="auto"/>
            <w:vAlign w:val="center"/>
            <w:hideMark/>
          </w:tcPr>
          <w:p w14:paraId="5DA6FE49"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4</w:t>
            </w:r>
          </w:p>
        </w:tc>
        <w:tc>
          <w:tcPr>
            <w:tcW w:w="537" w:type="pct"/>
            <w:tcBorders>
              <w:top w:val="single" w:sz="4" w:space="0" w:color="auto"/>
              <w:left w:val="nil"/>
              <w:bottom w:val="single" w:sz="4" w:space="0" w:color="auto"/>
              <w:right w:val="nil"/>
            </w:tcBorders>
            <w:shd w:val="clear" w:color="auto" w:fill="auto"/>
            <w:vAlign w:val="center"/>
            <w:hideMark/>
          </w:tcPr>
          <w:p w14:paraId="6A760EA2"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4</w:t>
            </w:r>
          </w:p>
        </w:tc>
      </w:tr>
      <w:tr w:rsidR="003F4CFF" w:rsidRPr="00293FDC" w14:paraId="23BC08F0" w14:textId="77777777" w:rsidTr="003F4CFF">
        <w:tc>
          <w:tcPr>
            <w:tcW w:w="2760" w:type="pct"/>
            <w:tcBorders>
              <w:top w:val="single" w:sz="4" w:space="0" w:color="auto"/>
              <w:left w:val="nil"/>
              <w:bottom w:val="single" w:sz="4" w:space="0" w:color="auto"/>
              <w:right w:val="nil"/>
            </w:tcBorders>
            <w:shd w:val="clear" w:color="auto" w:fill="auto"/>
            <w:hideMark/>
          </w:tcPr>
          <w:p w14:paraId="2EEBCDA0" w14:textId="77777777" w:rsidR="003F4CFF" w:rsidRPr="00293FDC" w:rsidRDefault="003F4CFF" w:rsidP="003F4CFF">
            <w:pPr>
              <w:widowControl w:val="0"/>
              <w:autoSpaceDE w:val="0"/>
              <w:autoSpaceDN w:val="0"/>
              <w:adjustRightInd w:val="0"/>
              <w:ind w:right="122"/>
              <w:rPr>
                <w:rFonts w:ascii="Times New Roman" w:hAnsi="Times New Roman" w:cs="Times New Roman"/>
                <w:bCs/>
              </w:rPr>
            </w:pPr>
            <w:r w:rsidRPr="00293FDC">
              <w:rPr>
                <w:rFonts w:ascii="Times New Roman" w:hAnsi="Times New Roman" w:cs="Times New Roman"/>
                <w:bCs/>
              </w:rPr>
              <w:t xml:space="preserve">Управление Федеральной службы государственной регистрации, кадастра и картографии по Новосибирской области </w:t>
            </w:r>
          </w:p>
          <w:p w14:paraId="273C38BC" w14:textId="77777777" w:rsidR="003F4CFF" w:rsidRPr="00293FDC" w:rsidRDefault="00E3307E" w:rsidP="003F4CFF">
            <w:pPr>
              <w:widowControl w:val="0"/>
              <w:autoSpaceDE w:val="0"/>
              <w:autoSpaceDN w:val="0"/>
              <w:adjustRightInd w:val="0"/>
              <w:ind w:right="122"/>
              <w:rPr>
                <w:rFonts w:ascii="Times New Roman" w:hAnsi="Times New Roman" w:cs="Times New Roman"/>
              </w:rPr>
            </w:pPr>
            <w:hyperlink r:id="rId80" w:history="1">
              <w:r w:rsidR="003F4CFF" w:rsidRPr="00293FDC">
                <w:rPr>
                  <w:rFonts w:cs="Times New Roman"/>
                  <w:u w:val="single"/>
                </w:rPr>
                <w:t>https://rosreestr.ru/site/about/struct/territorialnye-organy/upravlenie-rosreestra-po-novosibirskoy-oblasti/</w:t>
              </w:r>
            </w:hyperlink>
          </w:p>
        </w:tc>
        <w:tc>
          <w:tcPr>
            <w:tcW w:w="607" w:type="pct"/>
            <w:tcBorders>
              <w:top w:val="single" w:sz="4" w:space="0" w:color="auto"/>
              <w:left w:val="nil"/>
              <w:bottom w:val="single" w:sz="4" w:space="0" w:color="auto"/>
              <w:right w:val="nil"/>
            </w:tcBorders>
            <w:shd w:val="clear" w:color="auto" w:fill="auto"/>
            <w:vAlign w:val="center"/>
            <w:hideMark/>
          </w:tcPr>
          <w:p w14:paraId="4C595452"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4</w:t>
            </w:r>
          </w:p>
        </w:tc>
        <w:tc>
          <w:tcPr>
            <w:tcW w:w="538" w:type="pct"/>
            <w:tcBorders>
              <w:top w:val="single" w:sz="4" w:space="0" w:color="auto"/>
              <w:left w:val="nil"/>
              <w:bottom w:val="single" w:sz="4" w:space="0" w:color="auto"/>
              <w:right w:val="nil"/>
            </w:tcBorders>
            <w:shd w:val="clear" w:color="auto" w:fill="auto"/>
            <w:vAlign w:val="center"/>
            <w:hideMark/>
          </w:tcPr>
          <w:p w14:paraId="1A04A755"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4</w:t>
            </w:r>
          </w:p>
        </w:tc>
        <w:tc>
          <w:tcPr>
            <w:tcW w:w="558" w:type="pct"/>
            <w:tcBorders>
              <w:top w:val="single" w:sz="4" w:space="0" w:color="auto"/>
              <w:left w:val="nil"/>
              <w:bottom w:val="single" w:sz="4" w:space="0" w:color="auto"/>
              <w:right w:val="nil"/>
            </w:tcBorders>
            <w:shd w:val="clear" w:color="auto" w:fill="auto"/>
            <w:vAlign w:val="center"/>
            <w:hideMark/>
          </w:tcPr>
          <w:p w14:paraId="3F941DAE"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3</w:t>
            </w:r>
          </w:p>
        </w:tc>
        <w:tc>
          <w:tcPr>
            <w:tcW w:w="537" w:type="pct"/>
            <w:tcBorders>
              <w:top w:val="single" w:sz="4" w:space="0" w:color="auto"/>
              <w:left w:val="nil"/>
              <w:bottom w:val="single" w:sz="4" w:space="0" w:color="auto"/>
              <w:right w:val="nil"/>
            </w:tcBorders>
            <w:shd w:val="clear" w:color="auto" w:fill="auto"/>
            <w:vAlign w:val="center"/>
            <w:hideMark/>
          </w:tcPr>
          <w:p w14:paraId="30435FB9"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4</w:t>
            </w:r>
          </w:p>
        </w:tc>
      </w:tr>
      <w:tr w:rsidR="003F4CFF" w:rsidRPr="00293FDC" w14:paraId="5F42FD84" w14:textId="77777777" w:rsidTr="003F4CFF">
        <w:tc>
          <w:tcPr>
            <w:tcW w:w="2760" w:type="pct"/>
            <w:tcBorders>
              <w:top w:val="single" w:sz="4" w:space="0" w:color="auto"/>
              <w:left w:val="nil"/>
              <w:bottom w:val="single" w:sz="4" w:space="0" w:color="auto"/>
              <w:right w:val="nil"/>
            </w:tcBorders>
            <w:shd w:val="clear" w:color="auto" w:fill="auto"/>
            <w:hideMark/>
          </w:tcPr>
          <w:p w14:paraId="7FAF92A9" w14:textId="77777777" w:rsidR="003F4CFF" w:rsidRPr="00293FDC" w:rsidRDefault="003F4CFF" w:rsidP="003F4CFF">
            <w:pPr>
              <w:widowControl w:val="0"/>
              <w:autoSpaceDE w:val="0"/>
              <w:autoSpaceDN w:val="0"/>
              <w:adjustRightInd w:val="0"/>
              <w:ind w:right="122"/>
              <w:rPr>
                <w:rFonts w:ascii="Times New Roman" w:hAnsi="Times New Roman" w:cs="Times New Roman"/>
                <w:bCs/>
              </w:rPr>
            </w:pPr>
            <w:r w:rsidRPr="00293FDC">
              <w:rPr>
                <w:rFonts w:ascii="Times New Roman" w:hAnsi="Times New Roman" w:cs="Times New Roman"/>
                <w:bCs/>
              </w:rPr>
              <w:t>Управление Федеральной службы по надзору в сфере защиты прав потребителей и благополучия человека по Новосибирской области</w:t>
            </w:r>
          </w:p>
          <w:p w14:paraId="0D9A556F" w14:textId="77777777" w:rsidR="003F4CFF" w:rsidRPr="00293FDC" w:rsidRDefault="00E3307E" w:rsidP="003F4CFF">
            <w:pPr>
              <w:widowControl w:val="0"/>
              <w:autoSpaceDE w:val="0"/>
              <w:autoSpaceDN w:val="0"/>
              <w:adjustRightInd w:val="0"/>
              <w:ind w:right="122"/>
              <w:rPr>
                <w:rFonts w:ascii="Times New Roman" w:hAnsi="Times New Roman" w:cs="Times New Roman"/>
              </w:rPr>
            </w:pPr>
            <w:hyperlink r:id="rId81" w:history="1">
              <w:r w:rsidR="003F4CFF" w:rsidRPr="00293FDC">
                <w:rPr>
                  <w:rFonts w:cs="Times New Roman"/>
                  <w:u w:val="single"/>
                </w:rPr>
                <w:t>http://54.rospotrebnadzor.ru/</w:t>
              </w:r>
            </w:hyperlink>
          </w:p>
        </w:tc>
        <w:tc>
          <w:tcPr>
            <w:tcW w:w="607" w:type="pct"/>
            <w:tcBorders>
              <w:top w:val="single" w:sz="4" w:space="0" w:color="auto"/>
              <w:left w:val="nil"/>
              <w:bottom w:val="single" w:sz="4" w:space="0" w:color="auto"/>
              <w:right w:val="nil"/>
            </w:tcBorders>
            <w:shd w:val="clear" w:color="auto" w:fill="auto"/>
            <w:vAlign w:val="center"/>
            <w:hideMark/>
          </w:tcPr>
          <w:p w14:paraId="74CC367F"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3</w:t>
            </w:r>
          </w:p>
        </w:tc>
        <w:tc>
          <w:tcPr>
            <w:tcW w:w="538" w:type="pct"/>
            <w:tcBorders>
              <w:top w:val="single" w:sz="4" w:space="0" w:color="auto"/>
              <w:left w:val="nil"/>
              <w:bottom w:val="single" w:sz="4" w:space="0" w:color="auto"/>
              <w:right w:val="nil"/>
            </w:tcBorders>
            <w:shd w:val="clear" w:color="auto" w:fill="auto"/>
            <w:vAlign w:val="center"/>
            <w:hideMark/>
          </w:tcPr>
          <w:p w14:paraId="5953A8A9"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4</w:t>
            </w:r>
          </w:p>
        </w:tc>
        <w:tc>
          <w:tcPr>
            <w:tcW w:w="558" w:type="pct"/>
            <w:tcBorders>
              <w:top w:val="single" w:sz="4" w:space="0" w:color="auto"/>
              <w:left w:val="nil"/>
              <w:bottom w:val="single" w:sz="4" w:space="0" w:color="auto"/>
              <w:right w:val="nil"/>
            </w:tcBorders>
            <w:shd w:val="clear" w:color="auto" w:fill="auto"/>
            <w:vAlign w:val="center"/>
            <w:hideMark/>
          </w:tcPr>
          <w:p w14:paraId="797A456A"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4</w:t>
            </w:r>
          </w:p>
        </w:tc>
        <w:tc>
          <w:tcPr>
            <w:tcW w:w="537" w:type="pct"/>
            <w:tcBorders>
              <w:top w:val="single" w:sz="4" w:space="0" w:color="auto"/>
              <w:left w:val="nil"/>
              <w:bottom w:val="single" w:sz="4" w:space="0" w:color="auto"/>
              <w:right w:val="nil"/>
            </w:tcBorders>
            <w:shd w:val="clear" w:color="auto" w:fill="auto"/>
            <w:vAlign w:val="center"/>
            <w:hideMark/>
          </w:tcPr>
          <w:p w14:paraId="62C5F488" w14:textId="77777777" w:rsidR="003F4CFF" w:rsidRPr="00293FDC" w:rsidRDefault="003F4CFF" w:rsidP="003F4CFF">
            <w:pPr>
              <w:widowControl w:val="0"/>
              <w:autoSpaceDE w:val="0"/>
              <w:autoSpaceDN w:val="0"/>
              <w:adjustRightInd w:val="0"/>
              <w:rPr>
                <w:rFonts w:ascii="Times New Roman" w:hAnsi="Times New Roman" w:cs="Times New Roman"/>
              </w:rPr>
            </w:pPr>
            <w:r w:rsidRPr="00293FDC">
              <w:rPr>
                <w:rFonts w:ascii="Times New Roman" w:hAnsi="Times New Roman" w:cs="Times New Roman"/>
              </w:rPr>
              <w:t>3</w:t>
            </w:r>
          </w:p>
        </w:tc>
      </w:tr>
    </w:tbl>
    <w:p w14:paraId="28049150" w14:textId="77777777" w:rsidR="003F4CFF" w:rsidRPr="004A7B7F" w:rsidRDefault="003F4CFF" w:rsidP="003F4CFF">
      <w:pPr>
        <w:autoSpaceDE w:val="0"/>
        <w:autoSpaceDN w:val="0"/>
        <w:adjustRightInd w:val="0"/>
        <w:rPr>
          <w:rFonts w:ascii="Times New Roman" w:hAnsi="Times New Roman" w:cs="Times New Roman"/>
          <w:sz w:val="28"/>
          <w:szCs w:val="28"/>
        </w:rPr>
      </w:pPr>
    </w:p>
    <w:p w14:paraId="5247742A" w14:textId="77777777" w:rsidR="003F4CFF" w:rsidRPr="001127D6" w:rsidRDefault="003F4CFF" w:rsidP="003F4CFF">
      <w:pPr>
        <w:widowControl w:val="0"/>
        <w:autoSpaceDE w:val="0"/>
        <w:autoSpaceDN w:val="0"/>
        <w:adjustRightInd w:val="0"/>
        <w:ind w:firstLine="567"/>
        <w:jc w:val="both"/>
        <w:rPr>
          <w:rFonts w:ascii="Times New Roman" w:eastAsia="Times New Roman" w:hAnsi="Times New Roman" w:cs="Times New Roman"/>
          <w:b/>
          <w:color w:val="000000"/>
          <w:sz w:val="28"/>
          <w:szCs w:val="28"/>
        </w:rPr>
      </w:pPr>
      <w:r w:rsidRPr="001127D6">
        <w:rPr>
          <w:rFonts w:ascii="Times New Roman" w:eastAsia="Times New Roman" w:hAnsi="Times New Roman" w:cs="Times New Roman"/>
          <w:b/>
          <w:color w:val="000000"/>
          <w:sz w:val="28"/>
          <w:szCs w:val="28"/>
        </w:rPr>
        <w:t>Оценка субъектами предпринимательства возможности получения информации по вопросам ведения бизнеса, находящейся в органах государ</w:t>
      </w:r>
      <w:r>
        <w:rPr>
          <w:rFonts w:ascii="Times New Roman" w:eastAsia="Times New Roman" w:hAnsi="Times New Roman" w:cs="Times New Roman"/>
          <w:b/>
          <w:color w:val="000000"/>
          <w:sz w:val="28"/>
          <w:szCs w:val="28"/>
        </w:rPr>
        <w:t>ственной и муниципальной власти</w:t>
      </w:r>
    </w:p>
    <w:p w14:paraId="1A4061C0"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 xml:space="preserve">Большинство участников опроса считают возможным получение информации по вопросам ведения бизнеса как в государственных органах власти Новосибирской области, так и в органах муниципальной власти. Значение первого показателя составляет 71,8%, значение второго – 69,1%. Разница в значениях показателей незначительная. </w:t>
      </w:r>
    </w:p>
    <w:p w14:paraId="32F2CB35"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В разрезе товарных рынков считают возможным получение информации по вопросам ведения бизнеса в органах государственной власти Новосибирской области от 42,0% до 92,0%, в органах муниципальной власти от 40,0% до 92,0% субъектов предпринимательства. Чаще других на невозможность получения информации в органах власти указали представители следующих рынков: рынок производства кирпича и рынок архитектурно-строительного проектирования.</w:t>
      </w:r>
    </w:p>
    <w:p w14:paraId="276A7C88"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 xml:space="preserve">В каждом из МО, как правило, оба уровня власти оценены сходным образом (значения для каждого уровня власти отличаются друг от друга не больше, чем на 10% за исключением Болотнинского района, где государственная власть оценивается на 100,0%, а муниципальная – на 84,2%, а также Венгеровского района, где государственная власть оценивается на 92,3%, а муниципальная на 61,5%, а также Колыванского района, где государственная власть оценивается на 88,9%, а муниципальная на 72,2%). </w:t>
      </w:r>
    </w:p>
    <w:p w14:paraId="3B3843CD" w14:textId="77777777" w:rsidR="003F4CFF" w:rsidRPr="004A7B7F" w:rsidRDefault="003F4CFF" w:rsidP="003F4CFF">
      <w:pPr>
        <w:widowControl w:val="0"/>
        <w:autoSpaceDE w:val="0"/>
        <w:autoSpaceDN w:val="0"/>
        <w:adjustRightInd w:val="0"/>
        <w:ind w:firstLine="567"/>
        <w:jc w:val="both"/>
        <w:rPr>
          <w:rFonts w:ascii="Times New Roman" w:hAnsi="Times New Roman" w:cs="Times New Roman"/>
          <w:sz w:val="28"/>
          <w:szCs w:val="28"/>
        </w:rPr>
      </w:pPr>
      <w:r w:rsidRPr="004A7B7F">
        <w:rPr>
          <w:rFonts w:ascii="Times New Roman" w:hAnsi="Times New Roman" w:cs="Times New Roman"/>
          <w:sz w:val="28"/>
          <w:szCs w:val="28"/>
        </w:rPr>
        <w:t xml:space="preserve">Представители крупных предприятий чаще других оценивают возможности </w:t>
      </w:r>
      <w:r w:rsidRPr="004A7B7F">
        <w:rPr>
          <w:rFonts w:ascii="Times New Roman" w:hAnsi="Times New Roman" w:cs="Times New Roman"/>
          <w:sz w:val="28"/>
          <w:szCs w:val="28"/>
        </w:rPr>
        <w:lastRenderedPageBreak/>
        <w:t>получения информации по вопросам ведения бизнеса на рынке высоко: в органах государственной власти – 94,0%, в органах муниципальной власти – 91,0%.</w:t>
      </w:r>
    </w:p>
    <w:p w14:paraId="788DD381" w14:textId="77777777" w:rsidR="003F4CFF" w:rsidRPr="006A54C3" w:rsidRDefault="003F4CFF" w:rsidP="003F4CFF">
      <w:pPr>
        <w:rPr>
          <w:rFonts w:ascii="Times New Roman" w:hAnsi="Times New Roman" w:cs="Times New Roman"/>
          <w:sz w:val="28"/>
          <w:szCs w:val="28"/>
        </w:rPr>
      </w:pPr>
    </w:p>
    <w:p w14:paraId="73F7F95E" w14:textId="77777777" w:rsidR="003F4CFF" w:rsidRPr="00F732D1" w:rsidRDefault="003F4CFF" w:rsidP="003F4CFF">
      <w:pPr>
        <w:pStyle w:val="ac"/>
        <w:ind w:firstLine="567"/>
        <w:jc w:val="both"/>
        <w:outlineLvl w:val="2"/>
        <w:rPr>
          <w:rFonts w:ascii="Times New Roman" w:hAnsi="Times New Roman"/>
          <w:b/>
        </w:rPr>
      </w:pPr>
      <w:bookmarkStart w:id="79" w:name="_Toc31983978"/>
      <w:bookmarkStart w:id="80" w:name="_Toc32240318"/>
      <w:bookmarkStart w:id="81" w:name="_Toc32421903"/>
      <w:bookmarkStart w:id="82" w:name="_Toc34129182"/>
      <w:r w:rsidRPr="00F732D1">
        <w:rPr>
          <w:rFonts w:ascii="Times New Roman" w:hAnsi="Times New Roman"/>
          <w:b/>
        </w:rPr>
        <w:t>2.3.5. Результаты мониторинга деятельности субъектов естественных монополий на территории</w:t>
      </w:r>
      <w:r>
        <w:rPr>
          <w:rFonts w:ascii="Times New Roman" w:hAnsi="Times New Roman"/>
          <w:b/>
        </w:rPr>
        <w:t xml:space="preserve"> субъекта Российской Федерации</w:t>
      </w:r>
      <w:bookmarkEnd w:id="79"/>
      <w:bookmarkEnd w:id="80"/>
      <w:bookmarkEnd w:id="81"/>
      <w:bookmarkEnd w:id="82"/>
    </w:p>
    <w:p w14:paraId="0B266E95" w14:textId="63FFD364" w:rsidR="003F4CFF"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В Реестре субъектов естественных монопол</w:t>
      </w:r>
      <w:r>
        <w:rPr>
          <w:rFonts w:ascii="Times New Roman" w:hAnsi="Times New Roman" w:cs="Times New Roman"/>
          <w:sz w:val="28"/>
          <w:szCs w:val="28"/>
        </w:rPr>
        <w:t>ий на 06.11.2019 содержится 1</w:t>
      </w:r>
      <w:r w:rsidR="007C2FFC">
        <w:rPr>
          <w:rFonts w:ascii="Times New Roman" w:hAnsi="Times New Roman" w:cs="Times New Roman"/>
          <w:sz w:val="28"/>
          <w:szCs w:val="28"/>
        </w:rPr>
        <w:t>69</w:t>
      </w:r>
      <w:r>
        <w:rPr>
          <w:rFonts w:ascii="Times New Roman" w:hAnsi="Times New Roman" w:cs="Times New Roman"/>
          <w:sz w:val="28"/>
          <w:szCs w:val="28"/>
        </w:rPr>
        <w:t> </w:t>
      </w:r>
      <w:r w:rsidRPr="001127D6">
        <w:rPr>
          <w:rFonts w:ascii="Times New Roman" w:hAnsi="Times New Roman" w:cs="Times New Roman"/>
          <w:sz w:val="28"/>
          <w:szCs w:val="28"/>
        </w:rPr>
        <w:t xml:space="preserve">организаций, </w:t>
      </w:r>
      <w:r w:rsidR="00F34D87">
        <w:rPr>
          <w:rFonts w:ascii="Times New Roman" w:hAnsi="Times New Roman" w:cs="Times New Roman"/>
          <w:sz w:val="28"/>
          <w:szCs w:val="28"/>
        </w:rPr>
        <w:t xml:space="preserve">осуществляющих </w:t>
      </w:r>
      <w:r w:rsidRPr="001127D6">
        <w:rPr>
          <w:rFonts w:ascii="Times New Roman" w:hAnsi="Times New Roman" w:cs="Times New Roman"/>
          <w:sz w:val="28"/>
          <w:szCs w:val="28"/>
        </w:rPr>
        <w:t>деятельнос</w:t>
      </w:r>
      <w:r>
        <w:rPr>
          <w:rFonts w:ascii="Times New Roman" w:hAnsi="Times New Roman" w:cs="Times New Roman"/>
          <w:sz w:val="28"/>
          <w:szCs w:val="28"/>
        </w:rPr>
        <w:t>ть в Новосибирской области на 6 </w:t>
      </w:r>
      <w:r w:rsidRPr="001127D6">
        <w:rPr>
          <w:rFonts w:ascii="Times New Roman" w:hAnsi="Times New Roman" w:cs="Times New Roman"/>
          <w:sz w:val="28"/>
          <w:szCs w:val="28"/>
        </w:rPr>
        <w:t>рынках. По сравнению с прошлым годом реестр расширился на 50</w:t>
      </w:r>
      <w:r w:rsidR="00F34D87">
        <w:rPr>
          <w:rFonts w:ascii="Times New Roman" w:hAnsi="Times New Roman" w:cs="Times New Roman"/>
          <w:sz w:val="28"/>
          <w:szCs w:val="28"/>
        </w:rPr>
        <w:t> </w:t>
      </w:r>
      <w:r w:rsidRPr="001127D6">
        <w:rPr>
          <w:rFonts w:ascii="Times New Roman" w:hAnsi="Times New Roman" w:cs="Times New Roman"/>
          <w:sz w:val="28"/>
          <w:szCs w:val="28"/>
        </w:rPr>
        <w:t xml:space="preserve">позиций </w:t>
      </w:r>
      <w:r w:rsidRPr="00BF7B1F">
        <w:rPr>
          <w:rFonts w:ascii="Times New Roman" w:hAnsi="Times New Roman" w:cs="Times New Roman"/>
          <w:sz w:val="28"/>
          <w:szCs w:val="28"/>
        </w:rPr>
        <w:t>(</w:t>
      </w:r>
      <w:r w:rsidR="001E0024">
        <w:rPr>
          <w:rFonts w:ascii="Times New Roman" w:hAnsi="Times New Roman" w:cs="Times New Roman"/>
          <w:sz w:val="28"/>
          <w:szCs w:val="28"/>
        </w:rPr>
        <w:t>т</w:t>
      </w:r>
      <w:r w:rsidRPr="00BF7B1F">
        <w:rPr>
          <w:rFonts w:ascii="Times New Roman" w:hAnsi="Times New Roman" w:cs="Times New Roman"/>
          <w:sz w:val="28"/>
          <w:szCs w:val="28"/>
        </w:rPr>
        <w:t>аблица 17).</w:t>
      </w:r>
    </w:p>
    <w:p w14:paraId="5C6CFF1A" w14:textId="77777777" w:rsidR="003F4CFF" w:rsidRPr="00C03123" w:rsidRDefault="003F4CFF" w:rsidP="003F4CFF">
      <w:pPr>
        <w:ind w:firstLine="567"/>
        <w:jc w:val="both"/>
        <w:rPr>
          <w:rFonts w:ascii="Times New Roman" w:hAnsi="Times New Roman" w:cs="Times New Roman"/>
          <w:sz w:val="28"/>
          <w:szCs w:val="28"/>
        </w:rPr>
      </w:pPr>
    </w:p>
    <w:p w14:paraId="5C837264" w14:textId="77777777" w:rsidR="003F4CFF" w:rsidRPr="006A54C3" w:rsidRDefault="003F4CFF" w:rsidP="003F4CFF">
      <w:pPr>
        <w:jc w:val="both"/>
        <w:rPr>
          <w:rFonts w:ascii="Times New Roman" w:hAnsi="Times New Roman" w:cs="Times New Roman"/>
          <w:sz w:val="28"/>
          <w:szCs w:val="28"/>
        </w:rPr>
      </w:pPr>
      <w:r w:rsidRPr="00BF7B1F">
        <w:rPr>
          <w:rFonts w:ascii="Times New Roman" w:hAnsi="Times New Roman" w:cs="Times New Roman"/>
          <w:sz w:val="28"/>
          <w:szCs w:val="28"/>
        </w:rPr>
        <w:t>Таблица 17 – Перечень</w:t>
      </w:r>
      <w:r w:rsidRPr="006A54C3">
        <w:rPr>
          <w:rFonts w:ascii="Times New Roman" w:hAnsi="Times New Roman" w:cs="Times New Roman"/>
          <w:sz w:val="28"/>
          <w:szCs w:val="28"/>
        </w:rPr>
        <w:t xml:space="preserve"> рынков, на которых присутствуют субъекты естественных монополий (Новосибирская область), и количество организаций, относящихся к каждому из рынков</w:t>
      </w:r>
    </w:p>
    <w:tbl>
      <w:tblPr>
        <w:tblW w:w="500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843"/>
        <w:gridCol w:w="5516"/>
        <w:gridCol w:w="1756"/>
        <w:gridCol w:w="1796"/>
      </w:tblGrid>
      <w:tr w:rsidR="003F4CFF" w:rsidRPr="006A54C3" w14:paraId="23ABBFA0" w14:textId="77777777" w:rsidTr="00124BC6">
        <w:trPr>
          <w:trHeight w:val="1153"/>
        </w:trPr>
        <w:tc>
          <w:tcPr>
            <w:tcW w:w="425" w:type="pct"/>
            <w:tcBorders>
              <w:top w:val="single" w:sz="4" w:space="0" w:color="auto"/>
              <w:left w:val="single" w:sz="4" w:space="0" w:color="auto"/>
              <w:bottom w:val="single" w:sz="4" w:space="0" w:color="auto"/>
              <w:right w:val="single" w:sz="4" w:space="0" w:color="auto"/>
            </w:tcBorders>
            <w:shd w:val="clear" w:color="auto" w:fill="auto"/>
            <w:hideMark/>
          </w:tcPr>
          <w:p w14:paraId="39C86063"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 п/п</w:t>
            </w:r>
          </w:p>
        </w:tc>
        <w:tc>
          <w:tcPr>
            <w:tcW w:w="2783" w:type="pct"/>
            <w:tcBorders>
              <w:top w:val="single" w:sz="4" w:space="0" w:color="auto"/>
              <w:left w:val="single" w:sz="4" w:space="0" w:color="auto"/>
              <w:bottom w:val="single" w:sz="4" w:space="0" w:color="auto"/>
              <w:right w:val="single" w:sz="4" w:space="0" w:color="auto"/>
            </w:tcBorders>
            <w:shd w:val="clear" w:color="auto" w:fill="auto"/>
            <w:hideMark/>
          </w:tcPr>
          <w:p w14:paraId="57268BAF"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Рынок присутствия субъектов естественных монополий</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7CC98A9E"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 xml:space="preserve">Количество субъектов естественных монополий </w:t>
            </w:r>
            <w:r w:rsidRPr="006A54C3">
              <w:rPr>
                <w:rFonts w:ascii="Times New Roman" w:eastAsia="Times New Roman" w:hAnsi="Times New Roman" w:cs="Times New Roman"/>
                <w:sz w:val="22"/>
                <w:szCs w:val="22"/>
              </w:rPr>
              <w:t>на 30.11.2018</w:t>
            </w:r>
          </w:p>
        </w:tc>
        <w:tc>
          <w:tcPr>
            <w:tcW w:w="906" w:type="pct"/>
            <w:tcBorders>
              <w:top w:val="single" w:sz="4" w:space="0" w:color="auto"/>
              <w:left w:val="single" w:sz="4" w:space="0" w:color="auto"/>
              <w:bottom w:val="single" w:sz="4" w:space="0" w:color="auto"/>
              <w:right w:val="single" w:sz="4" w:space="0" w:color="auto"/>
            </w:tcBorders>
            <w:shd w:val="clear" w:color="auto" w:fill="auto"/>
            <w:hideMark/>
          </w:tcPr>
          <w:p w14:paraId="5AD7CBA1"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 xml:space="preserve">Количество субъектов естественных монополий </w:t>
            </w:r>
            <w:r w:rsidRPr="006A54C3">
              <w:rPr>
                <w:rFonts w:ascii="Times New Roman" w:eastAsia="Times New Roman" w:hAnsi="Times New Roman" w:cs="Times New Roman"/>
                <w:sz w:val="22"/>
                <w:szCs w:val="22"/>
              </w:rPr>
              <w:t>на 06.11.2019</w:t>
            </w:r>
          </w:p>
        </w:tc>
      </w:tr>
      <w:tr w:rsidR="003F4CFF" w:rsidRPr="006A54C3" w14:paraId="0C162BFD" w14:textId="77777777" w:rsidTr="00124BC6">
        <w:trPr>
          <w:trHeight w:val="702"/>
        </w:trPr>
        <w:tc>
          <w:tcPr>
            <w:tcW w:w="425" w:type="pct"/>
            <w:tcBorders>
              <w:top w:val="single" w:sz="4" w:space="0" w:color="auto"/>
              <w:left w:val="single" w:sz="4" w:space="0" w:color="auto"/>
              <w:bottom w:val="single" w:sz="4" w:space="0" w:color="auto"/>
              <w:right w:val="single" w:sz="4" w:space="0" w:color="auto"/>
            </w:tcBorders>
            <w:shd w:val="clear" w:color="auto" w:fill="auto"/>
            <w:hideMark/>
          </w:tcPr>
          <w:p w14:paraId="0EE31254"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1</w:t>
            </w:r>
          </w:p>
        </w:tc>
        <w:tc>
          <w:tcPr>
            <w:tcW w:w="2783" w:type="pct"/>
            <w:tcBorders>
              <w:top w:val="single" w:sz="4" w:space="0" w:color="auto"/>
              <w:left w:val="single" w:sz="4" w:space="0" w:color="auto"/>
              <w:bottom w:val="single" w:sz="4" w:space="0" w:color="auto"/>
              <w:right w:val="single" w:sz="4" w:space="0" w:color="auto"/>
            </w:tcBorders>
            <w:shd w:val="clear" w:color="auto" w:fill="auto"/>
            <w:hideMark/>
          </w:tcPr>
          <w:p w14:paraId="3842D2A5"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Водоснабжение и водоотведение с использованием централизованных систем, систем коммунальной инфраструктуры</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7697CB45"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52</w:t>
            </w:r>
          </w:p>
        </w:tc>
        <w:tc>
          <w:tcPr>
            <w:tcW w:w="906" w:type="pct"/>
            <w:tcBorders>
              <w:top w:val="single" w:sz="4" w:space="0" w:color="auto"/>
              <w:left w:val="single" w:sz="4" w:space="0" w:color="auto"/>
              <w:bottom w:val="single" w:sz="4" w:space="0" w:color="auto"/>
              <w:right w:val="single" w:sz="4" w:space="0" w:color="auto"/>
            </w:tcBorders>
            <w:shd w:val="clear" w:color="auto" w:fill="auto"/>
            <w:hideMark/>
          </w:tcPr>
          <w:p w14:paraId="385E1346"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79</w:t>
            </w:r>
          </w:p>
        </w:tc>
      </w:tr>
      <w:tr w:rsidR="003F4CFF" w:rsidRPr="006A54C3" w14:paraId="3A1C81B6" w14:textId="77777777" w:rsidTr="00124BC6">
        <w:trPr>
          <w:trHeight w:val="463"/>
        </w:trPr>
        <w:tc>
          <w:tcPr>
            <w:tcW w:w="425" w:type="pct"/>
            <w:tcBorders>
              <w:top w:val="single" w:sz="4" w:space="0" w:color="auto"/>
              <w:left w:val="single" w:sz="4" w:space="0" w:color="auto"/>
              <w:bottom w:val="single" w:sz="4" w:space="0" w:color="auto"/>
              <w:right w:val="single" w:sz="4" w:space="0" w:color="auto"/>
            </w:tcBorders>
            <w:shd w:val="clear" w:color="auto" w:fill="auto"/>
            <w:hideMark/>
          </w:tcPr>
          <w:p w14:paraId="49A24E4B"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2</w:t>
            </w:r>
          </w:p>
        </w:tc>
        <w:tc>
          <w:tcPr>
            <w:tcW w:w="2783" w:type="pct"/>
            <w:tcBorders>
              <w:top w:val="single" w:sz="4" w:space="0" w:color="auto"/>
              <w:left w:val="single" w:sz="4" w:space="0" w:color="auto"/>
              <w:bottom w:val="single" w:sz="4" w:space="0" w:color="auto"/>
              <w:right w:val="single" w:sz="4" w:space="0" w:color="auto"/>
            </w:tcBorders>
            <w:shd w:val="clear" w:color="auto" w:fill="auto"/>
            <w:hideMark/>
          </w:tcPr>
          <w:p w14:paraId="72A274BA"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Услуги по передаче электрической и (или) тепловой энергии</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5D64E979"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46</w:t>
            </w:r>
          </w:p>
        </w:tc>
        <w:tc>
          <w:tcPr>
            <w:tcW w:w="906" w:type="pct"/>
            <w:tcBorders>
              <w:top w:val="single" w:sz="4" w:space="0" w:color="auto"/>
              <w:left w:val="single" w:sz="4" w:space="0" w:color="auto"/>
              <w:bottom w:val="single" w:sz="4" w:space="0" w:color="auto"/>
              <w:right w:val="single" w:sz="4" w:space="0" w:color="auto"/>
            </w:tcBorders>
            <w:shd w:val="clear" w:color="auto" w:fill="auto"/>
            <w:hideMark/>
          </w:tcPr>
          <w:p w14:paraId="035DA200"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67</w:t>
            </w:r>
          </w:p>
        </w:tc>
      </w:tr>
      <w:tr w:rsidR="003F4CFF" w:rsidRPr="006A54C3" w14:paraId="5DE57EA3" w14:textId="77777777" w:rsidTr="00124BC6">
        <w:trPr>
          <w:trHeight w:val="226"/>
        </w:trPr>
        <w:tc>
          <w:tcPr>
            <w:tcW w:w="425" w:type="pct"/>
            <w:tcBorders>
              <w:top w:val="single" w:sz="4" w:space="0" w:color="auto"/>
              <w:left w:val="single" w:sz="4" w:space="0" w:color="auto"/>
              <w:bottom w:val="single" w:sz="4" w:space="0" w:color="auto"/>
              <w:right w:val="single" w:sz="4" w:space="0" w:color="auto"/>
            </w:tcBorders>
            <w:shd w:val="clear" w:color="auto" w:fill="auto"/>
            <w:hideMark/>
          </w:tcPr>
          <w:p w14:paraId="72A9074B"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3</w:t>
            </w:r>
          </w:p>
        </w:tc>
        <w:tc>
          <w:tcPr>
            <w:tcW w:w="2783" w:type="pct"/>
            <w:tcBorders>
              <w:top w:val="single" w:sz="4" w:space="0" w:color="auto"/>
              <w:left w:val="single" w:sz="4" w:space="0" w:color="auto"/>
              <w:bottom w:val="single" w:sz="4" w:space="0" w:color="auto"/>
              <w:right w:val="single" w:sz="4" w:space="0" w:color="auto"/>
            </w:tcBorders>
            <w:shd w:val="clear" w:color="auto" w:fill="auto"/>
            <w:hideMark/>
          </w:tcPr>
          <w:p w14:paraId="5989C2D4"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Транспортировка газа по трубопроводам</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15041F27"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16</w:t>
            </w:r>
          </w:p>
        </w:tc>
        <w:tc>
          <w:tcPr>
            <w:tcW w:w="906" w:type="pct"/>
            <w:tcBorders>
              <w:top w:val="single" w:sz="4" w:space="0" w:color="auto"/>
              <w:left w:val="single" w:sz="4" w:space="0" w:color="auto"/>
              <w:bottom w:val="single" w:sz="4" w:space="0" w:color="auto"/>
              <w:right w:val="single" w:sz="4" w:space="0" w:color="auto"/>
            </w:tcBorders>
            <w:shd w:val="clear" w:color="auto" w:fill="auto"/>
            <w:hideMark/>
          </w:tcPr>
          <w:p w14:paraId="5A2BD05E"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17</w:t>
            </w:r>
          </w:p>
        </w:tc>
      </w:tr>
      <w:tr w:rsidR="003F4CFF" w:rsidRPr="006A54C3" w14:paraId="789689E9" w14:textId="77777777" w:rsidTr="00124BC6">
        <w:trPr>
          <w:trHeight w:val="702"/>
        </w:trPr>
        <w:tc>
          <w:tcPr>
            <w:tcW w:w="425" w:type="pct"/>
            <w:tcBorders>
              <w:top w:val="single" w:sz="4" w:space="0" w:color="auto"/>
              <w:left w:val="single" w:sz="4" w:space="0" w:color="auto"/>
              <w:bottom w:val="single" w:sz="4" w:space="0" w:color="auto"/>
              <w:right w:val="single" w:sz="4" w:space="0" w:color="auto"/>
            </w:tcBorders>
            <w:shd w:val="clear" w:color="auto" w:fill="auto"/>
            <w:hideMark/>
          </w:tcPr>
          <w:p w14:paraId="483820E9"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4</w:t>
            </w:r>
          </w:p>
        </w:tc>
        <w:tc>
          <w:tcPr>
            <w:tcW w:w="2783" w:type="pct"/>
            <w:tcBorders>
              <w:top w:val="single" w:sz="4" w:space="0" w:color="auto"/>
              <w:left w:val="single" w:sz="4" w:space="0" w:color="auto"/>
              <w:bottom w:val="single" w:sz="4" w:space="0" w:color="auto"/>
              <w:right w:val="single" w:sz="4" w:space="0" w:color="auto"/>
            </w:tcBorders>
            <w:shd w:val="clear" w:color="auto" w:fill="auto"/>
            <w:hideMark/>
          </w:tcPr>
          <w:p w14:paraId="2C53617D"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Услуги в портах и (или) транспортных терминалах, услуги по использованию инфраструктуры внутренних водных путей</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15CFBFE5"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2</w:t>
            </w:r>
          </w:p>
        </w:tc>
        <w:tc>
          <w:tcPr>
            <w:tcW w:w="906" w:type="pct"/>
            <w:tcBorders>
              <w:top w:val="single" w:sz="4" w:space="0" w:color="auto"/>
              <w:left w:val="single" w:sz="4" w:space="0" w:color="auto"/>
              <w:bottom w:val="single" w:sz="4" w:space="0" w:color="auto"/>
              <w:right w:val="single" w:sz="4" w:space="0" w:color="auto"/>
            </w:tcBorders>
            <w:shd w:val="clear" w:color="auto" w:fill="auto"/>
            <w:hideMark/>
          </w:tcPr>
          <w:p w14:paraId="5E01729B"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3</w:t>
            </w:r>
          </w:p>
        </w:tc>
      </w:tr>
      <w:tr w:rsidR="003F4CFF" w:rsidRPr="006A54C3" w14:paraId="5329FEB3" w14:textId="77777777" w:rsidTr="00124BC6">
        <w:trPr>
          <w:trHeight w:val="226"/>
        </w:trPr>
        <w:tc>
          <w:tcPr>
            <w:tcW w:w="425" w:type="pct"/>
            <w:tcBorders>
              <w:top w:val="single" w:sz="4" w:space="0" w:color="auto"/>
              <w:left w:val="single" w:sz="4" w:space="0" w:color="auto"/>
              <w:bottom w:val="single" w:sz="4" w:space="0" w:color="auto"/>
              <w:right w:val="single" w:sz="4" w:space="0" w:color="auto"/>
            </w:tcBorders>
            <w:shd w:val="clear" w:color="auto" w:fill="auto"/>
            <w:hideMark/>
          </w:tcPr>
          <w:p w14:paraId="4235952C"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5</w:t>
            </w:r>
          </w:p>
        </w:tc>
        <w:tc>
          <w:tcPr>
            <w:tcW w:w="2783" w:type="pct"/>
            <w:tcBorders>
              <w:top w:val="single" w:sz="4" w:space="0" w:color="auto"/>
              <w:left w:val="single" w:sz="4" w:space="0" w:color="auto"/>
              <w:bottom w:val="single" w:sz="4" w:space="0" w:color="auto"/>
              <w:right w:val="single" w:sz="4" w:space="0" w:color="auto"/>
            </w:tcBorders>
            <w:shd w:val="clear" w:color="auto" w:fill="auto"/>
            <w:hideMark/>
          </w:tcPr>
          <w:p w14:paraId="1CA8979F"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Услуги аэропортов</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0ACD720D"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2</w:t>
            </w:r>
          </w:p>
        </w:tc>
        <w:tc>
          <w:tcPr>
            <w:tcW w:w="906" w:type="pct"/>
            <w:tcBorders>
              <w:top w:val="single" w:sz="4" w:space="0" w:color="auto"/>
              <w:left w:val="single" w:sz="4" w:space="0" w:color="auto"/>
              <w:bottom w:val="single" w:sz="4" w:space="0" w:color="auto"/>
              <w:right w:val="single" w:sz="4" w:space="0" w:color="auto"/>
            </w:tcBorders>
            <w:shd w:val="clear" w:color="auto" w:fill="auto"/>
            <w:hideMark/>
          </w:tcPr>
          <w:p w14:paraId="069D148C"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2</w:t>
            </w:r>
          </w:p>
        </w:tc>
      </w:tr>
      <w:tr w:rsidR="003F4CFF" w:rsidRPr="006A54C3" w14:paraId="5F85962F" w14:textId="77777777" w:rsidTr="00124BC6">
        <w:trPr>
          <w:trHeight w:val="237"/>
        </w:trPr>
        <w:tc>
          <w:tcPr>
            <w:tcW w:w="425" w:type="pct"/>
            <w:tcBorders>
              <w:top w:val="single" w:sz="4" w:space="0" w:color="auto"/>
              <w:left w:val="single" w:sz="4" w:space="0" w:color="auto"/>
              <w:bottom w:val="single" w:sz="4" w:space="0" w:color="auto"/>
              <w:right w:val="single" w:sz="4" w:space="0" w:color="auto"/>
            </w:tcBorders>
            <w:shd w:val="clear" w:color="auto" w:fill="auto"/>
            <w:hideMark/>
          </w:tcPr>
          <w:p w14:paraId="0D1CE994"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6</w:t>
            </w:r>
          </w:p>
        </w:tc>
        <w:tc>
          <w:tcPr>
            <w:tcW w:w="2783" w:type="pct"/>
            <w:tcBorders>
              <w:top w:val="single" w:sz="4" w:space="0" w:color="auto"/>
              <w:left w:val="single" w:sz="4" w:space="0" w:color="auto"/>
              <w:bottom w:val="single" w:sz="4" w:space="0" w:color="auto"/>
              <w:right w:val="single" w:sz="4" w:space="0" w:color="auto"/>
            </w:tcBorders>
            <w:shd w:val="clear" w:color="auto" w:fill="auto"/>
            <w:hideMark/>
          </w:tcPr>
          <w:p w14:paraId="2939905C"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Железнодорожные перевозки</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2063D8BD"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1</w:t>
            </w:r>
          </w:p>
        </w:tc>
        <w:tc>
          <w:tcPr>
            <w:tcW w:w="906" w:type="pct"/>
            <w:tcBorders>
              <w:top w:val="single" w:sz="4" w:space="0" w:color="auto"/>
              <w:left w:val="single" w:sz="4" w:space="0" w:color="auto"/>
              <w:bottom w:val="single" w:sz="4" w:space="0" w:color="auto"/>
              <w:right w:val="single" w:sz="4" w:space="0" w:color="auto"/>
            </w:tcBorders>
            <w:shd w:val="clear" w:color="auto" w:fill="auto"/>
            <w:hideMark/>
          </w:tcPr>
          <w:p w14:paraId="317E90CB"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1</w:t>
            </w:r>
          </w:p>
        </w:tc>
      </w:tr>
      <w:tr w:rsidR="003F4CFF" w:rsidRPr="006A54C3" w14:paraId="1E59831D" w14:textId="77777777" w:rsidTr="00124BC6">
        <w:trPr>
          <w:trHeight w:val="237"/>
        </w:trPr>
        <w:tc>
          <w:tcPr>
            <w:tcW w:w="3208" w:type="pct"/>
            <w:gridSpan w:val="2"/>
            <w:tcBorders>
              <w:top w:val="single" w:sz="4" w:space="0" w:color="auto"/>
              <w:left w:val="single" w:sz="4" w:space="0" w:color="auto"/>
              <w:bottom w:val="single" w:sz="4" w:space="0" w:color="auto"/>
              <w:right w:val="single" w:sz="4" w:space="0" w:color="auto"/>
            </w:tcBorders>
            <w:shd w:val="clear" w:color="auto" w:fill="auto"/>
            <w:hideMark/>
          </w:tcPr>
          <w:p w14:paraId="22DF6C22"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ВСЕГО</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70440CC5"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119</w:t>
            </w:r>
          </w:p>
        </w:tc>
        <w:tc>
          <w:tcPr>
            <w:tcW w:w="906" w:type="pct"/>
            <w:tcBorders>
              <w:top w:val="single" w:sz="4" w:space="0" w:color="auto"/>
              <w:left w:val="single" w:sz="4" w:space="0" w:color="auto"/>
              <w:bottom w:val="single" w:sz="4" w:space="0" w:color="auto"/>
              <w:right w:val="single" w:sz="4" w:space="0" w:color="auto"/>
            </w:tcBorders>
            <w:shd w:val="clear" w:color="auto" w:fill="auto"/>
            <w:hideMark/>
          </w:tcPr>
          <w:p w14:paraId="7DAAD926" w14:textId="77777777" w:rsidR="003F4CFF" w:rsidRPr="006A54C3" w:rsidRDefault="003F4CFF" w:rsidP="003F4CFF">
            <w:pPr>
              <w:rPr>
                <w:rFonts w:ascii="Times New Roman" w:eastAsia="Times New Roman" w:hAnsi="Times New Roman" w:cs="Times New Roman"/>
                <w:sz w:val="22"/>
                <w:szCs w:val="24"/>
              </w:rPr>
            </w:pPr>
            <w:r w:rsidRPr="006A54C3">
              <w:rPr>
                <w:rFonts w:ascii="Times New Roman" w:eastAsia="Times New Roman" w:hAnsi="Times New Roman" w:cs="Times New Roman"/>
                <w:sz w:val="22"/>
                <w:szCs w:val="24"/>
              </w:rPr>
              <w:t>169</w:t>
            </w:r>
          </w:p>
        </w:tc>
      </w:tr>
    </w:tbl>
    <w:p w14:paraId="6B07B032" w14:textId="77777777" w:rsidR="003F4CFF" w:rsidRPr="00C03123" w:rsidRDefault="003F4CFF" w:rsidP="003F4CFF">
      <w:pPr>
        <w:ind w:firstLine="709"/>
        <w:rPr>
          <w:rFonts w:ascii="Times New Roman" w:hAnsi="Times New Roman" w:cs="Times New Roman"/>
          <w:bCs/>
          <w:sz w:val="28"/>
          <w:szCs w:val="28"/>
        </w:rPr>
      </w:pPr>
    </w:p>
    <w:p w14:paraId="20FF6501" w14:textId="77777777" w:rsidR="003F4CFF" w:rsidRPr="001127D6" w:rsidRDefault="003F4CFF" w:rsidP="003F4CFF">
      <w:pPr>
        <w:ind w:firstLine="567"/>
        <w:jc w:val="both"/>
        <w:rPr>
          <w:rFonts w:ascii="Times New Roman" w:hAnsi="Times New Roman" w:cs="Times New Roman"/>
          <w:b/>
          <w:bCs/>
          <w:sz w:val="28"/>
          <w:szCs w:val="28"/>
        </w:rPr>
      </w:pPr>
      <w:r>
        <w:rPr>
          <w:rFonts w:ascii="Times New Roman" w:hAnsi="Times New Roman" w:cs="Times New Roman"/>
          <w:b/>
          <w:bCs/>
          <w:sz w:val="28"/>
          <w:szCs w:val="28"/>
        </w:rPr>
        <w:t>Удовлетворенность</w:t>
      </w:r>
      <w:r w:rsidRPr="001127D6">
        <w:rPr>
          <w:rFonts w:ascii="Times New Roman" w:hAnsi="Times New Roman" w:cs="Times New Roman"/>
          <w:b/>
          <w:bCs/>
          <w:sz w:val="28"/>
          <w:szCs w:val="28"/>
        </w:rPr>
        <w:t xml:space="preserve"> субъектов предпринимательства качеством и стоимостью услуг, сроками подключения, сложностью процедур подключения и стоимостью подключения к услугам водоснабжения/водоотведения, газоснабжения, электроснабжения, теплоснабжения</w:t>
      </w:r>
    </w:p>
    <w:p w14:paraId="00D28E24" w14:textId="77777777" w:rsidR="003F4CFF" w:rsidRPr="001127D6"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П</w:t>
      </w:r>
      <w:r w:rsidRPr="001127D6">
        <w:rPr>
          <w:rFonts w:ascii="Times New Roman" w:hAnsi="Times New Roman" w:cs="Times New Roman"/>
          <w:sz w:val="28"/>
          <w:szCs w:val="28"/>
        </w:rPr>
        <w:t xml:space="preserve">редставители предпринимательства наиболее удовлетворены </w:t>
      </w:r>
      <w:r w:rsidRPr="001127D6">
        <w:rPr>
          <w:rFonts w:ascii="Times New Roman" w:hAnsi="Times New Roman" w:cs="Times New Roman"/>
          <w:b/>
          <w:sz w:val="28"/>
          <w:szCs w:val="28"/>
        </w:rPr>
        <w:t>качеством услуг</w:t>
      </w:r>
      <w:r w:rsidRPr="001127D6">
        <w:rPr>
          <w:rFonts w:ascii="Times New Roman" w:hAnsi="Times New Roman" w:cs="Times New Roman"/>
          <w:sz w:val="28"/>
          <w:szCs w:val="28"/>
        </w:rPr>
        <w:t xml:space="preserve"> (среднее значение коэффициента составляет 4,0, доля удовлетворенных – от 25,1% до 60,2%, не удовлетворенных – от 7,2% до 15,2%). Самый высокий коэффициент – у услуг электроснабжения (4,8), остальные виды услуг естественных монополий получили коэффициенты от 3,4 до 4,1.</w:t>
      </w:r>
    </w:p>
    <w:p w14:paraId="28A3A617"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На втором месте находится параметр </w:t>
      </w:r>
      <w:r w:rsidRPr="001127D6">
        <w:rPr>
          <w:rFonts w:ascii="Times New Roman" w:hAnsi="Times New Roman" w:cs="Times New Roman"/>
          <w:b/>
          <w:sz w:val="28"/>
          <w:szCs w:val="28"/>
        </w:rPr>
        <w:t xml:space="preserve">«сроки получения доступа к услугам» </w:t>
      </w:r>
      <w:r w:rsidRPr="001127D6">
        <w:rPr>
          <w:rFonts w:ascii="Times New Roman" w:hAnsi="Times New Roman" w:cs="Times New Roman"/>
          <w:sz w:val="28"/>
          <w:szCs w:val="28"/>
        </w:rPr>
        <w:t>– среднее значение коэффициента удовлетворенности составляет 2,5 (доля удовлетворенных – от 14,8% до 38,9%, не удовлетворенных – от 11,3% до 15,2%.). Лучше остальных по данному параметру оценены услуги водоснабжения/водоотведения (3,3), остальные услуги получили оценки от 1,3 до 2,6.</w:t>
      </w:r>
    </w:p>
    <w:p w14:paraId="29277DE0" w14:textId="77777777" w:rsidR="003F4CFF"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lastRenderedPageBreak/>
        <w:t xml:space="preserve">На третьем месте – </w:t>
      </w:r>
      <w:r w:rsidRPr="001127D6">
        <w:rPr>
          <w:rFonts w:ascii="Times New Roman" w:hAnsi="Times New Roman" w:cs="Times New Roman"/>
          <w:b/>
          <w:sz w:val="28"/>
          <w:szCs w:val="28"/>
        </w:rPr>
        <w:t>сложность (количество) процедур подключения услуг</w:t>
      </w:r>
      <w:r w:rsidRPr="001127D6">
        <w:rPr>
          <w:rFonts w:ascii="Times New Roman" w:hAnsi="Times New Roman" w:cs="Times New Roman"/>
          <w:sz w:val="28"/>
          <w:szCs w:val="28"/>
        </w:rPr>
        <w:t xml:space="preserve">. Данный параметр получил среднюю оценку 1,9 (доля удовлетворенных – от 12,5% до 33,8% субъектов предпринимательства, не удовлетворенных – от 11,8% до 16,9%). Лучше остальных по данному параметру оценены услуги водоснабжения/водоотведения (2,6), остальные услуги получили оценки от 1,1 (услуги газоснабжения) до 1,9 (услуги электроснабжения) и 2,1 (услуги теплоснабжения). </w:t>
      </w:r>
    </w:p>
    <w:p w14:paraId="6B14BE38"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На четвертом месте находится параметр </w:t>
      </w:r>
      <w:r w:rsidRPr="001127D6">
        <w:rPr>
          <w:rFonts w:ascii="Times New Roman" w:hAnsi="Times New Roman" w:cs="Times New Roman"/>
          <w:b/>
          <w:sz w:val="28"/>
          <w:szCs w:val="28"/>
        </w:rPr>
        <w:t>«стоимость услуг»</w:t>
      </w:r>
      <w:r w:rsidRPr="001127D6">
        <w:rPr>
          <w:rFonts w:ascii="Times New Roman" w:hAnsi="Times New Roman" w:cs="Times New Roman"/>
          <w:sz w:val="28"/>
          <w:szCs w:val="28"/>
        </w:rPr>
        <w:t xml:space="preserve">. Данный параметр получил среднюю оценку 1,3 (доля удовлетворенных – от 16,1% до 40,8%, не удовлетворенных – от 15,7% до 30,9%). Лучше остальных по данному параметру оценены услуги водоснабжения/водоотведения (1,8), услуги теплоснабжения и электроснабжения по данному параметру также получили больше удовлетворительных оценок (значения индексов 1,3 и 1,2 соответственно). Исключение составляют услуги газоснабжения, стоимость которых получила разнящиеся оценки (коэффициент 1). </w:t>
      </w:r>
    </w:p>
    <w:p w14:paraId="15D2699D"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Самая низкая относительная удовлетворенность принадлежит </w:t>
      </w:r>
      <w:r w:rsidRPr="001127D6">
        <w:rPr>
          <w:rFonts w:ascii="Times New Roman" w:hAnsi="Times New Roman" w:cs="Times New Roman"/>
          <w:b/>
          <w:sz w:val="28"/>
          <w:szCs w:val="28"/>
        </w:rPr>
        <w:t>стоимости подключения услуг естественных монополий</w:t>
      </w:r>
      <w:r w:rsidRPr="001127D6">
        <w:rPr>
          <w:rFonts w:ascii="Times New Roman" w:hAnsi="Times New Roman" w:cs="Times New Roman"/>
          <w:sz w:val="28"/>
          <w:szCs w:val="28"/>
        </w:rPr>
        <w:t>. Тем не менее для трех типов услуг из четырех по данному параметру получены преимущественно удовлетворительные оценки (значение коэффициента составляет 1,6 для водоснабжения/водоотведения, 1,3 для электроснабжения, 1,2 для теплоснабжения). Исключением являются услуги газоснабжения (значение коэффициента 0,7, то есть получены преимущественно неудовлетворительные оценки). Среднее значение коэффициента составляет 1,2, доля удовлетворенных – от 9,9% до 26,9%, не удовлетворенных – от 15,1% до 20,7%.</w:t>
      </w:r>
    </w:p>
    <w:p w14:paraId="442A6043"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Средние значения коэффициентов удовлетворенности субъектов предпринимательства параметрами услуг по каждому из видов естественных монополий выглядят следующим образом. Наибольшее количество благоприятных оценок получили услуги водоснабжения/водоотведения (коэффициент 2,5), на втором месте услуги электроснабжения (коэффициент 2,4), третье место занимает теплоснабжение (коэффициент равен 2,3), и на четвертом месте – газоснабжение (коэффициент 1,5). Среднее значение коэффициента по всем видам естественных монополий составляет 2,2, что говорит о достаточно высокой степени удовлетворенности субъектов предпринимательства услугами естественных монополий в Новосибирской области </w:t>
      </w:r>
      <w:r w:rsidRPr="00E636ED">
        <w:rPr>
          <w:rFonts w:ascii="Times New Roman" w:hAnsi="Times New Roman" w:cs="Times New Roman"/>
          <w:sz w:val="28"/>
          <w:szCs w:val="28"/>
        </w:rPr>
        <w:t>(диаграмма 9).</w:t>
      </w:r>
    </w:p>
    <w:p w14:paraId="28BBB4F8" w14:textId="77777777" w:rsidR="003F4CFF" w:rsidRPr="001127D6" w:rsidRDefault="003F4CFF" w:rsidP="003F4CFF">
      <w:pPr>
        <w:rPr>
          <w:rFonts w:ascii="Times New Roman" w:hAnsi="Times New Roman" w:cs="Times New Roman"/>
          <w:b/>
          <w:sz w:val="22"/>
          <w:szCs w:val="22"/>
        </w:rPr>
      </w:pPr>
      <w:r>
        <w:rPr>
          <w:noProof/>
        </w:rPr>
        <w:lastRenderedPageBreak/>
        <mc:AlternateContent>
          <mc:Choice Requires="wps">
            <w:drawing>
              <wp:anchor distT="0" distB="0" distL="114300" distR="114300" simplePos="0" relativeHeight="251659264" behindDoc="0" locked="0" layoutInCell="1" allowOverlap="1" wp14:anchorId="637370E0" wp14:editId="5EBE36C9">
                <wp:simplePos x="0" y="0"/>
                <wp:positionH relativeFrom="column">
                  <wp:posOffset>339725</wp:posOffset>
                </wp:positionH>
                <wp:positionV relativeFrom="paragraph">
                  <wp:posOffset>1810385</wp:posOffset>
                </wp:positionV>
                <wp:extent cx="5628640" cy="0"/>
                <wp:effectExtent l="10160" t="10795" r="9525" b="1778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42B03F" id="_x0000_t32" coordsize="21600,21600" o:spt="32" o:oned="t" path="m,l21600,21600e" filled="f">
                <v:path arrowok="t" fillok="f" o:connecttype="none"/>
                <o:lock v:ext="edit" shapetype="t"/>
              </v:shapetype>
              <v:shape id="Прямая со стрелкой 31" o:spid="_x0000_s1026" type="#_x0000_t32" style="position:absolute;margin-left:26.75pt;margin-top:142.55pt;width:443.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" strokecolor="red" strokeweight="1.5pt">
                <v:stroke dashstyle="dash"/>
              </v:shape>
            </w:pict>
          </mc:Fallback>
        </mc:AlternateContent>
      </w:r>
      <w:r>
        <w:rPr>
          <w:rFonts w:cs="Times New Roman"/>
          <w:noProof/>
          <w:color w:val="FF0000"/>
          <w:sz w:val="22"/>
          <w:szCs w:val="22"/>
        </w:rPr>
        <w:drawing>
          <wp:inline distT="0" distB="0" distL="0" distR="0" wp14:anchorId="4248AF10" wp14:editId="7970BDD1">
            <wp:extent cx="5886450" cy="330771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86450" cy="3307715"/>
                    </a:xfrm>
                    <a:prstGeom prst="rect">
                      <a:avLst/>
                    </a:prstGeom>
                    <a:noFill/>
                    <a:ln>
                      <a:noFill/>
                    </a:ln>
                  </pic:spPr>
                </pic:pic>
              </a:graphicData>
            </a:graphic>
          </wp:inline>
        </w:drawing>
      </w:r>
    </w:p>
    <w:p w14:paraId="441A64A3" w14:textId="77777777" w:rsidR="003F4CFF" w:rsidRPr="001127D6" w:rsidRDefault="003F4CFF" w:rsidP="003F4CFF">
      <w:pPr>
        <w:ind w:firstLine="567"/>
        <w:rPr>
          <w:rFonts w:ascii="Times New Roman" w:hAnsi="Times New Roman" w:cs="Times New Roman"/>
          <w:b/>
          <w:sz w:val="22"/>
          <w:szCs w:val="22"/>
        </w:rPr>
      </w:pPr>
    </w:p>
    <w:p w14:paraId="43939330" w14:textId="77777777" w:rsidR="003F4CFF" w:rsidRPr="001127D6" w:rsidRDefault="003F4CFF" w:rsidP="003F4CFF">
      <w:pPr>
        <w:ind w:firstLine="567"/>
        <w:rPr>
          <w:rFonts w:ascii="Times New Roman" w:hAnsi="Times New Roman" w:cs="Times New Roman"/>
          <w:b/>
          <w:sz w:val="24"/>
          <w:szCs w:val="24"/>
        </w:rPr>
      </w:pPr>
      <w:r w:rsidRPr="00E636ED">
        <w:rPr>
          <w:rFonts w:ascii="Times New Roman" w:hAnsi="Times New Roman" w:cs="Times New Roman"/>
          <w:b/>
          <w:sz w:val="24"/>
          <w:szCs w:val="24"/>
        </w:rPr>
        <w:t>Диаграмма 9</w:t>
      </w:r>
      <w:r>
        <w:rPr>
          <w:rFonts w:ascii="Times New Roman" w:hAnsi="Times New Roman" w:cs="Times New Roman"/>
          <w:b/>
          <w:sz w:val="24"/>
          <w:szCs w:val="24"/>
        </w:rPr>
        <w:t xml:space="preserve"> </w:t>
      </w:r>
      <w:r w:rsidRPr="001127D6">
        <w:rPr>
          <w:rFonts w:ascii="Times New Roman" w:hAnsi="Times New Roman" w:cs="Times New Roman"/>
          <w:b/>
          <w:sz w:val="24"/>
          <w:szCs w:val="24"/>
        </w:rPr>
        <w:t>– Коэффициенты удовлетворенности субъектов предпринимательства параметрами услуг естественных монополий</w:t>
      </w:r>
    </w:p>
    <w:p w14:paraId="0F826757" w14:textId="77777777" w:rsidR="003F4CFF" w:rsidRPr="001127D6" w:rsidRDefault="003F4CFF" w:rsidP="003F4CFF">
      <w:pPr>
        <w:ind w:firstLine="709"/>
        <w:jc w:val="both"/>
        <w:rPr>
          <w:rFonts w:ascii="Times New Roman" w:hAnsi="Times New Roman" w:cs="Times New Roman"/>
          <w:sz w:val="28"/>
          <w:szCs w:val="28"/>
          <w:u w:val="single"/>
        </w:rPr>
      </w:pPr>
    </w:p>
    <w:p w14:paraId="18C33259"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Отличия в оценках проявляются наиболее ярко среди организаций различной величины (микропредприятий, малых, средних и крупных организаций).</w:t>
      </w:r>
    </w:p>
    <w:tbl>
      <w:tblPr>
        <w:tblW w:w="9107" w:type="dxa"/>
        <w:tblLayout w:type="fixed"/>
        <w:tblLook w:val="04A0" w:firstRow="1" w:lastRow="0" w:firstColumn="1" w:lastColumn="0" w:noHBand="0" w:noVBand="1"/>
      </w:tblPr>
      <w:tblGrid>
        <w:gridCol w:w="641"/>
        <w:gridCol w:w="3923"/>
        <w:gridCol w:w="235"/>
        <w:gridCol w:w="4180"/>
        <w:gridCol w:w="128"/>
      </w:tblGrid>
      <w:tr w:rsidR="003F4CFF" w:rsidRPr="00293FDC" w14:paraId="179A73DE" w14:textId="77777777" w:rsidTr="003F4CFF">
        <w:trPr>
          <w:trHeight w:val="6909"/>
        </w:trPr>
        <w:tc>
          <w:tcPr>
            <w:tcW w:w="4564" w:type="dxa"/>
            <w:gridSpan w:val="2"/>
            <w:shd w:val="clear" w:color="auto" w:fill="auto"/>
          </w:tcPr>
          <w:p w14:paraId="136F4D96" w14:textId="77777777" w:rsidR="003F4CFF" w:rsidRPr="00293FDC" w:rsidRDefault="003F4CFF" w:rsidP="003F4CFF">
            <w:pPr>
              <w:ind w:left="-709"/>
              <w:rPr>
                <w:rFonts w:ascii="Times New Roman" w:eastAsia="Times New Roman" w:hAnsi="Times New Roman" w:cs="Times New Roman"/>
                <w:b/>
              </w:rPr>
            </w:pPr>
            <w:r w:rsidRPr="00293FDC">
              <w:rPr>
                <w:rFonts w:eastAsia="Times New Roman" w:cs="Times New Roman"/>
                <w:noProof/>
                <w:color w:val="FF0000"/>
              </w:rPr>
              <w:drawing>
                <wp:inline distT="0" distB="0" distL="0" distR="0" wp14:anchorId="752F064A" wp14:editId="28113F64">
                  <wp:extent cx="3415030" cy="321500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0003162" w14:textId="77777777" w:rsidR="003F4CFF" w:rsidRPr="00293FDC" w:rsidRDefault="003F4CFF" w:rsidP="003F4CFF">
            <w:pPr>
              <w:rPr>
                <w:rFonts w:ascii="Times New Roman" w:eastAsia="Times New Roman" w:hAnsi="Times New Roman" w:cs="Times New Roman"/>
                <w:b/>
              </w:rPr>
            </w:pPr>
          </w:p>
          <w:p w14:paraId="127357CB" w14:textId="77777777" w:rsidR="003F4CFF" w:rsidRPr="00293FDC" w:rsidRDefault="003F4CFF" w:rsidP="003F4CFF">
            <w:pPr>
              <w:rPr>
                <w:rFonts w:ascii="Times New Roman" w:eastAsia="Times New Roman" w:hAnsi="Times New Roman" w:cs="Times New Roman"/>
                <w:b/>
                <w:sz w:val="24"/>
                <w:szCs w:val="24"/>
              </w:rPr>
            </w:pPr>
            <w:r w:rsidRPr="00E636ED">
              <w:rPr>
                <w:rFonts w:ascii="Times New Roman" w:eastAsia="Times New Roman" w:hAnsi="Times New Roman" w:cs="Times New Roman"/>
                <w:b/>
                <w:sz w:val="24"/>
                <w:szCs w:val="24"/>
              </w:rPr>
              <w:t>Диаграмма 10 –</w:t>
            </w:r>
            <w:r w:rsidRPr="00293FDC">
              <w:rPr>
                <w:rFonts w:ascii="Times New Roman" w:eastAsia="Times New Roman" w:hAnsi="Times New Roman" w:cs="Times New Roman"/>
                <w:b/>
                <w:sz w:val="24"/>
                <w:szCs w:val="24"/>
              </w:rPr>
              <w:t xml:space="preserve"> Коэффициенты удовлетворенности субъектов предпринимательства сроками получения доступа к услугам </w:t>
            </w:r>
            <w:r>
              <w:rPr>
                <w:rFonts w:ascii="Times New Roman" w:eastAsia="Times New Roman" w:hAnsi="Times New Roman" w:cs="Times New Roman"/>
                <w:b/>
                <w:sz w:val="24"/>
                <w:szCs w:val="24"/>
              </w:rPr>
              <w:t>ЕМ</w:t>
            </w:r>
          </w:p>
          <w:p w14:paraId="6DFBBC64" w14:textId="77777777" w:rsidR="003F4CFF" w:rsidRPr="00293FDC" w:rsidRDefault="003F4CFF" w:rsidP="003F4CFF">
            <w:pPr>
              <w:rPr>
                <w:rFonts w:ascii="Times New Roman" w:eastAsia="Times New Roman" w:hAnsi="Times New Roman" w:cs="Times New Roman"/>
                <w:b/>
              </w:rPr>
            </w:pPr>
          </w:p>
          <w:p w14:paraId="6D774AA0" w14:textId="77777777" w:rsidR="003F4CFF" w:rsidRPr="00293FDC" w:rsidRDefault="003F4CFF" w:rsidP="003F4CFF">
            <w:pPr>
              <w:rPr>
                <w:rFonts w:ascii="Times New Roman" w:eastAsia="Times New Roman" w:hAnsi="Times New Roman" w:cs="Times New Roman"/>
                <w:b/>
              </w:rPr>
            </w:pPr>
          </w:p>
        </w:tc>
        <w:tc>
          <w:tcPr>
            <w:tcW w:w="4543" w:type="dxa"/>
            <w:gridSpan w:val="3"/>
            <w:shd w:val="clear" w:color="auto" w:fill="auto"/>
          </w:tcPr>
          <w:p w14:paraId="1476D789" w14:textId="77777777" w:rsidR="003F4CFF" w:rsidRPr="00293FDC" w:rsidRDefault="003F4CFF" w:rsidP="003F4CFF">
            <w:pPr>
              <w:ind w:left="-561"/>
              <w:rPr>
                <w:rFonts w:ascii="Times New Roman" w:eastAsia="Times New Roman" w:hAnsi="Times New Roman" w:cs="Times New Roman"/>
                <w:b/>
              </w:rPr>
            </w:pPr>
            <w:r w:rsidRPr="00293FDC">
              <w:rPr>
                <w:rFonts w:eastAsia="Times New Roman" w:cs="Times New Roman"/>
                <w:noProof/>
                <w:color w:val="FF0000"/>
              </w:rPr>
              <w:drawing>
                <wp:inline distT="0" distB="0" distL="0" distR="0" wp14:anchorId="38B9B892" wp14:editId="47EA7954">
                  <wp:extent cx="3164840" cy="316484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E375C8A" w14:textId="77777777" w:rsidR="003F4CFF" w:rsidRPr="00293FDC" w:rsidRDefault="003F4CFF" w:rsidP="003F4CFF">
            <w:pPr>
              <w:rPr>
                <w:rFonts w:ascii="Times New Roman" w:eastAsia="Times New Roman" w:hAnsi="Times New Roman" w:cs="Times New Roman"/>
                <w:b/>
              </w:rPr>
            </w:pPr>
          </w:p>
          <w:p w14:paraId="1CE5F5B3" w14:textId="77777777" w:rsidR="003F4CFF" w:rsidRPr="00293FDC" w:rsidRDefault="003F4CFF" w:rsidP="003F4CFF">
            <w:pPr>
              <w:rPr>
                <w:rFonts w:ascii="Times New Roman" w:eastAsia="Times New Roman" w:hAnsi="Times New Roman" w:cs="Times New Roman"/>
                <w:b/>
                <w:sz w:val="24"/>
                <w:szCs w:val="24"/>
              </w:rPr>
            </w:pPr>
            <w:r w:rsidRPr="00E636ED">
              <w:rPr>
                <w:rFonts w:ascii="Times New Roman" w:eastAsia="Times New Roman" w:hAnsi="Times New Roman" w:cs="Times New Roman"/>
                <w:b/>
                <w:sz w:val="24"/>
                <w:szCs w:val="24"/>
              </w:rPr>
              <w:t>Диаграмма 11 –</w:t>
            </w:r>
            <w:r w:rsidRPr="00293FDC">
              <w:rPr>
                <w:rFonts w:ascii="Times New Roman" w:eastAsia="Times New Roman" w:hAnsi="Times New Roman" w:cs="Times New Roman"/>
                <w:b/>
                <w:sz w:val="24"/>
                <w:szCs w:val="24"/>
              </w:rPr>
              <w:t xml:space="preserve"> Коэффициенты удовлетворенности субъектов предпринимательства сложностью (количеством) процедур получения доступа к услугам </w:t>
            </w:r>
            <w:r>
              <w:rPr>
                <w:rFonts w:ascii="Times New Roman" w:eastAsia="Times New Roman" w:hAnsi="Times New Roman" w:cs="Times New Roman"/>
                <w:b/>
                <w:sz w:val="24"/>
                <w:szCs w:val="24"/>
              </w:rPr>
              <w:t>ЕМ</w:t>
            </w:r>
          </w:p>
          <w:p w14:paraId="3D0F8628" w14:textId="77777777" w:rsidR="003F4CFF" w:rsidRPr="00293FDC" w:rsidRDefault="003F4CFF" w:rsidP="003F4CFF">
            <w:pPr>
              <w:rPr>
                <w:rFonts w:ascii="Times New Roman" w:eastAsia="Times New Roman" w:hAnsi="Times New Roman" w:cs="Times New Roman"/>
                <w:b/>
              </w:rPr>
            </w:pPr>
          </w:p>
        </w:tc>
      </w:tr>
      <w:tr w:rsidR="003F4CFF" w:rsidRPr="00293FDC" w14:paraId="496CF15F" w14:textId="77777777" w:rsidTr="003F4CFF">
        <w:trPr>
          <w:trHeight w:val="6596"/>
        </w:trPr>
        <w:tc>
          <w:tcPr>
            <w:tcW w:w="4799" w:type="dxa"/>
            <w:gridSpan w:val="3"/>
            <w:shd w:val="clear" w:color="auto" w:fill="auto"/>
            <w:hideMark/>
          </w:tcPr>
          <w:p w14:paraId="1B5BBC21" w14:textId="77777777" w:rsidR="003F4CFF" w:rsidRDefault="003F4CFF" w:rsidP="003F4CFF">
            <w:pPr>
              <w:ind w:left="-426"/>
              <w:rPr>
                <w:rFonts w:eastAsia="Times New Roman" w:cs="Times New Roman"/>
              </w:rPr>
            </w:pPr>
            <w:r w:rsidRPr="00293FDC">
              <w:rPr>
                <w:rFonts w:eastAsia="Times New Roman" w:cs="Times New Roman"/>
                <w:noProof/>
                <w:color w:val="FF0000"/>
              </w:rPr>
              <w:lastRenderedPageBreak/>
              <w:drawing>
                <wp:inline distT="0" distB="0" distL="0" distR="0" wp14:anchorId="093D5F84" wp14:editId="1285EFD2">
                  <wp:extent cx="3200400" cy="332168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94D0579" w14:textId="77777777" w:rsidR="003F4CFF" w:rsidRPr="00293FDC" w:rsidRDefault="003F4CFF" w:rsidP="003F4CFF">
            <w:pPr>
              <w:ind w:left="-426"/>
              <w:rPr>
                <w:rFonts w:ascii="Times New Roman" w:eastAsia="Times New Roman" w:hAnsi="Times New Roman" w:cs="Times New Roman"/>
                <w:b/>
              </w:rPr>
            </w:pPr>
          </w:p>
          <w:p w14:paraId="0AD7B160" w14:textId="77777777" w:rsidR="003F4CFF" w:rsidRPr="00293FDC" w:rsidRDefault="003F4CFF" w:rsidP="003F4CFF">
            <w:pPr>
              <w:rPr>
                <w:rFonts w:ascii="Times New Roman" w:eastAsia="Times New Roman" w:hAnsi="Times New Roman" w:cs="Times New Roman"/>
                <w:b/>
                <w:sz w:val="24"/>
                <w:szCs w:val="24"/>
              </w:rPr>
            </w:pPr>
            <w:r w:rsidRPr="00293FDC">
              <w:rPr>
                <w:rFonts w:ascii="Times New Roman" w:eastAsia="Times New Roman" w:hAnsi="Times New Roman" w:cs="Times New Roman"/>
                <w:b/>
                <w:sz w:val="24"/>
                <w:szCs w:val="24"/>
              </w:rPr>
              <w:t>Диаграмма</w:t>
            </w:r>
            <w:r>
              <w:rPr>
                <w:rFonts w:ascii="Times New Roman" w:eastAsia="Times New Roman" w:hAnsi="Times New Roman" w:cs="Times New Roman"/>
                <w:b/>
                <w:sz w:val="24"/>
                <w:szCs w:val="24"/>
              </w:rPr>
              <w:t xml:space="preserve"> 12</w:t>
            </w:r>
            <w:r w:rsidRPr="00293FDC">
              <w:rPr>
                <w:rFonts w:ascii="Times New Roman" w:eastAsia="Times New Roman" w:hAnsi="Times New Roman" w:cs="Times New Roman"/>
                <w:b/>
                <w:sz w:val="24"/>
                <w:szCs w:val="24"/>
              </w:rPr>
              <w:t xml:space="preserve"> – Коэффициенты удовлетворенности субъектов предпринимательства стоимостью подключения к услугам </w:t>
            </w:r>
            <w:r>
              <w:rPr>
                <w:rFonts w:ascii="Times New Roman" w:eastAsia="Times New Roman" w:hAnsi="Times New Roman" w:cs="Times New Roman"/>
                <w:b/>
                <w:sz w:val="24"/>
                <w:szCs w:val="24"/>
              </w:rPr>
              <w:t>ЕМ</w:t>
            </w:r>
          </w:p>
        </w:tc>
        <w:tc>
          <w:tcPr>
            <w:tcW w:w="4308" w:type="dxa"/>
            <w:gridSpan w:val="2"/>
            <w:shd w:val="clear" w:color="auto" w:fill="auto"/>
            <w:hideMark/>
          </w:tcPr>
          <w:p w14:paraId="0FBC6F1E" w14:textId="77777777" w:rsidR="003F4CFF" w:rsidRDefault="003F4CFF" w:rsidP="003F4CFF">
            <w:pPr>
              <w:ind w:left="-675"/>
              <w:rPr>
                <w:rFonts w:eastAsia="Times New Roman" w:cs="Times New Roman"/>
              </w:rPr>
            </w:pPr>
            <w:r w:rsidRPr="00293FDC">
              <w:rPr>
                <w:rFonts w:eastAsia="Times New Roman" w:cs="Times New Roman"/>
                <w:noProof/>
                <w:color w:val="FF0000"/>
              </w:rPr>
              <w:drawing>
                <wp:inline distT="0" distB="0" distL="0" distR="0" wp14:anchorId="374E0CDA" wp14:editId="484FDE90">
                  <wp:extent cx="3114675" cy="345757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AFF9110" w14:textId="77777777" w:rsidR="003F4CFF" w:rsidRPr="00293FDC" w:rsidRDefault="003F4CFF" w:rsidP="003F4CFF">
            <w:pPr>
              <w:ind w:left="-675"/>
              <w:rPr>
                <w:rFonts w:ascii="Times New Roman" w:eastAsia="Times New Roman" w:hAnsi="Times New Roman" w:cs="Times New Roman"/>
                <w:b/>
                <w:sz w:val="24"/>
                <w:szCs w:val="24"/>
              </w:rPr>
            </w:pPr>
            <w:r w:rsidRPr="00293FDC">
              <w:rPr>
                <w:rFonts w:ascii="Times New Roman" w:eastAsia="Times New Roman" w:hAnsi="Times New Roman" w:cs="Times New Roman"/>
                <w:b/>
                <w:sz w:val="24"/>
                <w:szCs w:val="24"/>
              </w:rPr>
              <w:t xml:space="preserve">Диаграмма </w:t>
            </w:r>
            <w:r>
              <w:rPr>
                <w:rFonts w:ascii="Times New Roman" w:eastAsia="Times New Roman" w:hAnsi="Times New Roman" w:cs="Times New Roman"/>
                <w:b/>
                <w:sz w:val="24"/>
                <w:szCs w:val="24"/>
              </w:rPr>
              <w:t xml:space="preserve">13 </w:t>
            </w:r>
            <w:r w:rsidRPr="00293FDC">
              <w:rPr>
                <w:rFonts w:ascii="Times New Roman" w:eastAsia="Times New Roman" w:hAnsi="Times New Roman" w:cs="Times New Roman"/>
                <w:b/>
                <w:sz w:val="24"/>
                <w:szCs w:val="24"/>
              </w:rPr>
              <w:t xml:space="preserve">– Коэффициенты удовлетворенности субъектов предпринимательства стоимостью услуг </w:t>
            </w:r>
            <w:r>
              <w:rPr>
                <w:rFonts w:ascii="Times New Roman" w:eastAsia="Times New Roman" w:hAnsi="Times New Roman" w:cs="Times New Roman"/>
                <w:b/>
                <w:sz w:val="24"/>
                <w:szCs w:val="24"/>
              </w:rPr>
              <w:t>ЕМ</w:t>
            </w:r>
          </w:p>
        </w:tc>
      </w:tr>
      <w:tr w:rsidR="003F4CFF" w:rsidRPr="00293FDC" w14:paraId="176DB44A" w14:textId="77777777" w:rsidTr="003F4CFF">
        <w:trPr>
          <w:gridBefore w:val="1"/>
          <w:gridAfter w:val="1"/>
          <w:wBefore w:w="641" w:type="dxa"/>
          <w:wAfter w:w="128" w:type="dxa"/>
          <w:trHeight w:val="5693"/>
        </w:trPr>
        <w:tc>
          <w:tcPr>
            <w:tcW w:w="8338" w:type="dxa"/>
            <w:gridSpan w:val="3"/>
            <w:shd w:val="clear" w:color="auto" w:fill="auto"/>
          </w:tcPr>
          <w:p w14:paraId="7374AC31" w14:textId="77777777" w:rsidR="003F4CFF" w:rsidRPr="00293FDC" w:rsidRDefault="003F4CFF" w:rsidP="003F4CFF">
            <w:pPr>
              <w:ind w:firstLine="34"/>
              <w:rPr>
                <w:rFonts w:ascii="Times New Roman" w:eastAsia="Times New Roman" w:hAnsi="Times New Roman" w:cs="Times New Roman"/>
                <w:b/>
              </w:rPr>
            </w:pPr>
            <w:r w:rsidRPr="00293FDC">
              <w:rPr>
                <w:rFonts w:eastAsia="Times New Roman" w:cs="Times New Roman"/>
                <w:noProof/>
                <w:color w:val="FF0000"/>
              </w:rPr>
              <w:drawing>
                <wp:inline distT="0" distB="0" distL="0" distR="0" wp14:anchorId="3B1A0C36" wp14:editId="71533B8C">
                  <wp:extent cx="5493385" cy="307213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DFEB61B" w14:textId="77777777" w:rsidR="003F4CFF" w:rsidRDefault="003F4CFF" w:rsidP="003F4CFF">
            <w:pPr>
              <w:rPr>
                <w:rFonts w:ascii="Times New Roman" w:eastAsia="Times New Roman" w:hAnsi="Times New Roman" w:cs="Times New Roman"/>
                <w:b/>
                <w:sz w:val="24"/>
                <w:szCs w:val="24"/>
              </w:rPr>
            </w:pPr>
            <w:r w:rsidRPr="00293FDC">
              <w:rPr>
                <w:rFonts w:ascii="Times New Roman" w:eastAsia="Times New Roman" w:hAnsi="Times New Roman" w:cs="Times New Roman"/>
                <w:b/>
                <w:sz w:val="24"/>
                <w:szCs w:val="24"/>
              </w:rPr>
              <w:t xml:space="preserve">Диаграмма </w:t>
            </w:r>
            <w:r>
              <w:rPr>
                <w:rFonts w:ascii="Times New Roman" w:eastAsia="Times New Roman" w:hAnsi="Times New Roman" w:cs="Times New Roman"/>
                <w:b/>
                <w:sz w:val="24"/>
                <w:szCs w:val="24"/>
              </w:rPr>
              <w:t xml:space="preserve">14 </w:t>
            </w:r>
            <w:r w:rsidRPr="00293FDC">
              <w:rPr>
                <w:rFonts w:ascii="Times New Roman" w:eastAsia="Times New Roman" w:hAnsi="Times New Roman" w:cs="Times New Roman"/>
                <w:b/>
                <w:sz w:val="24"/>
                <w:szCs w:val="24"/>
              </w:rPr>
              <w:t xml:space="preserve">– Коэффициенты удовлетворенности субъектов предпринимательства качеством услуг </w:t>
            </w:r>
            <w:r>
              <w:rPr>
                <w:rFonts w:ascii="Times New Roman" w:eastAsia="Times New Roman" w:hAnsi="Times New Roman" w:cs="Times New Roman"/>
                <w:b/>
                <w:sz w:val="24"/>
                <w:szCs w:val="24"/>
              </w:rPr>
              <w:t>ЕМ</w:t>
            </w:r>
          </w:p>
          <w:p w14:paraId="0F9D0FA4" w14:textId="77777777" w:rsidR="003F4CFF" w:rsidRPr="00293FDC" w:rsidRDefault="003F4CFF" w:rsidP="003F4CFF">
            <w:pPr>
              <w:ind w:firstLine="567"/>
              <w:rPr>
                <w:rFonts w:ascii="Times New Roman" w:eastAsia="Times New Roman" w:hAnsi="Times New Roman" w:cs="Times New Roman"/>
                <w:b/>
                <w:sz w:val="24"/>
                <w:szCs w:val="24"/>
              </w:rPr>
            </w:pPr>
          </w:p>
        </w:tc>
      </w:tr>
    </w:tbl>
    <w:p w14:paraId="66AA26B7"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Услуги </w:t>
      </w:r>
      <w:r w:rsidRPr="001127D6">
        <w:rPr>
          <w:rFonts w:ascii="Times New Roman" w:hAnsi="Times New Roman" w:cs="Times New Roman"/>
          <w:b/>
          <w:sz w:val="28"/>
          <w:szCs w:val="28"/>
        </w:rPr>
        <w:t xml:space="preserve">электроснабжения </w:t>
      </w:r>
      <w:r w:rsidRPr="001127D6">
        <w:rPr>
          <w:rFonts w:ascii="Times New Roman" w:hAnsi="Times New Roman" w:cs="Times New Roman"/>
          <w:sz w:val="28"/>
          <w:szCs w:val="28"/>
        </w:rPr>
        <w:t xml:space="preserve">наиболее низко оценивают представители рынков архитектурно-строительного проектирования, племенного животноводства и производства электрической энергии. Для каждого из этих рынков характерна ситуация, при которой минимум по трем параметрам оценки услуг </w:t>
      </w:r>
      <w:r w:rsidRPr="001127D6">
        <w:rPr>
          <w:rFonts w:ascii="Times New Roman" w:hAnsi="Times New Roman" w:cs="Times New Roman"/>
          <w:sz w:val="28"/>
          <w:szCs w:val="28"/>
        </w:rPr>
        <w:lastRenderedPageBreak/>
        <w:t>электроснабжения отмечается преобладание неудовлетворительных оценок над удовлетворительными.</w:t>
      </w:r>
    </w:p>
    <w:p w14:paraId="289C1E49"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По услугам </w:t>
      </w:r>
      <w:r w:rsidRPr="001127D6">
        <w:rPr>
          <w:rFonts w:ascii="Times New Roman" w:hAnsi="Times New Roman" w:cs="Times New Roman"/>
          <w:b/>
          <w:sz w:val="28"/>
          <w:szCs w:val="28"/>
        </w:rPr>
        <w:t xml:space="preserve">водоснабжения/водоотведения </w:t>
      </w:r>
      <w:r w:rsidRPr="001127D6">
        <w:rPr>
          <w:rFonts w:ascii="Times New Roman" w:hAnsi="Times New Roman" w:cs="Times New Roman"/>
          <w:sz w:val="28"/>
          <w:szCs w:val="28"/>
        </w:rPr>
        <w:t>преобладают удовлетворительные оценки по каждому из пяти параметров. Вместе с тем представители рынков архитектурно-строительного проектирования, купли-продажи электрической энергии и товарной аквакультуры при оценке услуг водоснабжения/водоотведения по двум параметрам из пяти вынесли больше неудовлетворительных оценок, нежели удовлетворительных. На рынке строительства объектов капитального строительства, за исключением жилищного и дорожного строительства, по трем параметрам из пяти зафиксированы разнящиеся оценки.</w:t>
      </w:r>
    </w:p>
    <w:p w14:paraId="0842AE44"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Услуги </w:t>
      </w:r>
      <w:r w:rsidRPr="001127D6">
        <w:rPr>
          <w:rFonts w:ascii="Times New Roman" w:hAnsi="Times New Roman" w:cs="Times New Roman"/>
          <w:b/>
          <w:sz w:val="28"/>
          <w:szCs w:val="28"/>
        </w:rPr>
        <w:t>теплоснабжения</w:t>
      </w:r>
      <w:r w:rsidRPr="001127D6">
        <w:rPr>
          <w:rFonts w:ascii="Times New Roman" w:hAnsi="Times New Roman" w:cs="Times New Roman"/>
          <w:sz w:val="28"/>
          <w:szCs w:val="28"/>
        </w:rPr>
        <w:t xml:space="preserve"> наиболее низко оценивают представители рынков архитектурно-строительного проектирования и товарной аквакультуры (по трем-четырем параметрам преобладают неудовлетворительные оценки). На рынках дорожной деятельности (за исключением проектирования), производства электрической энергии и строительства объектов капитального строительства, за исключением жилищного и дорожного строительства, по двум параметрам зафиксированы неудовлетворительные оценки, по д</w:t>
      </w:r>
      <w:r w:rsidR="005274F1">
        <w:rPr>
          <w:rFonts w:ascii="Times New Roman" w:hAnsi="Times New Roman" w:cs="Times New Roman"/>
          <w:sz w:val="28"/>
          <w:szCs w:val="28"/>
        </w:rPr>
        <w:t>вум – разнящиеся оценки. На рын</w:t>
      </w:r>
      <w:r w:rsidRPr="001127D6">
        <w:rPr>
          <w:rFonts w:ascii="Times New Roman" w:hAnsi="Times New Roman" w:cs="Times New Roman"/>
          <w:sz w:val="28"/>
          <w:szCs w:val="28"/>
        </w:rPr>
        <w:t>ке услуг связи, в том числе услуг по предоставлению широкополосного доступа к информационно-телекоммуникационной сети «Интернет» связи по трем параметрам из пяти отмечаются разнящиеся оценки, по одному преобладают неудовлетворительные. Представители почти всех рынков удовлетворены качеством услуг, наиболее критикуемые параметры – стоимость подключения и стоимость услуг.</w:t>
      </w:r>
    </w:p>
    <w:p w14:paraId="01240EB8"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Услуги </w:t>
      </w:r>
      <w:r w:rsidRPr="001127D6">
        <w:rPr>
          <w:rFonts w:ascii="Times New Roman" w:hAnsi="Times New Roman" w:cs="Times New Roman"/>
          <w:b/>
          <w:sz w:val="28"/>
          <w:szCs w:val="28"/>
        </w:rPr>
        <w:t xml:space="preserve">газоснабжения </w:t>
      </w:r>
      <w:r w:rsidRPr="001127D6">
        <w:rPr>
          <w:rFonts w:ascii="Times New Roman" w:hAnsi="Times New Roman" w:cs="Times New Roman"/>
          <w:sz w:val="28"/>
          <w:szCs w:val="28"/>
        </w:rPr>
        <w:t>получают негативные оценки по всем параметрам, кроме качества, от представителей многих товарных рынков. Наиболее низкие коэффициенты удовлетворенности зафиксированы на следующих рынках: архитектурно-строительного проектирования, легкой промышленности, обработки древесины и производства изделий из дерева, переработки водных биоресурсов, производства электрической энергии, семеноводства, строительства объектов капитального строительства, за исключением жилищного и дорожного строительства, теплоснабжения (производство тепловой энергии), товарной аквакультуры.</w:t>
      </w:r>
    </w:p>
    <w:p w14:paraId="5F555C2B"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Оценки субъектами предпринимательства параметров услуг естественных монополий в разрезе муниципальных образований Новосибирской области имеют значительные отличия.</w:t>
      </w:r>
    </w:p>
    <w:p w14:paraId="68BDC7B8" w14:textId="77777777" w:rsidR="003F4CFF" w:rsidRPr="001127D6" w:rsidRDefault="003F4CFF" w:rsidP="003F4CFF">
      <w:pPr>
        <w:ind w:firstLine="567"/>
        <w:jc w:val="both"/>
        <w:rPr>
          <w:rFonts w:ascii="Times New Roman" w:hAnsi="Times New Roman" w:cs="Times New Roman"/>
          <w:b/>
          <w:bCs/>
          <w:sz w:val="28"/>
          <w:szCs w:val="28"/>
        </w:rPr>
      </w:pPr>
      <w:r w:rsidRPr="001127D6">
        <w:rPr>
          <w:rFonts w:ascii="Times New Roman" w:hAnsi="Times New Roman" w:cs="Times New Roman"/>
          <w:b/>
          <w:bCs/>
          <w:sz w:val="28"/>
          <w:szCs w:val="28"/>
        </w:rPr>
        <w:t>Удовлетворенность потребителей (населения) качеством и стоимостью услуг водоснабжения/водоотведения, газоснабжения, электроснабжения, теплоснабжения</w:t>
      </w:r>
    </w:p>
    <w:p w14:paraId="53A3CAF0"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По всем услугам естественных монополий удовлетворенность потребителей качеством услуг превышает удовлетворенность их стоимостью. Низкая удовлетворенность стоимостью услуг теплоснабжения отчасти компенсируется средней удовлетворенностью их качеством. Средний уровень удовлетворенности качеством услуг (в пределах 50–75%) зафиксирован при оценке всех услуг </w:t>
      </w:r>
      <w:r w:rsidRPr="001127D6">
        <w:rPr>
          <w:rFonts w:ascii="Times New Roman" w:hAnsi="Times New Roman" w:cs="Times New Roman"/>
          <w:sz w:val="28"/>
          <w:szCs w:val="28"/>
        </w:rPr>
        <w:lastRenderedPageBreak/>
        <w:t>субъектов естественных монополий, кроме электроснабжения, где этот уровень высокий (82,6%).</w:t>
      </w:r>
    </w:p>
    <w:p w14:paraId="4DAD4502" w14:textId="77777777" w:rsidR="003F4CFF" w:rsidRPr="001127D6" w:rsidRDefault="003F4CFF" w:rsidP="003F4CFF">
      <w:pPr>
        <w:ind w:left="-567"/>
        <w:rPr>
          <w:rFonts w:ascii="Times New Roman" w:hAnsi="Times New Roman" w:cs="Times New Roman"/>
          <w:b/>
          <w:bCs/>
          <w:sz w:val="24"/>
          <w:szCs w:val="24"/>
        </w:rPr>
      </w:pPr>
      <w:r w:rsidRPr="001127D6">
        <w:rPr>
          <w:rFonts w:cs="Times New Roman"/>
          <w:noProof/>
          <w:sz w:val="22"/>
          <w:szCs w:val="22"/>
        </w:rPr>
        <w:drawing>
          <wp:inline distT="0" distB="0" distL="0" distR="0" wp14:anchorId="21205216" wp14:editId="6FF9E2F1">
            <wp:extent cx="6443980" cy="29146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E636ED">
        <w:rPr>
          <w:rFonts w:ascii="Times New Roman" w:hAnsi="Times New Roman" w:cs="Times New Roman"/>
          <w:b/>
          <w:bCs/>
          <w:sz w:val="24"/>
          <w:szCs w:val="24"/>
        </w:rPr>
        <w:t>Диаграмма 15</w:t>
      </w:r>
      <w:r>
        <w:rPr>
          <w:rFonts w:ascii="Times New Roman" w:hAnsi="Times New Roman" w:cs="Times New Roman"/>
          <w:b/>
          <w:bCs/>
          <w:sz w:val="24"/>
          <w:szCs w:val="24"/>
        </w:rPr>
        <w:t xml:space="preserve"> </w:t>
      </w:r>
      <w:r w:rsidRPr="001127D6">
        <w:rPr>
          <w:rFonts w:ascii="Times New Roman" w:hAnsi="Times New Roman" w:cs="Times New Roman"/>
          <w:b/>
          <w:bCs/>
          <w:sz w:val="24"/>
          <w:szCs w:val="24"/>
        </w:rPr>
        <w:t>– Удовлетворенность потребителей товаров, работ и услуг (населения) качеством и стоимостью услуг, предоставляемых субъектами естественных монополий (водоснабжение/водоотведение, газоснабжение, электроснабжение, теплоснабжение)</w:t>
      </w:r>
    </w:p>
    <w:p w14:paraId="0B3D462E" w14:textId="77777777" w:rsidR="003F4CFF" w:rsidRPr="001127D6" w:rsidRDefault="003F4CFF" w:rsidP="003F4CFF">
      <w:pPr>
        <w:jc w:val="both"/>
        <w:rPr>
          <w:rFonts w:ascii="Times New Roman" w:hAnsi="Times New Roman" w:cs="Times New Roman"/>
          <w:sz w:val="24"/>
          <w:szCs w:val="24"/>
        </w:rPr>
      </w:pPr>
    </w:p>
    <w:p w14:paraId="48BA0E21"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По показателям удовлетворенности потребителей (населения) стоимостью и качеством услуг естественных монополий муниципальные образования объединены в группы с высоким уровнем удовлетворенности (75% и более, зеленая заливка в </w:t>
      </w:r>
      <w:r w:rsidRPr="00BF7B1F">
        <w:rPr>
          <w:rFonts w:ascii="Times New Roman" w:hAnsi="Times New Roman" w:cs="Times New Roman"/>
          <w:sz w:val="28"/>
          <w:szCs w:val="28"/>
        </w:rPr>
        <w:t>таблице 18), средним уровнем удовлетворенности (в пределах 50–75%, желтая заливка</w:t>
      </w:r>
      <w:r w:rsidRPr="001127D6">
        <w:rPr>
          <w:rFonts w:ascii="Times New Roman" w:hAnsi="Times New Roman" w:cs="Times New Roman"/>
          <w:sz w:val="28"/>
          <w:szCs w:val="28"/>
        </w:rPr>
        <w:t>) и низким уровнем удовлетворенности (менее 50%, оранжевая и красная заливка).</w:t>
      </w:r>
    </w:p>
    <w:p w14:paraId="24BCE367" w14:textId="77777777" w:rsidR="003F4CFF" w:rsidRPr="001127D6" w:rsidRDefault="003F4CFF" w:rsidP="003F4CFF">
      <w:pPr>
        <w:ind w:firstLine="567"/>
        <w:jc w:val="both"/>
        <w:rPr>
          <w:rFonts w:ascii="Times New Roman" w:hAnsi="Times New Roman" w:cs="Times New Roman"/>
          <w:sz w:val="28"/>
          <w:szCs w:val="28"/>
        </w:rPr>
      </w:pPr>
    </w:p>
    <w:p w14:paraId="7D6CB0F8" w14:textId="77777777" w:rsidR="003F4CFF" w:rsidRPr="00BF7B1F" w:rsidRDefault="003F4CFF" w:rsidP="003F4CFF">
      <w:pPr>
        <w:jc w:val="both"/>
        <w:rPr>
          <w:rFonts w:ascii="Times New Roman" w:hAnsi="Times New Roman" w:cs="Times New Roman"/>
          <w:sz w:val="28"/>
          <w:szCs w:val="28"/>
        </w:rPr>
      </w:pPr>
      <w:r w:rsidRPr="00BF7B1F">
        <w:rPr>
          <w:rFonts w:ascii="Times New Roman" w:hAnsi="Times New Roman" w:cs="Times New Roman"/>
          <w:sz w:val="28"/>
          <w:szCs w:val="28"/>
        </w:rPr>
        <w:t>Таблица 18– Доли потребителей, удовлетворенных стоимостью и качеством услуг естественных монополий (% от числа потребителей в МО)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5"/>
        <w:gridCol w:w="958"/>
        <w:gridCol w:w="912"/>
        <w:gridCol w:w="1049"/>
        <w:gridCol w:w="912"/>
        <w:gridCol w:w="1050"/>
        <w:gridCol w:w="1020"/>
        <w:gridCol w:w="856"/>
        <w:gridCol w:w="899"/>
      </w:tblGrid>
      <w:tr w:rsidR="003F4CFF" w:rsidRPr="001127D6" w14:paraId="2D17AABA" w14:textId="77777777" w:rsidTr="003F4CFF">
        <w:trPr>
          <w:trHeight w:val="601"/>
          <w:tblHeader/>
          <w:jc w:val="center"/>
        </w:trPr>
        <w:tc>
          <w:tcPr>
            <w:tcW w:w="845" w:type="pct"/>
            <w:vMerge w:val="restart"/>
            <w:tcBorders>
              <w:top w:val="single" w:sz="4" w:space="0" w:color="auto"/>
              <w:left w:val="single" w:sz="4" w:space="0" w:color="auto"/>
              <w:bottom w:val="single" w:sz="4" w:space="0" w:color="auto"/>
              <w:right w:val="single" w:sz="4" w:space="0" w:color="auto"/>
            </w:tcBorders>
            <w:noWrap/>
            <w:vAlign w:val="center"/>
            <w:hideMark/>
          </w:tcPr>
          <w:p w14:paraId="4DCE100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Муниципальное образование</w:t>
            </w:r>
          </w:p>
        </w:tc>
        <w:tc>
          <w:tcPr>
            <w:tcW w:w="1016" w:type="pct"/>
            <w:gridSpan w:val="2"/>
            <w:tcBorders>
              <w:top w:val="single" w:sz="4" w:space="0" w:color="auto"/>
              <w:left w:val="single" w:sz="4" w:space="0" w:color="auto"/>
              <w:bottom w:val="single" w:sz="4" w:space="0" w:color="auto"/>
              <w:right w:val="single" w:sz="4" w:space="0" w:color="auto"/>
            </w:tcBorders>
            <w:noWrap/>
            <w:vAlign w:val="center"/>
            <w:hideMark/>
          </w:tcPr>
          <w:p w14:paraId="7549D92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Электроснабжение</w:t>
            </w:r>
          </w:p>
        </w:tc>
        <w:tc>
          <w:tcPr>
            <w:tcW w:w="1062" w:type="pct"/>
            <w:gridSpan w:val="2"/>
            <w:tcBorders>
              <w:top w:val="single" w:sz="4" w:space="0" w:color="auto"/>
              <w:left w:val="single" w:sz="4" w:space="0" w:color="auto"/>
              <w:bottom w:val="single" w:sz="4" w:space="0" w:color="auto"/>
              <w:right w:val="single" w:sz="4" w:space="0" w:color="auto"/>
            </w:tcBorders>
            <w:noWrap/>
            <w:vAlign w:val="center"/>
            <w:hideMark/>
          </w:tcPr>
          <w:p w14:paraId="2D1C634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Газоснабжение</w:t>
            </w:r>
          </w:p>
        </w:tc>
        <w:tc>
          <w:tcPr>
            <w:tcW w:w="1117" w:type="pct"/>
            <w:gridSpan w:val="2"/>
            <w:tcBorders>
              <w:top w:val="single" w:sz="4" w:space="0" w:color="auto"/>
              <w:left w:val="single" w:sz="4" w:space="0" w:color="auto"/>
              <w:bottom w:val="single" w:sz="4" w:space="0" w:color="auto"/>
              <w:right w:val="single" w:sz="4" w:space="0" w:color="auto"/>
            </w:tcBorders>
            <w:noWrap/>
            <w:vAlign w:val="center"/>
            <w:hideMark/>
          </w:tcPr>
          <w:p w14:paraId="3519073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Теплоснабжение</w:t>
            </w:r>
          </w:p>
        </w:tc>
        <w:tc>
          <w:tcPr>
            <w:tcW w:w="959" w:type="pct"/>
            <w:gridSpan w:val="2"/>
            <w:tcBorders>
              <w:top w:val="single" w:sz="4" w:space="0" w:color="auto"/>
              <w:left w:val="single" w:sz="4" w:space="0" w:color="auto"/>
              <w:bottom w:val="single" w:sz="4" w:space="0" w:color="auto"/>
              <w:right w:val="single" w:sz="4" w:space="0" w:color="auto"/>
            </w:tcBorders>
            <w:noWrap/>
            <w:vAlign w:val="center"/>
            <w:hideMark/>
          </w:tcPr>
          <w:p w14:paraId="1C37795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Водоснабжение/</w:t>
            </w:r>
          </w:p>
          <w:p w14:paraId="1736D1B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водоотведение</w:t>
            </w:r>
          </w:p>
        </w:tc>
      </w:tr>
      <w:tr w:rsidR="003F4CFF" w:rsidRPr="001127D6" w14:paraId="5A6FB51E" w14:textId="77777777" w:rsidTr="003F4CFF">
        <w:trPr>
          <w:trHeight w:val="303"/>
          <w:tblHeader/>
          <w:jc w:val="center"/>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7FFD6E38" w14:textId="77777777" w:rsidR="003F4CFF" w:rsidRPr="001127D6" w:rsidRDefault="003F4CFF" w:rsidP="003F4CFF">
            <w:pPr>
              <w:spacing w:line="259" w:lineRule="auto"/>
              <w:rPr>
                <w:rFonts w:ascii="Times New Roman" w:eastAsia="Times New Roman" w:hAnsi="Times New Roman" w:cs="Times New Roman"/>
                <w:sz w:val="18"/>
                <w:szCs w:val="18"/>
              </w:rPr>
            </w:pPr>
          </w:p>
        </w:tc>
        <w:tc>
          <w:tcPr>
            <w:tcW w:w="520" w:type="pct"/>
            <w:tcBorders>
              <w:top w:val="single" w:sz="4" w:space="0" w:color="auto"/>
              <w:left w:val="single" w:sz="4" w:space="0" w:color="auto"/>
              <w:bottom w:val="single" w:sz="4" w:space="0" w:color="auto"/>
              <w:right w:val="single" w:sz="4" w:space="0" w:color="auto"/>
            </w:tcBorders>
            <w:noWrap/>
            <w:vAlign w:val="center"/>
            <w:hideMark/>
          </w:tcPr>
          <w:p w14:paraId="387A539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Стоимость</w:t>
            </w:r>
          </w:p>
        </w:tc>
        <w:tc>
          <w:tcPr>
            <w:tcW w:w="497" w:type="pct"/>
            <w:tcBorders>
              <w:top w:val="single" w:sz="4" w:space="0" w:color="auto"/>
              <w:left w:val="single" w:sz="4" w:space="0" w:color="auto"/>
              <w:bottom w:val="single" w:sz="4" w:space="0" w:color="auto"/>
              <w:right w:val="single" w:sz="4" w:space="0" w:color="auto"/>
            </w:tcBorders>
            <w:noWrap/>
            <w:vAlign w:val="center"/>
            <w:hideMark/>
          </w:tcPr>
          <w:p w14:paraId="47E52AB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Качество</w:t>
            </w:r>
          </w:p>
        </w:tc>
        <w:tc>
          <w:tcPr>
            <w:tcW w:w="566" w:type="pct"/>
            <w:tcBorders>
              <w:top w:val="single" w:sz="4" w:space="0" w:color="auto"/>
              <w:left w:val="single" w:sz="4" w:space="0" w:color="auto"/>
              <w:bottom w:val="single" w:sz="4" w:space="0" w:color="auto"/>
              <w:right w:val="single" w:sz="4" w:space="0" w:color="auto"/>
            </w:tcBorders>
            <w:noWrap/>
            <w:vAlign w:val="center"/>
            <w:hideMark/>
          </w:tcPr>
          <w:p w14:paraId="3DA448B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Стоимость</w:t>
            </w:r>
          </w:p>
        </w:tc>
        <w:tc>
          <w:tcPr>
            <w:tcW w:w="497" w:type="pct"/>
            <w:tcBorders>
              <w:top w:val="single" w:sz="4" w:space="0" w:color="auto"/>
              <w:left w:val="single" w:sz="4" w:space="0" w:color="auto"/>
              <w:bottom w:val="single" w:sz="4" w:space="0" w:color="auto"/>
              <w:right w:val="single" w:sz="4" w:space="0" w:color="auto"/>
            </w:tcBorders>
            <w:noWrap/>
            <w:vAlign w:val="center"/>
            <w:hideMark/>
          </w:tcPr>
          <w:p w14:paraId="6286114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Качество</w:t>
            </w:r>
          </w:p>
        </w:tc>
        <w:tc>
          <w:tcPr>
            <w:tcW w:w="566" w:type="pct"/>
            <w:tcBorders>
              <w:top w:val="single" w:sz="4" w:space="0" w:color="auto"/>
              <w:left w:val="single" w:sz="4" w:space="0" w:color="auto"/>
              <w:bottom w:val="single" w:sz="4" w:space="0" w:color="auto"/>
              <w:right w:val="single" w:sz="4" w:space="0" w:color="auto"/>
            </w:tcBorders>
            <w:noWrap/>
            <w:vAlign w:val="center"/>
            <w:hideMark/>
          </w:tcPr>
          <w:p w14:paraId="4C50F21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Стоимость</w:t>
            </w:r>
          </w:p>
        </w:tc>
        <w:tc>
          <w:tcPr>
            <w:tcW w:w="551" w:type="pct"/>
            <w:tcBorders>
              <w:top w:val="single" w:sz="4" w:space="0" w:color="auto"/>
              <w:left w:val="single" w:sz="4" w:space="0" w:color="auto"/>
              <w:bottom w:val="single" w:sz="4" w:space="0" w:color="auto"/>
              <w:right w:val="single" w:sz="4" w:space="0" w:color="auto"/>
            </w:tcBorders>
            <w:noWrap/>
            <w:vAlign w:val="center"/>
            <w:hideMark/>
          </w:tcPr>
          <w:p w14:paraId="5863F90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Качество</w:t>
            </w:r>
          </w:p>
        </w:tc>
        <w:tc>
          <w:tcPr>
            <w:tcW w:w="468" w:type="pct"/>
            <w:tcBorders>
              <w:top w:val="single" w:sz="4" w:space="0" w:color="auto"/>
              <w:left w:val="single" w:sz="4" w:space="0" w:color="auto"/>
              <w:bottom w:val="single" w:sz="4" w:space="0" w:color="auto"/>
              <w:right w:val="single" w:sz="4" w:space="0" w:color="auto"/>
            </w:tcBorders>
            <w:noWrap/>
            <w:vAlign w:val="center"/>
            <w:hideMark/>
          </w:tcPr>
          <w:p w14:paraId="0E56575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Стоимость</w:t>
            </w:r>
          </w:p>
        </w:tc>
        <w:tc>
          <w:tcPr>
            <w:tcW w:w="491" w:type="pct"/>
            <w:tcBorders>
              <w:top w:val="single" w:sz="4" w:space="0" w:color="auto"/>
              <w:left w:val="single" w:sz="4" w:space="0" w:color="auto"/>
              <w:bottom w:val="single" w:sz="4" w:space="0" w:color="auto"/>
              <w:right w:val="single" w:sz="4" w:space="0" w:color="auto"/>
            </w:tcBorders>
            <w:noWrap/>
            <w:vAlign w:val="center"/>
            <w:hideMark/>
          </w:tcPr>
          <w:p w14:paraId="21627D5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Качество</w:t>
            </w:r>
          </w:p>
        </w:tc>
      </w:tr>
      <w:tr w:rsidR="003F4CFF" w:rsidRPr="001127D6" w14:paraId="66BE912C"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842E6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г. Новосибирск</w:t>
            </w:r>
          </w:p>
        </w:tc>
        <w:tc>
          <w:tcPr>
            <w:tcW w:w="520" w:type="pct"/>
            <w:tcBorders>
              <w:top w:val="single" w:sz="4" w:space="0" w:color="auto"/>
              <w:left w:val="single" w:sz="4" w:space="0" w:color="auto"/>
              <w:bottom w:val="single" w:sz="4" w:space="0" w:color="auto"/>
              <w:right w:val="single" w:sz="4" w:space="0" w:color="auto"/>
            </w:tcBorders>
            <w:shd w:val="clear" w:color="auto" w:fill="FDD07E"/>
            <w:vAlign w:val="center"/>
            <w:hideMark/>
          </w:tcPr>
          <w:p w14:paraId="0BF595A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54,40%</w:t>
            </w:r>
          </w:p>
        </w:tc>
        <w:tc>
          <w:tcPr>
            <w:tcW w:w="497" w:type="pct"/>
            <w:tcBorders>
              <w:top w:val="single" w:sz="4" w:space="0" w:color="auto"/>
              <w:left w:val="single" w:sz="4" w:space="0" w:color="auto"/>
              <w:bottom w:val="single" w:sz="4" w:space="0" w:color="auto"/>
              <w:right w:val="single" w:sz="4" w:space="0" w:color="auto"/>
            </w:tcBorders>
            <w:shd w:val="clear" w:color="auto" w:fill="D9E082"/>
            <w:vAlign w:val="center"/>
            <w:hideMark/>
          </w:tcPr>
          <w:p w14:paraId="677A751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85,70%</w:t>
            </w:r>
          </w:p>
        </w:tc>
        <w:tc>
          <w:tcPr>
            <w:tcW w:w="566" w:type="pct"/>
            <w:tcBorders>
              <w:top w:val="single" w:sz="4" w:space="0" w:color="auto"/>
              <w:left w:val="single" w:sz="4" w:space="0" w:color="auto"/>
              <w:bottom w:val="single" w:sz="4" w:space="0" w:color="auto"/>
              <w:right w:val="single" w:sz="4" w:space="0" w:color="auto"/>
            </w:tcBorders>
            <w:shd w:val="clear" w:color="auto" w:fill="FEE583"/>
            <w:vAlign w:val="center"/>
            <w:hideMark/>
          </w:tcPr>
          <w:p w14:paraId="5FEADC4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54,50%</w:t>
            </w:r>
          </w:p>
        </w:tc>
        <w:tc>
          <w:tcPr>
            <w:tcW w:w="497" w:type="pct"/>
            <w:tcBorders>
              <w:top w:val="single" w:sz="4" w:space="0" w:color="auto"/>
              <w:left w:val="single" w:sz="4" w:space="0" w:color="auto"/>
              <w:bottom w:val="single" w:sz="4" w:space="0" w:color="auto"/>
              <w:right w:val="single" w:sz="4" w:space="0" w:color="auto"/>
            </w:tcBorders>
            <w:shd w:val="clear" w:color="auto" w:fill="FED980"/>
            <w:vAlign w:val="center"/>
            <w:hideMark/>
          </w:tcPr>
          <w:p w14:paraId="50108ED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70,10%</w:t>
            </w:r>
          </w:p>
        </w:tc>
        <w:tc>
          <w:tcPr>
            <w:tcW w:w="566" w:type="pct"/>
            <w:tcBorders>
              <w:top w:val="single" w:sz="4" w:space="0" w:color="auto"/>
              <w:left w:val="single" w:sz="4" w:space="0" w:color="auto"/>
              <w:bottom w:val="single" w:sz="4" w:space="0" w:color="auto"/>
              <w:right w:val="single" w:sz="4" w:space="0" w:color="auto"/>
            </w:tcBorders>
            <w:shd w:val="clear" w:color="auto" w:fill="FCBB7A"/>
            <w:vAlign w:val="center"/>
            <w:hideMark/>
          </w:tcPr>
          <w:p w14:paraId="2644B72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40,10%</w:t>
            </w:r>
          </w:p>
        </w:tc>
        <w:tc>
          <w:tcPr>
            <w:tcW w:w="551" w:type="pct"/>
            <w:tcBorders>
              <w:top w:val="single" w:sz="4" w:space="0" w:color="auto"/>
              <w:left w:val="single" w:sz="4" w:space="0" w:color="auto"/>
              <w:bottom w:val="single" w:sz="4" w:space="0" w:color="auto"/>
              <w:right w:val="single" w:sz="4" w:space="0" w:color="auto"/>
            </w:tcBorders>
            <w:shd w:val="clear" w:color="auto" w:fill="FEDA80"/>
            <w:vAlign w:val="center"/>
            <w:hideMark/>
          </w:tcPr>
          <w:p w14:paraId="3533465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70,00%</w:t>
            </w:r>
          </w:p>
        </w:tc>
        <w:tc>
          <w:tcPr>
            <w:tcW w:w="468" w:type="pct"/>
            <w:tcBorders>
              <w:top w:val="single" w:sz="4" w:space="0" w:color="auto"/>
              <w:left w:val="single" w:sz="4" w:space="0" w:color="auto"/>
              <w:bottom w:val="single" w:sz="4" w:space="0" w:color="auto"/>
              <w:right w:val="single" w:sz="4" w:space="0" w:color="auto"/>
            </w:tcBorders>
            <w:shd w:val="clear" w:color="auto" w:fill="FEE482"/>
            <w:vAlign w:val="center"/>
            <w:hideMark/>
          </w:tcPr>
          <w:p w14:paraId="0B1E0BB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53,00%</w:t>
            </w:r>
          </w:p>
        </w:tc>
        <w:tc>
          <w:tcPr>
            <w:tcW w:w="491" w:type="pct"/>
            <w:tcBorders>
              <w:top w:val="single" w:sz="4" w:space="0" w:color="auto"/>
              <w:left w:val="single" w:sz="4" w:space="0" w:color="auto"/>
              <w:bottom w:val="single" w:sz="4" w:space="0" w:color="auto"/>
              <w:right w:val="single" w:sz="4" w:space="0" w:color="auto"/>
            </w:tcBorders>
            <w:shd w:val="clear" w:color="auto" w:fill="B3D580"/>
            <w:vAlign w:val="center"/>
            <w:hideMark/>
          </w:tcPr>
          <w:p w14:paraId="1AB32C7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74,90%</w:t>
            </w:r>
          </w:p>
        </w:tc>
      </w:tr>
      <w:tr w:rsidR="003F4CFF" w:rsidRPr="001127D6" w14:paraId="52E6A243"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D4360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г. Бердск</w:t>
            </w:r>
          </w:p>
        </w:tc>
        <w:tc>
          <w:tcPr>
            <w:tcW w:w="520" w:type="pct"/>
            <w:tcBorders>
              <w:top w:val="single" w:sz="4" w:space="0" w:color="auto"/>
              <w:left w:val="single" w:sz="4" w:space="0" w:color="auto"/>
              <w:bottom w:val="single" w:sz="4" w:space="0" w:color="auto"/>
              <w:right w:val="single" w:sz="4" w:space="0" w:color="auto"/>
            </w:tcBorders>
            <w:shd w:val="clear" w:color="auto" w:fill="F9EA84"/>
            <w:vAlign w:val="center"/>
            <w:hideMark/>
          </w:tcPr>
          <w:p w14:paraId="632A6E3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62,30%</w:t>
            </w:r>
          </w:p>
        </w:tc>
        <w:tc>
          <w:tcPr>
            <w:tcW w:w="497" w:type="pct"/>
            <w:tcBorders>
              <w:top w:val="single" w:sz="4" w:space="0" w:color="auto"/>
              <w:left w:val="single" w:sz="4" w:space="0" w:color="auto"/>
              <w:bottom w:val="single" w:sz="4" w:space="0" w:color="auto"/>
              <w:right w:val="single" w:sz="4" w:space="0" w:color="auto"/>
            </w:tcBorders>
            <w:shd w:val="clear" w:color="auto" w:fill="D9E082"/>
            <w:vAlign w:val="center"/>
            <w:hideMark/>
          </w:tcPr>
          <w:p w14:paraId="6DD3C1A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85,70%</w:t>
            </w:r>
          </w:p>
        </w:tc>
        <w:tc>
          <w:tcPr>
            <w:tcW w:w="566" w:type="pct"/>
            <w:tcBorders>
              <w:top w:val="single" w:sz="4" w:space="0" w:color="auto"/>
              <w:left w:val="single" w:sz="4" w:space="0" w:color="auto"/>
              <w:bottom w:val="single" w:sz="4" w:space="0" w:color="auto"/>
              <w:right w:val="single" w:sz="4" w:space="0" w:color="auto"/>
            </w:tcBorders>
            <w:shd w:val="clear" w:color="auto" w:fill="FEE382"/>
            <w:vAlign w:val="center"/>
            <w:hideMark/>
          </w:tcPr>
          <w:p w14:paraId="6FB8CC9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53,80%</w:t>
            </w:r>
          </w:p>
        </w:tc>
        <w:tc>
          <w:tcPr>
            <w:tcW w:w="497" w:type="pct"/>
            <w:tcBorders>
              <w:top w:val="single" w:sz="4" w:space="0" w:color="auto"/>
              <w:left w:val="single" w:sz="4" w:space="0" w:color="auto"/>
              <w:bottom w:val="single" w:sz="4" w:space="0" w:color="auto"/>
              <w:right w:val="single" w:sz="4" w:space="0" w:color="auto"/>
            </w:tcBorders>
            <w:shd w:val="clear" w:color="auto" w:fill="FDD27F"/>
            <w:vAlign w:val="center"/>
            <w:hideMark/>
          </w:tcPr>
          <w:p w14:paraId="1F8D2A8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66,70%</w:t>
            </w:r>
          </w:p>
        </w:tc>
        <w:tc>
          <w:tcPr>
            <w:tcW w:w="566" w:type="pct"/>
            <w:tcBorders>
              <w:top w:val="single" w:sz="4" w:space="0" w:color="auto"/>
              <w:left w:val="single" w:sz="4" w:space="0" w:color="auto"/>
              <w:bottom w:val="single" w:sz="4" w:space="0" w:color="auto"/>
              <w:right w:val="single" w:sz="4" w:space="0" w:color="auto"/>
            </w:tcBorders>
            <w:shd w:val="clear" w:color="auto" w:fill="FBB078"/>
            <w:vAlign w:val="center"/>
            <w:hideMark/>
          </w:tcPr>
          <w:p w14:paraId="05A4372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37,50%</w:t>
            </w:r>
          </w:p>
        </w:tc>
        <w:tc>
          <w:tcPr>
            <w:tcW w:w="551" w:type="pct"/>
            <w:tcBorders>
              <w:top w:val="single" w:sz="4" w:space="0" w:color="auto"/>
              <w:left w:val="single" w:sz="4" w:space="0" w:color="auto"/>
              <w:bottom w:val="single" w:sz="4" w:space="0" w:color="auto"/>
              <w:right w:val="single" w:sz="4" w:space="0" w:color="auto"/>
            </w:tcBorders>
            <w:shd w:val="clear" w:color="auto" w:fill="FEE883"/>
            <w:vAlign w:val="center"/>
            <w:hideMark/>
          </w:tcPr>
          <w:p w14:paraId="07E4DE6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76,60%</w:t>
            </w:r>
          </w:p>
        </w:tc>
        <w:tc>
          <w:tcPr>
            <w:tcW w:w="468" w:type="pct"/>
            <w:tcBorders>
              <w:top w:val="single" w:sz="4" w:space="0" w:color="auto"/>
              <w:left w:val="single" w:sz="4" w:space="0" w:color="auto"/>
              <w:bottom w:val="single" w:sz="4" w:space="0" w:color="auto"/>
              <w:right w:val="single" w:sz="4" w:space="0" w:color="auto"/>
            </w:tcBorders>
            <w:shd w:val="clear" w:color="auto" w:fill="FDCF7E"/>
            <w:vAlign w:val="center"/>
            <w:hideMark/>
          </w:tcPr>
          <w:p w14:paraId="7234422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45,70%</w:t>
            </w:r>
          </w:p>
        </w:tc>
        <w:tc>
          <w:tcPr>
            <w:tcW w:w="491" w:type="pct"/>
            <w:tcBorders>
              <w:top w:val="single" w:sz="4" w:space="0" w:color="auto"/>
              <w:left w:val="single" w:sz="4" w:space="0" w:color="auto"/>
              <w:bottom w:val="single" w:sz="4" w:space="0" w:color="auto"/>
              <w:right w:val="single" w:sz="4" w:space="0" w:color="auto"/>
            </w:tcBorders>
            <w:shd w:val="clear" w:color="auto" w:fill="ECE683"/>
            <w:vAlign w:val="center"/>
            <w:hideMark/>
          </w:tcPr>
          <w:p w14:paraId="59DB736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62,90%</w:t>
            </w:r>
          </w:p>
        </w:tc>
      </w:tr>
      <w:tr w:rsidR="003F4CFF" w:rsidRPr="001127D6" w14:paraId="07A4E3D1"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EBC37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г. Искитим</w:t>
            </w:r>
          </w:p>
        </w:tc>
        <w:tc>
          <w:tcPr>
            <w:tcW w:w="520" w:type="pct"/>
            <w:tcBorders>
              <w:top w:val="single" w:sz="4" w:space="0" w:color="auto"/>
              <w:left w:val="single" w:sz="4" w:space="0" w:color="auto"/>
              <w:bottom w:val="single" w:sz="4" w:space="0" w:color="auto"/>
              <w:right w:val="single" w:sz="4" w:space="0" w:color="auto"/>
            </w:tcBorders>
            <w:shd w:val="clear" w:color="auto" w:fill="FEE382"/>
            <w:vAlign w:val="center"/>
            <w:hideMark/>
          </w:tcPr>
          <w:p w14:paraId="13B7D33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58,80%</w:t>
            </w:r>
          </w:p>
        </w:tc>
        <w:tc>
          <w:tcPr>
            <w:tcW w:w="497" w:type="pct"/>
            <w:tcBorders>
              <w:top w:val="single" w:sz="4" w:space="0" w:color="auto"/>
              <w:left w:val="single" w:sz="4" w:space="0" w:color="auto"/>
              <w:bottom w:val="single" w:sz="4" w:space="0" w:color="auto"/>
              <w:right w:val="single" w:sz="4" w:space="0" w:color="auto"/>
            </w:tcBorders>
            <w:shd w:val="clear" w:color="auto" w:fill="FDD07E"/>
            <w:vAlign w:val="center"/>
            <w:hideMark/>
          </w:tcPr>
          <w:p w14:paraId="0E2E334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75,00%</w:t>
            </w:r>
          </w:p>
        </w:tc>
        <w:tc>
          <w:tcPr>
            <w:tcW w:w="566" w:type="pct"/>
            <w:tcBorders>
              <w:top w:val="single" w:sz="4" w:space="0" w:color="auto"/>
              <w:left w:val="single" w:sz="4" w:space="0" w:color="auto"/>
              <w:bottom w:val="single" w:sz="4" w:space="0" w:color="auto"/>
              <w:right w:val="single" w:sz="4" w:space="0" w:color="auto"/>
            </w:tcBorders>
            <w:shd w:val="clear" w:color="auto" w:fill="CCDD82"/>
            <w:vAlign w:val="center"/>
            <w:hideMark/>
          </w:tcPr>
          <w:p w14:paraId="1D7300C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69,00%</w:t>
            </w:r>
          </w:p>
        </w:tc>
        <w:tc>
          <w:tcPr>
            <w:tcW w:w="497" w:type="pct"/>
            <w:tcBorders>
              <w:top w:val="single" w:sz="4" w:space="0" w:color="auto"/>
              <w:left w:val="single" w:sz="4" w:space="0" w:color="auto"/>
              <w:bottom w:val="single" w:sz="4" w:space="0" w:color="auto"/>
              <w:right w:val="single" w:sz="4" w:space="0" w:color="auto"/>
            </w:tcBorders>
            <w:shd w:val="clear" w:color="auto" w:fill="FDC87D"/>
            <w:vAlign w:val="center"/>
            <w:hideMark/>
          </w:tcPr>
          <w:p w14:paraId="5FF1395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61,90%</w:t>
            </w:r>
          </w:p>
        </w:tc>
        <w:tc>
          <w:tcPr>
            <w:tcW w:w="566" w:type="pct"/>
            <w:tcBorders>
              <w:top w:val="single" w:sz="4" w:space="0" w:color="auto"/>
              <w:left w:val="single" w:sz="4" w:space="0" w:color="auto"/>
              <w:bottom w:val="single" w:sz="4" w:space="0" w:color="auto"/>
              <w:right w:val="single" w:sz="4" w:space="0" w:color="auto"/>
            </w:tcBorders>
            <w:shd w:val="clear" w:color="auto" w:fill="B4D680"/>
            <w:vAlign w:val="center"/>
            <w:hideMark/>
          </w:tcPr>
          <w:p w14:paraId="4431AC2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70,60%</w:t>
            </w:r>
          </w:p>
        </w:tc>
        <w:tc>
          <w:tcPr>
            <w:tcW w:w="551" w:type="pct"/>
            <w:tcBorders>
              <w:top w:val="single" w:sz="4" w:space="0" w:color="auto"/>
              <w:left w:val="single" w:sz="4" w:space="0" w:color="auto"/>
              <w:bottom w:val="single" w:sz="4" w:space="0" w:color="auto"/>
              <w:right w:val="single" w:sz="4" w:space="0" w:color="auto"/>
            </w:tcBorders>
            <w:shd w:val="clear" w:color="auto" w:fill="FAEA84"/>
            <w:vAlign w:val="center"/>
            <w:hideMark/>
          </w:tcPr>
          <w:p w14:paraId="40A61D1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78,40%</w:t>
            </w:r>
          </w:p>
        </w:tc>
        <w:tc>
          <w:tcPr>
            <w:tcW w:w="468" w:type="pct"/>
            <w:tcBorders>
              <w:top w:val="single" w:sz="4" w:space="0" w:color="auto"/>
              <w:left w:val="single" w:sz="4" w:space="0" w:color="auto"/>
              <w:bottom w:val="single" w:sz="4" w:space="0" w:color="auto"/>
              <w:right w:val="single" w:sz="4" w:space="0" w:color="auto"/>
            </w:tcBorders>
            <w:shd w:val="clear" w:color="auto" w:fill="EAE583"/>
            <w:vAlign w:val="center"/>
            <w:hideMark/>
          </w:tcPr>
          <w:p w14:paraId="3FB631A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60,30%</w:t>
            </w:r>
          </w:p>
        </w:tc>
        <w:tc>
          <w:tcPr>
            <w:tcW w:w="491" w:type="pct"/>
            <w:tcBorders>
              <w:top w:val="single" w:sz="4" w:space="0" w:color="auto"/>
              <w:left w:val="single" w:sz="4" w:space="0" w:color="auto"/>
              <w:bottom w:val="single" w:sz="4" w:space="0" w:color="auto"/>
              <w:right w:val="single" w:sz="4" w:space="0" w:color="auto"/>
            </w:tcBorders>
            <w:shd w:val="clear" w:color="auto" w:fill="E2E383"/>
            <w:vAlign w:val="center"/>
            <w:hideMark/>
          </w:tcPr>
          <w:p w14:paraId="4B9AAB2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65,00%</w:t>
            </w:r>
          </w:p>
        </w:tc>
      </w:tr>
      <w:tr w:rsidR="003F4CFF" w:rsidRPr="001127D6" w14:paraId="6ECB0691"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C48AF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г. Обь</w:t>
            </w:r>
          </w:p>
        </w:tc>
        <w:tc>
          <w:tcPr>
            <w:tcW w:w="520" w:type="pct"/>
            <w:tcBorders>
              <w:top w:val="single" w:sz="4" w:space="0" w:color="auto"/>
              <w:left w:val="single" w:sz="4" w:space="0" w:color="auto"/>
              <w:bottom w:val="single" w:sz="4" w:space="0" w:color="auto"/>
              <w:right w:val="single" w:sz="4" w:space="0" w:color="auto"/>
            </w:tcBorders>
            <w:shd w:val="clear" w:color="auto" w:fill="FEDC81"/>
            <w:vAlign w:val="center"/>
            <w:hideMark/>
          </w:tcPr>
          <w:p w14:paraId="1E12F40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57,10%</w:t>
            </w:r>
          </w:p>
        </w:tc>
        <w:tc>
          <w:tcPr>
            <w:tcW w:w="497" w:type="pct"/>
            <w:tcBorders>
              <w:top w:val="single" w:sz="4" w:space="0" w:color="auto"/>
              <w:left w:val="single" w:sz="4" w:space="0" w:color="auto"/>
              <w:bottom w:val="single" w:sz="4" w:space="0" w:color="auto"/>
              <w:right w:val="single" w:sz="4" w:space="0" w:color="auto"/>
            </w:tcBorders>
            <w:shd w:val="clear" w:color="auto" w:fill="BED981"/>
            <w:vAlign w:val="center"/>
            <w:hideMark/>
          </w:tcPr>
          <w:p w14:paraId="5827838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88,60%</w:t>
            </w:r>
          </w:p>
        </w:tc>
        <w:tc>
          <w:tcPr>
            <w:tcW w:w="566" w:type="pct"/>
            <w:tcBorders>
              <w:top w:val="single" w:sz="4" w:space="0" w:color="auto"/>
              <w:left w:val="single" w:sz="4" w:space="0" w:color="auto"/>
              <w:bottom w:val="single" w:sz="4" w:space="0" w:color="auto"/>
              <w:right w:val="single" w:sz="4" w:space="0" w:color="auto"/>
            </w:tcBorders>
            <w:shd w:val="clear" w:color="auto" w:fill="63BE7B"/>
            <w:vAlign w:val="center"/>
            <w:hideMark/>
          </w:tcPr>
          <w:p w14:paraId="7EEDE8F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94,70%</w:t>
            </w:r>
          </w:p>
        </w:tc>
        <w:tc>
          <w:tcPr>
            <w:tcW w:w="497" w:type="pct"/>
            <w:tcBorders>
              <w:top w:val="single" w:sz="4" w:space="0" w:color="auto"/>
              <w:left w:val="single" w:sz="4" w:space="0" w:color="auto"/>
              <w:bottom w:val="single" w:sz="4" w:space="0" w:color="auto"/>
              <w:right w:val="single" w:sz="4" w:space="0" w:color="auto"/>
            </w:tcBorders>
            <w:shd w:val="clear" w:color="auto" w:fill="63BE7B"/>
            <w:vAlign w:val="center"/>
            <w:hideMark/>
          </w:tcPr>
          <w:p w14:paraId="080E856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100,00%</w:t>
            </w:r>
          </w:p>
        </w:tc>
        <w:tc>
          <w:tcPr>
            <w:tcW w:w="566" w:type="pct"/>
            <w:tcBorders>
              <w:top w:val="single" w:sz="4" w:space="0" w:color="auto"/>
              <w:left w:val="single" w:sz="4" w:space="0" w:color="auto"/>
              <w:bottom w:val="single" w:sz="4" w:space="0" w:color="auto"/>
              <w:right w:val="single" w:sz="4" w:space="0" w:color="auto"/>
            </w:tcBorders>
            <w:shd w:val="clear" w:color="auto" w:fill="FDCC7E"/>
            <w:vAlign w:val="center"/>
            <w:hideMark/>
          </w:tcPr>
          <w:p w14:paraId="301F784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44,10%</w:t>
            </w:r>
          </w:p>
        </w:tc>
        <w:tc>
          <w:tcPr>
            <w:tcW w:w="551" w:type="pct"/>
            <w:tcBorders>
              <w:top w:val="single" w:sz="4" w:space="0" w:color="auto"/>
              <w:left w:val="single" w:sz="4" w:space="0" w:color="auto"/>
              <w:bottom w:val="single" w:sz="4" w:space="0" w:color="auto"/>
              <w:right w:val="single" w:sz="4" w:space="0" w:color="auto"/>
            </w:tcBorders>
            <w:shd w:val="clear" w:color="auto" w:fill="FED880"/>
            <w:vAlign w:val="center"/>
            <w:hideMark/>
          </w:tcPr>
          <w:p w14:paraId="42565C2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69,10%</w:t>
            </w:r>
          </w:p>
        </w:tc>
        <w:tc>
          <w:tcPr>
            <w:tcW w:w="468" w:type="pct"/>
            <w:tcBorders>
              <w:top w:val="single" w:sz="4" w:space="0" w:color="auto"/>
              <w:left w:val="single" w:sz="4" w:space="0" w:color="auto"/>
              <w:bottom w:val="single" w:sz="4" w:space="0" w:color="auto"/>
              <w:right w:val="single" w:sz="4" w:space="0" w:color="auto"/>
            </w:tcBorders>
            <w:shd w:val="clear" w:color="auto" w:fill="FDC67D"/>
            <w:vAlign w:val="center"/>
            <w:hideMark/>
          </w:tcPr>
          <w:p w14:paraId="06199FD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42,60%</w:t>
            </w:r>
          </w:p>
        </w:tc>
        <w:tc>
          <w:tcPr>
            <w:tcW w:w="491" w:type="pct"/>
            <w:tcBorders>
              <w:top w:val="single" w:sz="4" w:space="0" w:color="auto"/>
              <w:left w:val="single" w:sz="4" w:space="0" w:color="auto"/>
              <w:bottom w:val="single" w:sz="4" w:space="0" w:color="auto"/>
              <w:right w:val="single" w:sz="4" w:space="0" w:color="auto"/>
            </w:tcBorders>
            <w:shd w:val="clear" w:color="auto" w:fill="E4E383"/>
            <w:vAlign w:val="center"/>
            <w:hideMark/>
          </w:tcPr>
          <w:p w14:paraId="20155E2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64,70%</w:t>
            </w:r>
          </w:p>
        </w:tc>
      </w:tr>
      <w:tr w:rsidR="003F4CFF" w:rsidRPr="001127D6" w14:paraId="2EB92589"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C7CC2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р. п. Кольцово</w:t>
            </w:r>
          </w:p>
        </w:tc>
        <w:tc>
          <w:tcPr>
            <w:tcW w:w="520" w:type="pct"/>
            <w:tcBorders>
              <w:top w:val="single" w:sz="4" w:space="0" w:color="auto"/>
              <w:left w:val="single" w:sz="4" w:space="0" w:color="auto"/>
              <w:bottom w:val="single" w:sz="4" w:space="0" w:color="auto"/>
              <w:right w:val="single" w:sz="4" w:space="0" w:color="auto"/>
            </w:tcBorders>
            <w:shd w:val="clear" w:color="auto" w:fill="FCC27C"/>
            <w:vAlign w:val="center"/>
            <w:hideMark/>
          </w:tcPr>
          <w:p w14:paraId="74F0E2F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50,80%</w:t>
            </w:r>
          </w:p>
        </w:tc>
        <w:tc>
          <w:tcPr>
            <w:tcW w:w="497" w:type="pct"/>
            <w:tcBorders>
              <w:top w:val="single" w:sz="4" w:space="0" w:color="auto"/>
              <w:left w:val="single" w:sz="4" w:space="0" w:color="auto"/>
              <w:bottom w:val="single" w:sz="4" w:space="0" w:color="auto"/>
              <w:right w:val="single" w:sz="4" w:space="0" w:color="auto"/>
            </w:tcBorders>
            <w:shd w:val="clear" w:color="auto" w:fill="D9E082"/>
            <w:vAlign w:val="center"/>
            <w:hideMark/>
          </w:tcPr>
          <w:p w14:paraId="583F167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85,70%</w:t>
            </w:r>
          </w:p>
        </w:tc>
        <w:tc>
          <w:tcPr>
            <w:tcW w:w="566" w:type="pct"/>
            <w:tcBorders>
              <w:top w:val="single" w:sz="4" w:space="0" w:color="auto"/>
              <w:left w:val="single" w:sz="4" w:space="0" w:color="auto"/>
              <w:bottom w:val="single" w:sz="4" w:space="0" w:color="auto"/>
              <w:right w:val="single" w:sz="4" w:space="0" w:color="auto"/>
            </w:tcBorders>
            <w:shd w:val="clear" w:color="auto" w:fill="C2DA81"/>
            <w:vAlign w:val="center"/>
            <w:hideMark/>
          </w:tcPr>
          <w:p w14:paraId="074E724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71,40%</w:t>
            </w:r>
          </w:p>
        </w:tc>
        <w:tc>
          <w:tcPr>
            <w:tcW w:w="497" w:type="pct"/>
            <w:tcBorders>
              <w:top w:val="single" w:sz="4" w:space="0" w:color="auto"/>
              <w:left w:val="single" w:sz="4" w:space="0" w:color="auto"/>
              <w:bottom w:val="single" w:sz="4" w:space="0" w:color="auto"/>
              <w:right w:val="single" w:sz="4" w:space="0" w:color="auto"/>
            </w:tcBorders>
            <w:shd w:val="clear" w:color="auto" w:fill="63BE7B"/>
            <w:vAlign w:val="center"/>
            <w:hideMark/>
          </w:tcPr>
          <w:p w14:paraId="678308D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100,00%</w:t>
            </w:r>
          </w:p>
        </w:tc>
        <w:tc>
          <w:tcPr>
            <w:tcW w:w="566" w:type="pct"/>
            <w:tcBorders>
              <w:top w:val="single" w:sz="4" w:space="0" w:color="auto"/>
              <w:left w:val="single" w:sz="4" w:space="0" w:color="auto"/>
              <w:bottom w:val="single" w:sz="4" w:space="0" w:color="auto"/>
              <w:right w:val="single" w:sz="4" w:space="0" w:color="auto"/>
            </w:tcBorders>
            <w:shd w:val="clear" w:color="auto" w:fill="FDD780"/>
            <w:vAlign w:val="center"/>
            <w:hideMark/>
          </w:tcPr>
          <w:p w14:paraId="28F66A3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46,60%</w:t>
            </w:r>
          </w:p>
        </w:tc>
        <w:tc>
          <w:tcPr>
            <w:tcW w:w="551" w:type="pct"/>
            <w:tcBorders>
              <w:top w:val="single" w:sz="4" w:space="0" w:color="auto"/>
              <w:left w:val="single" w:sz="4" w:space="0" w:color="auto"/>
              <w:bottom w:val="single" w:sz="4" w:space="0" w:color="auto"/>
              <w:right w:val="single" w:sz="4" w:space="0" w:color="auto"/>
            </w:tcBorders>
            <w:shd w:val="clear" w:color="auto" w:fill="B0D480"/>
            <w:vAlign w:val="center"/>
            <w:hideMark/>
          </w:tcPr>
          <w:p w14:paraId="105642A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87,90%</w:t>
            </w:r>
          </w:p>
        </w:tc>
        <w:tc>
          <w:tcPr>
            <w:tcW w:w="468" w:type="pct"/>
            <w:tcBorders>
              <w:top w:val="single" w:sz="4" w:space="0" w:color="auto"/>
              <w:left w:val="single" w:sz="4" w:space="0" w:color="auto"/>
              <w:bottom w:val="single" w:sz="4" w:space="0" w:color="auto"/>
              <w:right w:val="single" w:sz="4" w:space="0" w:color="auto"/>
            </w:tcBorders>
            <w:shd w:val="clear" w:color="auto" w:fill="FDC87D"/>
            <w:vAlign w:val="center"/>
            <w:hideMark/>
          </w:tcPr>
          <w:p w14:paraId="58471B9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43,10%</w:t>
            </w:r>
          </w:p>
        </w:tc>
        <w:tc>
          <w:tcPr>
            <w:tcW w:w="491" w:type="pct"/>
            <w:tcBorders>
              <w:top w:val="single" w:sz="4" w:space="0" w:color="auto"/>
              <w:left w:val="single" w:sz="4" w:space="0" w:color="auto"/>
              <w:bottom w:val="single" w:sz="4" w:space="0" w:color="auto"/>
              <w:right w:val="single" w:sz="4" w:space="0" w:color="auto"/>
            </w:tcBorders>
            <w:shd w:val="clear" w:color="auto" w:fill="DCE182"/>
            <w:vAlign w:val="center"/>
            <w:hideMark/>
          </w:tcPr>
          <w:p w14:paraId="3AFA486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66,20%</w:t>
            </w:r>
          </w:p>
        </w:tc>
      </w:tr>
      <w:tr w:rsidR="003F4CFF" w:rsidRPr="001127D6" w14:paraId="7391E9AE"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E1CB7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Баганский МР</w:t>
            </w:r>
          </w:p>
        </w:tc>
        <w:tc>
          <w:tcPr>
            <w:tcW w:w="520" w:type="pct"/>
            <w:tcBorders>
              <w:top w:val="single" w:sz="4" w:space="0" w:color="auto"/>
              <w:left w:val="single" w:sz="4" w:space="0" w:color="auto"/>
              <w:bottom w:val="single" w:sz="4" w:space="0" w:color="auto"/>
              <w:right w:val="single" w:sz="4" w:space="0" w:color="auto"/>
            </w:tcBorders>
            <w:shd w:val="clear" w:color="auto" w:fill="E4E483"/>
            <w:vAlign w:val="center"/>
            <w:hideMark/>
          </w:tcPr>
          <w:p w14:paraId="644868A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67,10%</w:t>
            </w:r>
          </w:p>
        </w:tc>
        <w:tc>
          <w:tcPr>
            <w:tcW w:w="497" w:type="pct"/>
            <w:tcBorders>
              <w:top w:val="single" w:sz="4" w:space="0" w:color="auto"/>
              <w:left w:val="single" w:sz="4" w:space="0" w:color="auto"/>
              <w:bottom w:val="single" w:sz="4" w:space="0" w:color="auto"/>
              <w:right w:val="single" w:sz="4" w:space="0" w:color="auto"/>
            </w:tcBorders>
            <w:shd w:val="clear" w:color="auto" w:fill="F98770"/>
            <w:vAlign w:val="center"/>
            <w:hideMark/>
          </w:tcPr>
          <w:p w14:paraId="48E2C9B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57,40%</w:t>
            </w:r>
          </w:p>
        </w:tc>
        <w:tc>
          <w:tcPr>
            <w:tcW w:w="566" w:type="pct"/>
            <w:tcBorders>
              <w:top w:val="single" w:sz="4" w:space="0" w:color="auto"/>
              <w:left w:val="single" w:sz="4" w:space="0" w:color="auto"/>
              <w:bottom w:val="single" w:sz="4" w:space="0" w:color="auto"/>
              <w:right w:val="single" w:sz="4" w:space="0" w:color="auto"/>
            </w:tcBorders>
            <w:shd w:val="clear" w:color="auto" w:fill="EFE784"/>
            <w:vAlign w:val="center"/>
            <w:hideMark/>
          </w:tcPr>
          <w:p w14:paraId="3F62756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60,50%</w:t>
            </w:r>
          </w:p>
        </w:tc>
        <w:tc>
          <w:tcPr>
            <w:tcW w:w="497" w:type="pct"/>
            <w:tcBorders>
              <w:top w:val="single" w:sz="4" w:space="0" w:color="auto"/>
              <w:left w:val="single" w:sz="4" w:space="0" w:color="auto"/>
              <w:bottom w:val="single" w:sz="4" w:space="0" w:color="auto"/>
              <w:right w:val="single" w:sz="4" w:space="0" w:color="auto"/>
            </w:tcBorders>
            <w:shd w:val="clear" w:color="auto" w:fill="FCC37C"/>
            <w:vAlign w:val="center"/>
            <w:hideMark/>
          </w:tcPr>
          <w:p w14:paraId="3F3E180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59,50%</w:t>
            </w:r>
          </w:p>
        </w:tc>
        <w:tc>
          <w:tcPr>
            <w:tcW w:w="566" w:type="pct"/>
            <w:tcBorders>
              <w:top w:val="single" w:sz="4" w:space="0" w:color="auto"/>
              <w:left w:val="single" w:sz="4" w:space="0" w:color="auto"/>
              <w:bottom w:val="single" w:sz="4" w:space="0" w:color="auto"/>
              <w:right w:val="single" w:sz="4" w:space="0" w:color="auto"/>
            </w:tcBorders>
            <w:shd w:val="clear" w:color="auto" w:fill="FEDB80"/>
            <w:vAlign w:val="center"/>
            <w:hideMark/>
          </w:tcPr>
          <w:p w14:paraId="4C2BAB5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47,40%</w:t>
            </w:r>
          </w:p>
        </w:tc>
        <w:tc>
          <w:tcPr>
            <w:tcW w:w="551" w:type="pct"/>
            <w:tcBorders>
              <w:top w:val="single" w:sz="4" w:space="0" w:color="auto"/>
              <w:left w:val="single" w:sz="4" w:space="0" w:color="auto"/>
              <w:bottom w:val="single" w:sz="4" w:space="0" w:color="auto"/>
              <w:right w:val="single" w:sz="4" w:space="0" w:color="auto"/>
            </w:tcBorders>
            <w:shd w:val="clear" w:color="auto" w:fill="FBAD78"/>
            <w:vAlign w:val="center"/>
            <w:hideMark/>
          </w:tcPr>
          <w:p w14:paraId="42580AC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48,20%</w:t>
            </w:r>
          </w:p>
        </w:tc>
        <w:tc>
          <w:tcPr>
            <w:tcW w:w="468" w:type="pct"/>
            <w:tcBorders>
              <w:top w:val="single" w:sz="4" w:space="0" w:color="auto"/>
              <w:left w:val="single" w:sz="4" w:space="0" w:color="auto"/>
              <w:bottom w:val="single" w:sz="4" w:space="0" w:color="auto"/>
              <w:right w:val="single" w:sz="4" w:space="0" w:color="auto"/>
            </w:tcBorders>
            <w:shd w:val="clear" w:color="auto" w:fill="F8E984"/>
            <w:vAlign w:val="center"/>
            <w:hideMark/>
          </w:tcPr>
          <w:p w14:paraId="46A36C8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57,10%</w:t>
            </w:r>
          </w:p>
        </w:tc>
        <w:tc>
          <w:tcPr>
            <w:tcW w:w="491" w:type="pct"/>
            <w:tcBorders>
              <w:top w:val="single" w:sz="4" w:space="0" w:color="auto"/>
              <w:left w:val="single" w:sz="4" w:space="0" w:color="auto"/>
              <w:bottom w:val="single" w:sz="4" w:space="0" w:color="auto"/>
              <w:right w:val="single" w:sz="4" w:space="0" w:color="auto"/>
            </w:tcBorders>
            <w:shd w:val="clear" w:color="auto" w:fill="FEE482"/>
            <w:vAlign w:val="center"/>
            <w:hideMark/>
          </w:tcPr>
          <w:p w14:paraId="068691B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56,50%</w:t>
            </w:r>
          </w:p>
        </w:tc>
      </w:tr>
      <w:tr w:rsidR="003F4CFF" w:rsidRPr="001127D6" w14:paraId="1CF9C522"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BEB93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Барабинский МР</w:t>
            </w:r>
          </w:p>
        </w:tc>
        <w:tc>
          <w:tcPr>
            <w:tcW w:w="520" w:type="pct"/>
            <w:tcBorders>
              <w:top w:val="single" w:sz="4" w:space="0" w:color="auto"/>
              <w:left w:val="single" w:sz="4" w:space="0" w:color="auto"/>
              <w:bottom w:val="single" w:sz="4" w:space="0" w:color="auto"/>
              <w:right w:val="single" w:sz="4" w:space="0" w:color="auto"/>
            </w:tcBorders>
            <w:shd w:val="clear" w:color="auto" w:fill="BFD981"/>
            <w:vAlign w:val="center"/>
            <w:hideMark/>
          </w:tcPr>
          <w:p w14:paraId="12D52AE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75,70%</w:t>
            </w:r>
          </w:p>
        </w:tc>
        <w:tc>
          <w:tcPr>
            <w:tcW w:w="497" w:type="pct"/>
            <w:tcBorders>
              <w:top w:val="single" w:sz="4" w:space="0" w:color="auto"/>
              <w:left w:val="single" w:sz="4" w:space="0" w:color="auto"/>
              <w:bottom w:val="single" w:sz="4" w:space="0" w:color="auto"/>
              <w:right w:val="single" w:sz="4" w:space="0" w:color="auto"/>
            </w:tcBorders>
            <w:shd w:val="clear" w:color="auto" w:fill="C2DA81"/>
            <w:vAlign w:val="center"/>
            <w:hideMark/>
          </w:tcPr>
          <w:p w14:paraId="16DBE6A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88,20%</w:t>
            </w:r>
          </w:p>
        </w:tc>
        <w:tc>
          <w:tcPr>
            <w:tcW w:w="566" w:type="pct"/>
            <w:tcBorders>
              <w:top w:val="single" w:sz="4" w:space="0" w:color="auto"/>
              <w:left w:val="single" w:sz="4" w:space="0" w:color="auto"/>
              <w:bottom w:val="single" w:sz="4" w:space="0" w:color="auto"/>
              <w:right w:val="single" w:sz="4" w:space="0" w:color="auto"/>
            </w:tcBorders>
            <w:shd w:val="clear" w:color="auto" w:fill="A8D27F"/>
            <w:vAlign w:val="center"/>
            <w:hideMark/>
          </w:tcPr>
          <w:p w14:paraId="0D2BEBB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78,00%</w:t>
            </w:r>
          </w:p>
        </w:tc>
        <w:tc>
          <w:tcPr>
            <w:tcW w:w="497" w:type="pct"/>
            <w:tcBorders>
              <w:top w:val="single" w:sz="4" w:space="0" w:color="auto"/>
              <w:left w:val="single" w:sz="4" w:space="0" w:color="auto"/>
              <w:bottom w:val="single" w:sz="4" w:space="0" w:color="auto"/>
              <w:right w:val="single" w:sz="4" w:space="0" w:color="auto"/>
            </w:tcBorders>
            <w:shd w:val="clear" w:color="auto" w:fill="FEE582"/>
            <w:vAlign w:val="center"/>
            <w:hideMark/>
          </w:tcPr>
          <w:p w14:paraId="68FD64B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75,90%</w:t>
            </w:r>
          </w:p>
        </w:tc>
        <w:tc>
          <w:tcPr>
            <w:tcW w:w="566" w:type="pct"/>
            <w:tcBorders>
              <w:top w:val="single" w:sz="4" w:space="0" w:color="auto"/>
              <w:left w:val="single" w:sz="4" w:space="0" w:color="auto"/>
              <w:bottom w:val="single" w:sz="4" w:space="0" w:color="auto"/>
              <w:right w:val="single" w:sz="4" w:space="0" w:color="auto"/>
            </w:tcBorders>
            <w:shd w:val="clear" w:color="auto" w:fill="C8DC81"/>
            <w:vAlign w:val="center"/>
            <w:hideMark/>
          </w:tcPr>
          <w:p w14:paraId="5C0D15D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65,30%</w:t>
            </w:r>
          </w:p>
        </w:tc>
        <w:tc>
          <w:tcPr>
            <w:tcW w:w="551" w:type="pct"/>
            <w:tcBorders>
              <w:top w:val="single" w:sz="4" w:space="0" w:color="auto"/>
              <w:left w:val="single" w:sz="4" w:space="0" w:color="auto"/>
              <w:bottom w:val="single" w:sz="4" w:space="0" w:color="auto"/>
              <w:right w:val="single" w:sz="4" w:space="0" w:color="auto"/>
            </w:tcBorders>
            <w:shd w:val="clear" w:color="auto" w:fill="F4E884"/>
            <w:vAlign w:val="center"/>
            <w:hideMark/>
          </w:tcPr>
          <w:p w14:paraId="7D0BF21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79,20%</w:t>
            </w:r>
          </w:p>
        </w:tc>
        <w:tc>
          <w:tcPr>
            <w:tcW w:w="468" w:type="pct"/>
            <w:tcBorders>
              <w:top w:val="single" w:sz="4" w:space="0" w:color="auto"/>
              <w:left w:val="single" w:sz="4" w:space="0" w:color="auto"/>
              <w:bottom w:val="single" w:sz="4" w:space="0" w:color="auto"/>
              <w:right w:val="single" w:sz="4" w:space="0" w:color="auto"/>
            </w:tcBorders>
            <w:shd w:val="clear" w:color="auto" w:fill="C6DB81"/>
            <w:vAlign w:val="center"/>
            <w:hideMark/>
          </w:tcPr>
          <w:p w14:paraId="4E53F29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68,60%</w:t>
            </w:r>
          </w:p>
        </w:tc>
        <w:tc>
          <w:tcPr>
            <w:tcW w:w="491" w:type="pct"/>
            <w:tcBorders>
              <w:top w:val="single" w:sz="4" w:space="0" w:color="auto"/>
              <w:left w:val="single" w:sz="4" w:space="0" w:color="auto"/>
              <w:bottom w:val="single" w:sz="4" w:space="0" w:color="auto"/>
              <w:right w:val="single" w:sz="4" w:space="0" w:color="auto"/>
            </w:tcBorders>
            <w:shd w:val="clear" w:color="auto" w:fill="FEE282"/>
            <w:vAlign w:val="center"/>
            <w:hideMark/>
          </w:tcPr>
          <w:p w14:paraId="058D68C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55,70%</w:t>
            </w:r>
          </w:p>
        </w:tc>
      </w:tr>
      <w:tr w:rsidR="003F4CFF" w:rsidRPr="001127D6" w14:paraId="52330A7F"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0C623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Болотнинский МР</w:t>
            </w:r>
          </w:p>
        </w:tc>
        <w:tc>
          <w:tcPr>
            <w:tcW w:w="520" w:type="pct"/>
            <w:tcBorders>
              <w:top w:val="single" w:sz="4" w:space="0" w:color="auto"/>
              <w:left w:val="single" w:sz="4" w:space="0" w:color="auto"/>
              <w:bottom w:val="single" w:sz="4" w:space="0" w:color="auto"/>
              <w:right w:val="single" w:sz="4" w:space="0" w:color="auto"/>
            </w:tcBorders>
            <w:shd w:val="clear" w:color="auto" w:fill="EAE583"/>
            <w:vAlign w:val="center"/>
            <w:hideMark/>
          </w:tcPr>
          <w:p w14:paraId="3720F96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65,70%</w:t>
            </w:r>
          </w:p>
        </w:tc>
        <w:tc>
          <w:tcPr>
            <w:tcW w:w="497" w:type="pct"/>
            <w:tcBorders>
              <w:top w:val="single" w:sz="4" w:space="0" w:color="auto"/>
              <w:left w:val="single" w:sz="4" w:space="0" w:color="auto"/>
              <w:bottom w:val="single" w:sz="4" w:space="0" w:color="auto"/>
              <w:right w:val="single" w:sz="4" w:space="0" w:color="auto"/>
            </w:tcBorders>
            <w:shd w:val="clear" w:color="auto" w:fill="CCDD82"/>
            <w:vAlign w:val="center"/>
            <w:hideMark/>
          </w:tcPr>
          <w:p w14:paraId="070BBB7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87,10%</w:t>
            </w:r>
          </w:p>
        </w:tc>
        <w:tc>
          <w:tcPr>
            <w:tcW w:w="566" w:type="pct"/>
            <w:tcBorders>
              <w:top w:val="single" w:sz="4" w:space="0" w:color="auto"/>
              <w:left w:val="single" w:sz="4" w:space="0" w:color="auto"/>
              <w:bottom w:val="single" w:sz="4" w:space="0" w:color="auto"/>
              <w:right w:val="single" w:sz="4" w:space="0" w:color="auto"/>
            </w:tcBorders>
            <w:shd w:val="clear" w:color="auto" w:fill="DFE283"/>
            <w:vAlign w:val="center"/>
            <w:hideMark/>
          </w:tcPr>
          <w:p w14:paraId="68233A5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64,50%</w:t>
            </w:r>
          </w:p>
        </w:tc>
        <w:tc>
          <w:tcPr>
            <w:tcW w:w="497" w:type="pct"/>
            <w:tcBorders>
              <w:top w:val="single" w:sz="4" w:space="0" w:color="auto"/>
              <w:left w:val="single" w:sz="4" w:space="0" w:color="auto"/>
              <w:bottom w:val="single" w:sz="4" w:space="0" w:color="auto"/>
              <w:right w:val="single" w:sz="4" w:space="0" w:color="auto"/>
            </w:tcBorders>
            <w:shd w:val="clear" w:color="auto" w:fill="93CC7E"/>
            <w:vAlign w:val="center"/>
            <w:hideMark/>
          </w:tcPr>
          <w:p w14:paraId="2A81F65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93,50%</w:t>
            </w:r>
          </w:p>
        </w:tc>
        <w:tc>
          <w:tcPr>
            <w:tcW w:w="566" w:type="pct"/>
            <w:tcBorders>
              <w:top w:val="single" w:sz="4" w:space="0" w:color="auto"/>
              <w:left w:val="single" w:sz="4" w:space="0" w:color="auto"/>
              <w:bottom w:val="single" w:sz="4" w:space="0" w:color="auto"/>
              <w:right w:val="single" w:sz="4" w:space="0" w:color="auto"/>
            </w:tcBorders>
            <w:shd w:val="clear" w:color="auto" w:fill="FCBE7B"/>
            <w:vAlign w:val="center"/>
            <w:hideMark/>
          </w:tcPr>
          <w:p w14:paraId="56D4668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40,70%</w:t>
            </w:r>
          </w:p>
        </w:tc>
        <w:tc>
          <w:tcPr>
            <w:tcW w:w="551" w:type="pct"/>
            <w:tcBorders>
              <w:top w:val="single" w:sz="4" w:space="0" w:color="auto"/>
              <w:left w:val="single" w:sz="4" w:space="0" w:color="auto"/>
              <w:bottom w:val="single" w:sz="4" w:space="0" w:color="auto"/>
              <w:right w:val="single" w:sz="4" w:space="0" w:color="auto"/>
            </w:tcBorders>
            <w:shd w:val="clear" w:color="auto" w:fill="8FCB7E"/>
            <w:vAlign w:val="center"/>
            <w:hideMark/>
          </w:tcPr>
          <w:p w14:paraId="2D6E641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92,00%</w:t>
            </w:r>
          </w:p>
        </w:tc>
        <w:tc>
          <w:tcPr>
            <w:tcW w:w="468" w:type="pct"/>
            <w:tcBorders>
              <w:top w:val="single" w:sz="4" w:space="0" w:color="auto"/>
              <w:left w:val="single" w:sz="4" w:space="0" w:color="auto"/>
              <w:bottom w:val="single" w:sz="4" w:space="0" w:color="auto"/>
              <w:right w:val="single" w:sz="4" w:space="0" w:color="auto"/>
            </w:tcBorders>
            <w:shd w:val="clear" w:color="auto" w:fill="D7E082"/>
            <w:vAlign w:val="center"/>
            <w:hideMark/>
          </w:tcPr>
          <w:p w14:paraId="7F01D94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64,70%</w:t>
            </w:r>
          </w:p>
        </w:tc>
        <w:tc>
          <w:tcPr>
            <w:tcW w:w="491" w:type="pct"/>
            <w:tcBorders>
              <w:top w:val="single" w:sz="4" w:space="0" w:color="auto"/>
              <w:left w:val="single" w:sz="4" w:space="0" w:color="auto"/>
              <w:bottom w:val="single" w:sz="4" w:space="0" w:color="auto"/>
              <w:right w:val="single" w:sz="4" w:space="0" w:color="auto"/>
            </w:tcBorders>
            <w:shd w:val="clear" w:color="auto" w:fill="FEE683"/>
            <w:vAlign w:val="center"/>
            <w:hideMark/>
          </w:tcPr>
          <w:p w14:paraId="04F8A73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57,10%</w:t>
            </w:r>
          </w:p>
        </w:tc>
      </w:tr>
      <w:tr w:rsidR="003F4CFF" w:rsidRPr="001127D6" w14:paraId="6E4A2C03"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26821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Венгеровский МР</w:t>
            </w:r>
          </w:p>
        </w:tc>
        <w:tc>
          <w:tcPr>
            <w:tcW w:w="520" w:type="pct"/>
            <w:tcBorders>
              <w:top w:val="single" w:sz="4" w:space="0" w:color="auto"/>
              <w:left w:val="single" w:sz="4" w:space="0" w:color="auto"/>
              <w:bottom w:val="single" w:sz="4" w:space="0" w:color="auto"/>
              <w:right w:val="single" w:sz="4" w:space="0" w:color="auto"/>
            </w:tcBorders>
            <w:shd w:val="clear" w:color="auto" w:fill="F98870"/>
            <w:vAlign w:val="center"/>
            <w:hideMark/>
          </w:tcPr>
          <w:p w14:paraId="5F5A02B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36,80%</w:t>
            </w:r>
          </w:p>
        </w:tc>
        <w:tc>
          <w:tcPr>
            <w:tcW w:w="497" w:type="pct"/>
            <w:tcBorders>
              <w:top w:val="single" w:sz="4" w:space="0" w:color="auto"/>
              <w:left w:val="single" w:sz="4" w:space="0" w:color="auto"/>
              <w:bottom w:val="single" w:sz="4" w:space="0" w:color="auto"/>
              <w:right w:val="single" w:sz="4" w:space="0" w:color="auto"/>
            </w:tcBorders>
            <w:shd w:val="clear" w:color="auto" w:fill="98CE7F"/>
            <w:vAlign w:val="center"/>
            <w:hideMark/>
          </w:tcPr>
          <w:p w14:paraId="1B2766E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92,80%</w:t>
            </w:r>
          </w:p>
        </w:tc>
        <w:tc>
          <w:tcPr>
            <w:tcW w:w="566" w:type="pct"/>
            <w:tcBorders>
              <w:top w:val="single" w:sz="4" w:space="0" w:color="auto"/>
              <w:left w:val="single" w:sz="4" w:space="0" w:color="auto"/>
              <w:bottom w:val="single" w:sz="4" w:space="0" w:color="auto"/>
              <w:right w:val="single" w:sz="4" w:space="0" w:color="auto"/>
            </w:tcBorders>
            <w:shd w:val="clear" w:color="auto" w:fill="F97D6E"/>
            <w:vAlign w:val="center"/>
            <w:hideMark/>
          </w:tcPr>
          <w:p w14:paraId="51A34A6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16,20%</w:t>
            </w:r>
          </w:p>
        </w:tc>
        <w:tc>
          <w:tcPr>
            <w:tcW w:w="497" w:type="pct"/>
            <w:tcBorders>
              <w:top w:val="single" w:sz="4" w:space="0" w:color="auto"/>
              <w:left w:val="single" w:sz="4" w:space="0" w:color="auto"/>
              <w:bottom w:val="single" w:sz="4" w:space="0" w:color="auto"/>
              <w:right w:val="single" w:sz="4" w:space="0" w:color="auto"/>
            </w:tcBorders>
            <w:shd w:val="clear" w:color="auto" w:fill="9FD07F"/>
            <w:vAlign w:val="center"/>
            <w:hideMark/>
          </w:tcPr>
          <w:p w14:paraId="006A9B9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91,90%</w:t>
            </w:r>
          </w:p>
        </w:tc>
        <w:tc>
          <w:tcPr>
            <w:tcW w:w="566" w:type="pct"/>
            <w:tcBorders>
              <w:top w:val="single" w:sz="4" w:space="0" w:color="auto"/>
              <w:left w:val="single" w:sz="4" w:space="0" w:color="auto"/>
              <w:bottom w:val="single" w:sz="4" w:space="0" w:color="auto"/>
              <w:right w:val="single" w:sz="4" w:space="0" w:color="auto"/>
            </w:tcBorders>
            <w:shd w:val="clear" w:color="auto" w:fill="FBA776"/>
            <w:vAlign w:val="center"/>
            <w:hideMark/>
          </w:tcPr>
          <w:p w14:paraId="14DF32C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35,50%</w:t>
            </w:r>
          </w:p>
        </w:tc>
        <w:tc>
          <w:tcPr>
            <w:tcW w:w="551" w:type="pct"/>
            <w:tcBorders>
              <w:top w:val="single" w:sz="4" w:space="0" w:color="auto"/>
              <w:left w:val="single" w:sz="4" w:space="0" w:color="auto"/>
              <w:bottom w:val="single" w:sz="4" w:space="0" w:color="auto"/>
              <w:right w:val="single" w:sz="4" w:space="0" w:color="auto"/>
            </w:tcBorders>
            <w:shd w:val="clear" w:color="auto" w:fill="88C97E"/>
            <w:vAlign w:val="center"/>
            <w:hideMark/>
          </w:tcPr>
          <w:p w14:paraId="51AC47C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92,90%</w:t>
            </w:r>
          </w:p>
        </w:tc>
        <w:tc>
          <w:tcPr>
            <w:tcW w:w="468" w:type="pct"/>
            <w:tcBorders>
              <w:top w:val="single" w:sz="4" w:space="0" w:color="auto"/>
              <w:left w:val="single" w:sz="4" w:space="0" w:color="auto"/>
              <w:bottom w:val="single" w:sz="4" w:space="0" w:color="auto"/>
              <w:right w:val="single" w:sz="4" w:space="0" w:color="auto"/>
            </w:tcBorders>
            <w:shd w:val="clear" w:color="auto" w:fill="FDC67D"/>
            <w:vAlign w:val="center"/>
            <w:hideMark/>
          </w:tcPr>
          <w:p w14:paraId="594B4F5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42,60%</w:t>
            </w:r>
          </w:p>
        </w:tc>
        <w:tc>
          <w:tcPr>
            <w:tcW w:w="491" w:type="pct"/>
            <w:tcBorders>
              <w:top w:val="single" w:sz="4" w:space="0" w:color="auto"/>
              <w:left w:val="single" w:sz="4" w:space="0" w:color="auto"/>
              <w:bottom w:val="single" w:sz="4" w:space="0" w:color="auto"/>
              <w:right w:val="single" w:sz="4" w:space="0" w:color="auto"/>
            </w:tcBorders>
            <w:shd w:val="clear" w:color="auto" w:fill="90CB7E"/>
            <w:vAlign w:val="center"/>
            <w:hideMark/>
          </w:tcPr>
          <w:p w14:paraId="392F7FE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82,10%</w:t>
            </w:r>
          </w:p>
        </w:tc>
      </w:tr>
      <w:tr w:rsidR="003F4CFF" w:rsidRPr="001127D6" w14:paraId="056BF61E"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87554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Доволенский МР</w:t>
            </w:r>
          </w:p>
        </w:tc>
        <w:tc>
          <w:tcPr>
            <w:tcW w:w="520" w:type="pct"/>
            <w:tcBorders>
              <w:top w:val="single" w:sz="4" w:space="0" w:color="auto"/>
              <w:left w:val="single" w:sz="4" w:space="0" w:color="auto"/>
              <w:bottom w:val="single" w:sz="4" w:space="0" w:color="auto"/>
              <w:right w:val="single" w:sz="4" w:space="0" w:color="auto"/>
            </w:tcBorders>
            <w:shd w:val="clear" w:color="auto" w:fill="C7DB81"/>
            <w:vAlign w:val="center"/>
            <w:hideMark/>
          </w:tcPr>
          <w:p w14:paraId="18DFEEC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73,80%</w:t>
            </w:r>
          </w:p>
        </w:tc>
        <w:tc>
          <w:tcPr>
            <w:tcW w:w="497" w:type="pct"/>
            <w:tcBorders>
              <w:top w:val="single" w:sz="4" w:space="0" w:color="auto"/>
              <w:left w:val="single" w:sz="4" w:space="0" w:color="auto"/>
              <w:bottom w:val="single" w:sz="4" w:space="0" w:color="auto"/>
              <w:right w:val="single" w:sz="4" w:space="0" w:color="auto"/>
            </w:tcBorders>
            <w:shd w:val="clear" w:color="auto" w:fill="FA9373"/>
            <w:vAlign w:val="center"/>
            <w:hideMark/>
          </w:tcPr>
          <w:p w14:paraId="61D8C5B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60,30%</w:t>
            </w:r>
          </w:p>
        </w:tc>
        <w:tc>
          <w:tcPr>
            <w:tcW w:w="566" w:type="pct"/>
            <w:tcBorders>
              <w:top w:val="single" w:sz="4" w:space="0" w:color="auto"/>
              <w:left w:val="single" w:sz="4" w:space="0" w:color="auto"/>
              <w:bottom w:val="single" w:sz="4" w:space="0" w:color="auto"/>
              <w:right w:val="single" w:sz="4" w:space="0" w:color="auto"/>
            </w:tcBorders>
            <w:shd w:val="clear" w:color="auto" w:fill="FDD57F"/>
            <w:vAlign w:val="center"/>
            <w:hideMark/>
          </w:tcPr>
          <w:p w14:paraId="542549B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48,60%</w:t>
            </w:r>
          </w:p>
        </w:tc>
        <w:tc>
          <w:tcPr>
            <w:tcW w:w="497" w:type="pct"/>
            <w:tcBorders>
              <w:top w:val="single" w:sz="4" w:space="0" w:color="auto"/>
              <w:left w:val="single" w:sz="4" w:space="0" w:color="auto"/>
              <w:bottom w:val="single" w:sz="4" w:space="0" w:color="auto"/>
              <w:right w:val="single" w:sz="4" w:space="0" w:color="auto"/>
            </w:tcBorders>
            <w:shd w:val="clear" w:color="auto" w:fill="FBA977"/>
            <w:vAlign w:val="center"/>
            <w:hideMark/>
          </w:tcPr>
          <w:p w14:paraId="35896AE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47,10%</w:t>
            </w:r>
          </w:p>
        </w:tc>
        <w:tc>
          <w:tcPr>
            <w:tcW w:w="566" w:type="pct"/>
            <w:tcBorders>
              <w:top w:val="single" w:sz="4" w:space="0" w:color="auto"/>
              <w:left w:val="single" w:sz="4" w:space="0" w:color="auto"/>
              <w:bottom w:val="single" w:sz="4" w:space="0" w:color="auto"/>
              <w:right w:val="single" w:sz="4" w:space="0" w:color="auto"/>
            </w:tcBorders>
            <w:shd w:val="clear" w:color="auto" w:fill="FFEB84"/>
            <w:vAlign w:val="center"/>
            <w:hideMark/>
          </w:tcPr>
          <w:p w14:paraId="73D660E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51,10%</w:t>
            </w:r>
          </w:p>
        </w:tc>
        <w:tc>
          <w:tcPr>
            <w:tcW w:w="551" w:type="pct"/>
            <w:tcBorders>
              <w:top w:val="single" w:sz="4" w:space="0" w:color="auto"/>
              <w:left w:val="single" w:sz="4" w:space="0" w:color="auto"/>
              <w:bottom w:val="single" w:sz="4" w:space="0" w:color="auto"/>
              <w:right w:val="single" w:sz="4" w:space="0" w:color="auto"/>
            </w:tcBorders>
            <w:shd w:val="clear" w:color="auto" w:fill="C3DA81"/>
            <w:vAlign w:val="center"/>
            <w:hideMark/>
          </w:tcPr>
          <w:p w14:paraId="025060F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85,40%</w:t>
            </w:r>
          </w:p>
        </w:tc>
        <w:tc>
          <w:tcPr>
            <w:tcW w:w="468" w:type="pct"/>
            <w:tcBorders>
              <w:top w:val="single" w:sz="4" w:space="0" w:color="auto"/>
              <w:left w:val="single" w:sz="4" w:space="0" w:color="auto"/>
              <w:bottom w:val="single" w:sz="4" w:space="0" w:color="auto"/>
              <w:right w:val="single" w:sz="4" w:space="0" w:color="auto"/>
            </w:tcBorders>
            <w:shd w:val="clear" w:color="auto" w:fill="BDD881"/>
            <w:vAlign w:val="center"/>
            <w:hideMark/>
          </w:tcPr>
          <w:p w14:paraId="60A50F6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70,80%</w:t>
            </w:r>
          </w:p>
        </w:tc>
        <w:tc>
          <w:tcPr>
            <w:tcW w:w="491" w:type="pct"/>
            <w:tcBorders>
              <w:top w:val="single" w:sz="4" w:space="0" w:color="auto"/>
              <w:left w:val="single" w:sz="4" w:space="0" w:color="auto"/>
              <w:bottom w:val="single" w:sz="4" w:space="0" w:color="auto"/>
              <w:right w:val="single" w:sz="4" w:space="0" w:color="auto"/>
            </w:tcBorders>
            <w:shd w:val="clear" w:color="auto" w:fill="FDD57F"/>
            <w:vAlign w:val="center"/>
            <w:hideMark/>
          </w:tcPr>
          <w:p w14:paraId="374C4E7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50,80%</w:t>
            </w:r>
          </w:p>
        </w:tc>
      </w:tr>
      <w:tr w:rsidR="003F4CFF" w:rsidRPr="001127D6" w14:paraId="235EBD99"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CD952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Здвинский МР</w:t>
            </w:r>
          </w:p>
        </w:tc>
        <w:tc>
          <w:tcPr>
            <w:tcW w:w="520" w:type="pct"/>
            <w:tcBorders>
              <w:top w:val="single" w:sz="4" w:space="0" w:color="auto"/>
              <w:left w:val="single" w:sz="4" w:space="0" w:color="auto"/>
              <w:bottom w:val="single" w:sz="4" w:space="0" w:color="auto"/>
              <w:right w:val="single" w:sz="4" w:space="0" w:color="auto"/>
            </w:tcBorders>
            <w:shd w:val="clear" w:color="auto" w:fill="A0D07F"/>
            <w:vAlign w:val="center"/>
            <w:hideMark/>
          </w:tcPr>
          <w:p w14:paraId="7EE07C4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82,90%</w:t>
            </w:r>
          </w:p>
        </w:tc>
        <w:tc>
          <w:tcPr>
            <w:tcW w:w="497" w:type="pct"/>
            <w:tcBorders>
              <w:top w:val="single" w:sz="4" w:space="0" w:color="auto"/>
              <w:left w:val="single" w:sz="4" w:space="0" w:color="auto"/>
              <w:bottom w:val="single" w:sz="4" w:space="0" w:color="auto"/>
              <w:right w:val="single" w:sz="4" w:space="0" w:color="auto"/>
            </w:tcBorders>
            <w:shd w:val="clear" w:color="auto" w:fill="97CD7E"/>
            <w:vAlign w:val="center"/>
            <w:hideMark/>
          </w:tcPr>
          <w:p w14:paraId="050C414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92,90%</w:t>
            </w:r>
          </w:p>
        </w:tc>
        <w:tc>
          <w:tcPr>
            <w:tcW w:w="566" w:type="pct"/>
            <w:tcBorders>
              <w:top w:val="single" w:sz="4" w:space="0" w:color="auto"/>
              <w:left w:val="single" w:sz="4" w:space="0" w:color="auto"/>
              <w:bottom w:val="single" w:sz="4" w:space="0" w:color="auto"/>
              <w:right w:val="single" w:sz="4" w:space="0" w:color="auto"/>
            </w:tcBorders>
            <w:shd w:val="clear" w:color="auto" w:fill="97CD7E"/>
            <w:vAlign w:val="center"/>
            <w:hideMark/>
          </w:tcPr>
          <w:p w14:paraId="42301A8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82,00%</w:t>
            </w:r>
          </w:p>
        </w:tc>
        <w:tc>
          <w:tcPr>
            <w:tcW w:w="497" w:type="pct"/>
            <w:tcBorders>
              <w:top w:val="single" w:sz="4" w:space="0" w:color="auto"/>
              <w:left w:val="single" w:sz="4" w:space="0" w:color="auto"/>
              <w:bottom w:val="single" w:sz="4" w:space="0" w:color="auto"/>
              <w:right w:val="single" w:sz="4" w:space="0" w:color="auto"/>
            </w:tcBorders>
            <w:shd w:val="clear" w:color="auto" w:fill="90CB7E"/>
            <w:vAlign w:val="center"/>
            <w:hideMark/>
          </w:tcPr>
          <w:p w14:paraId="4A76848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94,00%</w:t>
            </w:r>
          </w:p>
        </w:tc>
        <w:tc>
          <w:tcPr>
            <w:tcW w:w="566" w:type="pct"/>
            <w:tcBorders>
              <w:top w:val="single" w:sz="4" w:space="0" w:color="auto"/>
              <w:left w:val="single" w:sz="4" w:space="0" w:color="auto"/>
              <w:bottom w:val="single" w:sz="4" w:space="0" w:color="auto"/>
              <w:right w:val="single" w:sz="4" w:space="0" w:color="auto"/>
            </w:tcBorders>
            <w:shd w:val="clear" w:color="auto" w:fill="71C37C"/>
            <w:vAlign w:val="center"/>
            <w:hideMark/>
          </w:tcPr>
          <w:p w14:paraId="3FC841C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87,80%</w:t>
            </w:r>
          </w:p>
        </w:tc>
        <w:tc>
          <w:tcPr>
            <w:tcW w:w="551" w:type="pct"/>
            <w:tcBorders>
              <w:top w:val="single" w:sz="4" w:space="0" w:color="auto"/>
              <w:left w:val="single" w:sz="4" w:space="0" w:color="auto"/>
              <w:bottom w:val="single" w:sz="4" w:space="0" w:color="auto"/>
              <w:right w:val="single" w:sz="4" w:space="0" w:color="auto"/>
            </w:tcBorders>
            <w:shd w:val="clear" w:color="auto" w:fill="63BE7B"/>
            <w:vAlign w:val="center"/>
            <w:hideMark/>
          </w:tcPr>
          <w:p w14:paraId="00907BB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97,60%</w:t>
            </w:r>
          </w:p>
        </w:tc>
        <w:tc>
          <w:tcPr>
            <w:tcW w:w="468" w:type="pct"/>
            <w:tcBorders>
              <w:top w:val="single" w:sz="4" w:space="0" w:color="auto"/>
              <w:left w:val="single" w:sz="4" w:space="0" w:color="auto"/>
              <w:bottom w:val="single" w:sz="4" w:space="0" w:color="auto"/>
              <w:right w:val="single" w:sz="4" w:space="0" w:color="auto"/>
            </w:tcBorders>
            <w:shd w:val="clear" w:color="auto" w:fill="8FCB7E"/>
            <w:vAlign w:val="center"/>
            <w:hideMark/>
          </w:tcPr>
          <w:p w14:paraId="41E6B7B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81,40%</w:t>
            </w:r>
          </w:p>
        </w:tc>
        <w:tc>
          <w:tcPr>
            <w:tcW w:w="491" w:type="pct"/>
            <w:tcBorders>
              <w:top w:val="single" w:sz="4" w:space="0" w:color="auto"/>
              <w:left w:val="single" w:sz="4" w:space="0" w:color="auto"/>
              <w:bottom w:val="single" w:sz="4" w:space="0" w:color="auto"/>
              <w:right w:val="single" w:sz="4" w:space="0" w:color="auto"/>
            </w:tcBorders>
            <w:shd w:val="clear" w:color="auto" w:fill="9ACE7F"/>
            <w:vAlign w:val="center"/>
            <w:hideMark/>
          </w:tcPr>
          <w:p w14:paraId="4B2346C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80,00%</w:t>
            </w:r>
          </w:p>
        </w:tc>
      </w:tr>
      <w:tr w:rsidR="003F4CFF" w:rsidRPr="001127D6" w14:paraId="5501A65A"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9C5BB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Искитимский МР</w:t>
            </w:r>
          </w:p>
        </w:tc>
        <w:tc>
          <w:tcPr>
            <w:tcW w:w="520" w:type="pct"/>
            <w:tcBorders>
              <w:top w:val="single" w:sz="4" w:space="0" w:color="auto"/>
              <w:left w:val="single" w:sz="4" w:space="0" w:color="auto"/>
              <w:bottom w:val="single" w:sz="4" w:space="0" w:color="auto"/>
              <w:right w:val="single" w:sz="4" w:space="0" w:color="auto"/>
            </w:tcBorders>
            <w:shd w:val="clear" w:color="auto" w:fill="FCB87A"/>
            <w:vAlign w:val="center"/>
            <w:hideMark/>
          </w:tcPr>
          <w:p w14:paraId="7D78549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48,50%</w:t>
            </w:r>
          </w:p>
        </w:tc>
        <w:tc>
          <w:tcPr>
            <w:tcW w:w="497" w:type="pct"/>
            <w:tcBorders>
              <w:top w:val="single" w:sz="4" w:space="0" w:color="auto"/>
              <w:left w:val="single" w:sz="4" w:space="0" w:color="auto"/>
              <w:bottom w:val="single" w:sz="4" w:space="0" w:color="auto"/>
              <w:right w:val="single" w:sz="4" w:space="0" w:color="auto"/>
            </w:tcBorders>
            <w:shd w:val="clear" w:color="auto" w:fill="FEE883"/>
            <w:vAlign w:val="center"/>
            <w:hideMark/>
          </w:tcPr>
          <w:p w14:paraId="0C5263D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80,90%</w:t>
            </w:r>
          </w:p>
        </w:tc>
        <w:tc>
          <w:tcPr>
            <w:tcW w:w="566" w:type="pct"/>
            <w:tcBorders>
              <w:top w:val="single" w:sz="4" w:space="0" w:color="auto"/>
              <w:left w:val="single" w:sz="4" w:space="0" w:color="auto"/>
              <w:bottom w:val="single" w:sz="4" w:space="0" w:color="auto"/>
              <w:right w:val="single" w:sz="4" w:space="0" w:color="auto"/>
            </w:tcBorders>
            <w:shd w:val="clear" w:color="auto" w:fill="FCC47C"/>
            <w:vAlign w:val="center"/>
            <w:hideMark/>
          </w:tcPr>
          <w:p w14:paraId="4FCD55D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42,10%</w:t>
            </w:r>
          </w:p>
        </w:tc>
        <w:tc>
          <w:tcPr>
            <w:tcW w:w="497" w:type="pct"/>
            <w:tcBorders>
              <w:top w:val="single" w:sz="4" w:space="0" w:color="auto"/>
              <w:left w:val="single" w:sz="4" w:space="0" w:color="auto"/>
              <w:bottom w:val="single" w:sz="4" w:space="0" w:color="auto"/>
              <w:right w:val="single" w:sz="4" w:space="0" w:color="auto"/>
            </w:tcBorders>
            <w:shd w:val="clear" w:color="auto" w:fill="B1D580"/>
            <w:vAlign w:val="center"/>
            <w:hideMark/>
          </w:tcPr>
          <w:p w14:paraId="136238E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89,50%</w:t>
            </w:r>
          </w:p>
        </w:tc>
        <w:tc>
          <w:tcPr>
            <w:tcW w:w="566" w:type="pct"/>
            <w:tcBorders>
              <w:top w:val="single" w:sz="4" w:space="0" w:color="auto"/>
              <w:left w:val="single" w:sz="4" w:space="0" w:color="auto"/>
              <w:bottom w:val="single" w:sz="4" w:space="0" w:color="auto"/>
              <w:right w:val="single" w:sz="4" w:space="0" w:color="auto"/>
            </w:tcBorders>
            <w:shd w:val="clear" w:color="auto" w:fill="F9806F"/>
            <w:vAlign w:val="center"/>
            <w:hideMark/>
          </w:tcPr>
          <w:p w14:paraId="3A2DA0B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26,50%</w:t>
            </w:r>
          </w:p>
        </w:tc>
        <w:tc>
          <w:tcPr>
            <w:tcW w:w="551" w:type="pct"/>
            <w:tcBorders>
              <w:top w:val="single" w:sz="4" w:space="0" w:color="auto"/>
              <w:left w:val="single" w:sz="4" w:space="0" w:color="auto"/>
              <w:bottom w:val="single" w:sz="4" w:space="0" w:color="auto"/>
              <w:right w:val="single" w:sz="4" w:space="0" w:color="auto"/>
            </w:tcBorders>
            <w:shd w:val="clear" w:color="auto" w:fill="E9E583"/>
            <w:vAlign w:val="center"/>
            <w:hideMark/>
          </w:tcPr>
          <w:p w14:paraId="037AE85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80,60%</w:t>
            </w:r>
          </w:p>
        </w:tc>
        <w:tc>
          <w:tcPr>
            <w:tcW w:w="468" w:type="pct"/>
            <w:tcBorders>
              <w:top w:val="single" w:sz="4" w:space="0" w:color="auto"/>
              <w:left w:val="single" w:sz="4" w:space="0" w:color="auto"/>
              <w:bottom w:val="single" w:sz="4" w:space="0" w:color="auto"/>
              <w:right w:val="single" w:sz="4" w:space="0" w:color="auto"/>
            </w:tcBorders>
            <w:shd w:val="clear" w:color="auto" w:fill="FA9573"/>
            <w:vAlign w:val="center"/>
            <w:hideMark/>
          </w:tcPr>
          <w:p w14:paraId="1D3122D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25,00%</w:t>
            </w:r>
          </w:p>
        </w:tc>
        <w:tc>
          <w:tcPr>
            <w:tcW w:w="491" w:type="pct"/>
            <w:tcBorders>
              <w:top w:val="single" w:sz="4" w:space="0" w:color="auto"/>
              <w:left w:val="single" w:sz="4" w:space="0" w:color="auto"/>
              <w:bottom w:val="single" w:sz="4" w:space="0" w:color="auto"/>
              <w:right w:val="single" w:sz="4" w:space="0" w:color="auto"/>
            </w:tcBorders>
            <w:shd w:val="clear" w:color="auto" w:fill="FAA075"/>
            <w:vAlign w:val="center"/>
            <w:hideMark/>
          </w:tcPr>
          <w:p w14:paraId="01131B0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30,90%</w:t>
            </w:r>
          </w:p>
        </w:tc>
      </w:tr>
      <w:tr w:rsidR="003F4CFF" w:rsidRPr="001127D6" w14:paraId="2ADD30DA"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57A25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Карасукский МР</w:t>
            </w:r>
          </w:p>
        </w:tc>
        <w:tc>
          <w:tcPr>
            <w:tcW w:w="520" w:type="pct"/>
            <w:tcBorders>
              <w:top w:val="single" w:sz="4" w:space="0" w:color="auto"/>
              <w:left w:val="single" w:sz="4" w:space="0" w:color="auto"/>
              <w:bottom w:val="single" w:sz="4" w:space="0" w:color="auto"/>
              <w:right w:val="single" w:sz="4" w:space="0" w:color="auto"/>
            </w:tcBorders>
            <w:shd w:val="clear" w:color="auto" w:fill="D8E082"/>
            <w:vAlign w:val="center"/>
            <w:hideMark/>
          </w:tcPr>
          <w:p w14:paraId="2BFC9CA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70,00%</w:t>
            </w:r>
          </w:p>
        </w:tc>
        <w:tc>
          <w:tcPr>
            <w:tcW w:w="497" w:type="pct"/>
            <w:tcBorders>
              <w:top w:val="single" w:sz="4" w:space="0" w:color="auto"/>
              <w:left w:val="single" w:sz="4" w:space="0" w:color="auto"/>
              <w:bottom w:val="single" w:sz="4" w:space="0" w:color="auto"/>
              <w:right w:val="single" w:sz="4" w:space="0" w:color="auto"/>
            </w:tcBorders>
            <w:shd w:val="clear" w:color="auto" w:fill="FCB579"/>
            <w:vAlign w:val="center"/>
            <w:hideMark/>
          </w:tcPr>
          <w:p w14:paraId="1512AED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68,60%</w:t>
            </w:r>
          </w:p>
        </w:tc>
        <w:tc>
          <w:tcPr>
            <w:tcW w:w="566" w:type="pct"/>
            <w:tcBorders>
              <w:top w:val="single" w:sz="4" w:space="0" w:color="auto"/>
              <w:left w:val="single" w:sz="4" w:space="0" w:color="auto"/>
              <w:bottom w:val="single" w:sz="4" w:space="0" w:color="auto"/>
              <w:right w:val="single" w:sz="4" w:space="0" w:color="auto"/>
            </w:tcBorders>
            <w:shd w:val="clear" w:color="auto" w:fill="FDCF7E"/>
            <w:vAlign w:val="center"/>
            <w:hideMark/>
          </w:tcPr>
          <w:p w14:paraId="08C9ADA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46,20%</w:t>
            </w:r>
          </w:p>
        </w:tc>
        <w:tc>
          <w:tcPr>
            <w:tcW w:w="497" w:type="pct"/>
            <w:tcBorders>
              <w:top w:val="single" w:sz="4" w:space="0" w:color="auto"/>
              <w:left w:val="single" w:sz="4" w:space="0" w:color="auto"/>
              <w:bottom w:val="single" w:sz="4" w:space="0" w:color="auto"/>
              <w:right w:val="single" w:sz="4" w:space="0" w:color="auto"/>
            </w:tcBorders>
            <w:shd w:val="clear" w:color="auto" w:fill="F1E784"/>
            <w:vAlign w:val="center"/>
            <w:hideMark/>
          </w:tcPr>
          <w:p w14:paraId="3C184AD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80,80%</w:t>
            </w:r>
          </w:p>
        </w:tc>
        <w:tc>
          <w:tcPr>
            <w:tcW w:w="566" w:type="pct"/>
            <w:tcBorders>
              <w:top w:val="single" w:sz="4" w:space="0" w:color="auto"/>
              <w:left w:val="single" w:sz="4" w:space="0" w:color="auto"/>
              <w:bottom w:val="single" w:sz="4" w:space="0" w:color="auto"/>
              <w:right w:val="single" w:sz="4" w:space="0" w:color="auto"/>
            </w:tcBorders>
            <w:shd w:val="clear" w:color="auto" w:fill="E4E483"/>
            <w:vAlign w:val="center"/>
            <w:hideMark/>
          </w:tcPr>
          <w:p w14:paraId="0AFD070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58,10%</w:t>
            </w:r>
          </w:p>
        </w:tc>
        <w:tc>
          <w:tcPr>
            <w:tcW w:w="551" w:type="pct"/>
            <w:tcBorders>
              <w:top w:val="single" w:sz="4" w:space="0" w:color="auto"/>
              <w:left w:val="single" w:sz="4" w:space="0" w:color="auto"/>
              <w:bottom w:val="single" w:sz="4" w:space="0" w:color="auto"/>
              <w:right w:val="single" w:sz="4" w:space="0" w:color="auto"/>
            </w:tcBorders>
            <w:shd w:val="clear" w:color="auto" w:fill="9ACE7F"/>
            <w:vAlign w:val="center"/>
            <w:hideMark/>
          </w:tcPr>
          <w:p w14:paraId="2802A1D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90,70%</w:t>
            </w:r>
          </w:p>
        </w:tc>
        <w:tc>
          <w:tcPr>
            <w:tcW w:w="468" w:type="pct"/>
            <w:tcBorders>
              <w:top w:val="single" w:sz="4" w:space="0" w:color="auto"/>
              <w:left w:val="single" w:sz="4" w:space="0" w:color="auto"/>
              <w:bottom w:val="single" w:sz="4" w:space="0" w:color="auto"/>
              <w:right w:val="single" w:sz="4" w:space="0" w:color="auto"/>
            </w:tcBorders>
            <w:shd w:val="clear" w:color="auto" w:fill="FEE683"/>
            <w:vAlign w:val="center"/>
            <w:hideMark/>
          </w:tcPr>
          <w:p w14:paraId="0807348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53,80%</w:t>
            </w:r>
          </w:p>
        </w:tc>
        <w:tc>
          <w:tcPr>
            <w:tcW w:w="491" w:type="pct"/>
            <w:tcBorders>
              <w:top w:val="single" w:sz="4" w:space="0" w:color="auto"/>
              <w:left w:val="single" w:sz="4" w:space="0" w:color="auto"/>
              <w:bottom w:val="single" w:sz="4" w:space="0" w:color="auto"/>
              <w:right w:val="single" w:sz="4" w:space="0" w:color="auto"/>
            </w:tcBorders>
            <w:shd w:val="clear" w:color="auto" w:fill="FEE282"/>
            <w:vAlign w:val="center"/>
            <w:hideMark/>
          </w:tcPr>
          <w:p w14:paraId="177627A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55,70%</w:t>
            </w:r>
          </w:p>
        </w:tc>
      </w:tr>
      <w:tr w:rsidR="003F4CFF" w:rsidRPr="001127D6" w14:paraId="2B25039F"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A7F19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Каргатский МР</w:t>
            </w:r>
          </w:p>
        </w:tc>
        <w:tc>
          <w:tcPr>
            <w:tcW w:w="520" w:type="pct"/>
            <w:tcBorders>
              <w:top w:val="single" w:sz="4" w:space="0" w:color="auto"/>
              <w:left w:val="single" w:sz="4" w:space="0" w:color="auto"/>
              <w:bottom w:val="single" w:sz="4" w:space="0" w:color="auto"/>
              <w:right w:val="single" w:sz="4" w:space="0" w:color="auto"/>
            </w:tcBorders>
            <w:shd w:val="clear" w:color="auto" w:fill="F7E984"/>
            <w:vAlign w:val="center"/>
            <w:hideMark/>
          </w:tcPr>
          <w:p w14:paraId="7FEBF1E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62,70%</w:t>
            </w:r>
          </w:p>
        </w:tc>
        <w:tc>
          <w:tcPr>
            <w:tcW w:w="497" w:type="pct"/>
            <w:tcBorders>
              <w:top w:val="single" w:sz="4" w:space="0" w:color="auto"/>
              <w:left w:val="single" w:sz="4" w:space="0" w:color="auto"/>
              <w:bottom w:val="single" w:sz="4" w:space="0" w:color="auto"/>
              <w:right w:val="single" w:sz="4" w:space="0" w:color="auto"/>
            </w:tcBorders>
            <w:shd w:val="clear" w:color="auto" w:fill="BED981"/>
            <w:vAlign w:val="center"/>
            <w:hideMark/>
          </w:tcPr>
          <w:p w14:paraId="19AB8EF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88,60%</w:t>
            </w:r>
          </w:p>
        </w:tc>
        <w:tc>
          <w:tcPr>
            <w:tcW w:w="566" w:type="pct"/>
            <w:tcBorders>
              <w:top w:val="single" w:sz="4" w:space="0" w:color="auto"/>
              <w:left w:val="single" w:sz="4" w:space="0" w:color="auto"/>
              <w:bottom w:val="single" w:sz="4" w:space="0" w:color="auto"/>
              <w:right w:val="single" w:sz="4" w:space="0" w:color="auto"/>
            </w:tcBorders>
            <w:shd w:val="clear" w:color="auto" w:fill="FDCE7E"/>
            <w:vAlign w:val="center"/>
            <w:hideMark/>
          </w:tcPr>
          <w:p w14:paraId="6598BA7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46,00%</w:t>
            </w:r>
          </w:p>
        </w:tc>
        <w:tc>
          <w:tcPr>
            <w:tcW w:w="497" w:type="pct"/>
            <w:tcBorders>
              <w:top w:val="single" w:sz="4" w:space="0" w:color="auto"/>
              <w:left w:val="single" w:sz="4" w:space="0" w:color="auto"/>
              <w:bottom w:val="single" w:sz="4" w:space="0" w:color="auto"/>
              <w:right w:val="single" w:sz="4" w:space="0" w:color="auto"/>
            </w:tcBorders>
            <w:shd w:val="clear" w:color="auto" w:fill="63BE7B"/>
            <w:vAlign w:val="center"/>
            <w:hideMark/>
          </w:tcPr>
          <w:p w14:paraId="2F35BF5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100,00%</w:t>
            </w:r>
          </w:p>
        </w:tc>
        <w:tc>
          <w:tcPr>
            <w:tcW w:w="566" w:type="pct"/>
            <w:tcBorders>
              <w:top w:val="single" w:sz="4" w:space="0" w:color="auto"/>
              <w:left w:val="single" w:sz="4" w:space="0" w:color="auto"/>
              <w:bottom w:val="single" w:sz="4" w:space="0" w:color="auto"/>
              <w:right w:val="single" w:sz="4" w:space="0" w:color="auto"/>
            </w:tcBorders>
            <w:shd w:val="clear" w:color="auto" w:fill="F86F6C"/>
            <w:vAlign w:val="center"/>
            <w:hideMark/>
          </w:tcPr>
          <w:p w14:paraId="3BFB611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22,70%</w:t>
            </w:r>
          </w:p>
        </w:tc>
        <w:tc>
          <w:tcPr>
            <w:tcW w:w="551" w:type="pct"/>
            <w:tcBorders>
              <w:top w:val="single" w:sz="4" w:space="0" w:color="auto"/>
              <w:left w:val="single" w:sz="4" w:space="0" w:color="auto"/>
              <w:bottom w:val="single" w:sz="4" w:space="0" w:color="auto"/>
              <w:right w:val="single" w:sz="4" w:space="0" w:color="auto"/>
            </w:tcBorders>
            <w:shd w:val="clear" w:color="auto" w:fill="DFE283"/>
            <w:vAlign w:val="center"/>
            <w:hideMark/>
          </w:tcPr>
          <w:p w14:paraId="35C7ED4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81,80%</w:t>
            </w:r>
          </w:p>
        </w:tc>
        <w:tc>
          <w:tcPr>
            <w:tcW w:w="468" w:type="pct"/>
            <w:tcBorders>
              <w:top w:val="single" w:sz="4" w:space="0" w:color="auto"/>
              <w:left w:val="single" w:sz="4" w:space="0" w:color="auto"/>
              <w:bottom w:val="single" w:sz="4" w:space="0" w:color="auto"/>
              <w:right w:val="single" w:sz="4" w:space="0" w:color="auto"/>
            </w:tcBorders>
            <w:shd w:val="clear" w:color="auto" w:fill="ABD380"/>
            <w:vAlign w:val="center"/>
            <w:hideMark/>
          </w:tcPr>
          <w:p w14:paraId="51E641F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75,00%</w:t>
            </w:r>
          </w:p>
        </w:tc>
        <w:tc>
          <w:tcPr>
            <w:tcW w:w="491" w:type="pct"/>
            <w:tcBorders>
              <w:top w:val="single" w:sz="4" w:space="0" w:color="auto"/>
              <w:left w:val="single" w:sz="4" w:space="0" w:color="auto"/>
              <w:bottom w:val="single" w:sz="4" w:space="0" w:color="auto"/>
              <w:right w:val="single" w:sz="4" w:space="0" w:color="auto"/>
            </w:tcBorders>
            <w:shd w:val="clear" w:color="auto" w:fill="FEEA83"/>
            <w:vAlign w:val="center"/>
            <w:hideMark/>
          </w:tcPr>
          <w:p w14:paraId="097D68A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58,70%</w:t>
            </w:r>
          </w:p>
        </w:tc>
      </w:tr>
      <w:tr w:rsidR="003F4CFF" w:rsidRPr="001127D6" w14:paraId="4063426C"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08B7A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Колыванский МР</w:t>
            </w:r>
          </w:p>
        </w:tc>
        <w:tc>
          <w:tcPr>
            <w:tcW w:w="520" w:type="pct"/>
            <w:tcBorders>
              <w:top w:val="single" w:sz="4" w:space="0" w:color="auto"/>
              <w:left w:val="single" w:sz="4" w:space="0" w:color="auto"/>
              <w:bottom w:val="single" w:sz="4" w:space="0" w:color="auto"/>
              <w:right w:val="single" w:sz="4" w:space="0" w:color="auto"/>
            </w:tcBorders>
            <w:shd w:val="clear" w:color="auto" w:fill="FEDC81"/>
            <w:vAlign w:val="center"/>
            <w:hideMark/>
          </w:tcPr>
          <w:p w14:paraId="5779CFF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57,10%</w:t>
            </w:r>
          </w:p>
        </w:tc>
        <w:tc>
          <w:tcPr>
            <w:tcW w:w="497" w:type="pct"/>
            <w:tcBorders>
              <w:top w:val="single" w:sz="4" w:space="0" w:color="auto"/>
              <w:left w:val="single" w:sz="4" w:space="0" w:color="auto"/>
              <w:bottom w:val="single" w:sz="4" w:space="0" w:color="auto"/>
              <w:right w:val="single" w:sz="4" w:space="0" w:color="auto"/>
            </w:tcBorders>
            <w:shd w:val="clear" w:color="auto" w:fill="FDC77D"/>
            <w:vAlign w:val="center"/>
            <w:hideMark/>
          </w:tcPr>
          <w:p w14:paraId="772D0CB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72,90%</w:t>
            </w:r>
          </w:p>
        </w:tc>
        <w:tc>
          <w:tcPr>
            <w:tcW w:w="566" w:type="pct"/>
            <w:tcBorders>
              <w:top w:val="single" w:sz="4" w:space="0" w:color="auto"/>
              <w:left w:val="single" w:sz="4" w:space="0" w:color="auto"/>
              <w:bottom w:val="single" w:sz="4" w:space="0" w:color="auto"/>
              <w:right w:val="single" w:sz="4" w:space="0" w:color="auto"/>
            </w:tcBorders>
            <w:shd w:val="clear" w:color="auto" w:fill="CBDC81"/>
            <w:vAlign w:val="center"/>
            <w:hideMark/>
          </w:tcPr>
          <w:p w14:paraId="164D2F8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69,40%</w:t>
            </w:r>
          </w:p>
        </w:tc>
        <w:tc>
          <w:tcPr>
            <w:tcW w:w="497" w:type="pct"/>
            <w:tcBorders>
              <w:top w:val="single" w:sz="4" w:space="0" w:color="auto"/>
              <w:left w:val="single" w:sz="4" w:space="0" w:color="auto"/>
              <w:bottom w:val="single" w:sz="4" w:space="0" w:color="auto"/>
              <w:right w:val="single" w:sz="4" w:space="0" w:color="auto"/>
            </w:tcBorders>
            <w:shd w:val="clear" w:color="auto" w:fill="8DCA7E"/>
            <w:vAlign w:val="center"/>
            <w:hideMark/>
          </w:tcPr>
          <w:p w14:paraId="2A253BA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94,40%</w:t>
            </w:r>
          </w:p>
        </w:tc>
        <w:tc>
          <w:tcPr>
            <w:tcW w:w="566" w:type="pct"/>
            <w:tcBorders>
              <w:top w:val="single" w:sz="4" w:space="0" w:color="auto"/>
              <w:left w:val="single" w:sz="4" w:space="0" w:color="auto"/>
              <w:bottom w:val="single" w:sz="4" w:space="0" w:color="auto"/>
              <w:right w:val="single" w:sz="4" w:space="0" w:color="auto"/>
            </w:tcBorders>
            <w:shd w:val="clear" w:color="auto" w:fill="84C87D"/>
            <w:vAlign w:val="center"/>
            <w:hideMark/>
          </w:tcPr>
          <w:p w14:paraId="716EB8A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82,90%</w:t>
            </w:r>
          </w:p>
        </w:tc>
        <w:tc>
          <w:tcPr>
            <w:tcW w:w="551" w:type="pct"/>
            <w:tcBorders>
              <w:top w:val="single" w:sz="4" w:space="0" w:color="auto"/>
              <w:left w:val="single" w:sz="4" w:space="0" w:color="auto"/>
              <w:bottom w:val="single" w:sz="4" w:space="0" w:color="auto"/>
              <w:right w:val="single" w:sz="4" w:space="0" w:color="auto"/>
            </w:tcBorders>
            <w:shd w:val="clear" w:color="auto" w:fill="7DC67D"/>
            <w:vAlign w:val="center"/>
            <w:hideMark/>
          </w:tcPr>
          <w:p w14:paraId="3FADEA7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94,30%</w:t>
            </w:r>
          </w:p>
        </w:tc>
        <w:tc>
          <w:tcPr>
            <w:tcW w:w="468" w:type="pct"/>
            <w:tcBorders>
              <w:top w:val="single" w:sz="4" w:space="0" w:color="auto"/>
              <w:left w:val="single" w:sz="4" w:space="0" w:color="auto"/>
              <w:bottom w:val="single" w:sz="4" w:space="0" w:color="auto"/>
              <w:right w:val="single" w:sz="4" w:space="0" w:color="auto"/>
            </w:tcBorders>
            <w:shd w:val="clear" w:color="auto" w:fill="ECE683"/>
            <w:vAlign w:val="center"/>
            <w:hideMark/>
          </w:tcPr>
          <w:p w14:paraId="0E08489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60,00%</w:t>
            </w:r>
          </w:p>
        </w:tc>
        <w:tc>
          <w:tcPr>
            <w:tcW w:w="491" w:type="pct"/>
            <w:tcBorders>
              <w:top w:val="single" w:sz="4" w:space="0" w:color="auto"/>
              <w:left w:val="single" w:sz="4" w:space="0" w:color="auto"/>
              <w:bottom w:val="single" w:sz="4" w:space="0" w:color="auto"/>
              <w:right w:val="single" w:sz="4" w:space="0" w:color="auto"/>
            </w:tcBorders>
            <w:shd w:val="clear" w:color="auto" w:fill="FEE482"/>
            <w:vAlign w:val="center"/>
            <w:hideMark/>
          </w:tcPr>
          <w:p w14:paraId="6ED6C57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56,30%</w:t>
            </w:r>
          </w:p>
        </w:tc>
      </w:tr>
      <w:tr w:rsidR="003F4CFF" w:rsidRPr="001127D6" w14:paraId="7E29ABC2"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F8065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Коченевский МР</w:t>
            </w:r>
          </w:p>
        </w:tc>
        <w:tc>
          <w:tcPr>
            <w:tcW w:w="520" w:type="pct"/>
            <w:tcBorders>
              <w:top w:val="single" w:sz="4" w:space="0" w:color="auto"/>
              <w:left w:val="single" w:sz="4" w:space="0" w:color="auto"/>
              <w:bottom w:val="single" w:sz="4" w:space="0" w:color="auto"/>
              <w:right w:val="single" w:sz="4" w:space="0" w:color="auto"/>
            </w:tcBorders>
            <w:shd w:val="clear" w:color="auto" w:fill="FEE883"/>
            <w:vAlign w:val="center"/>
            <w:hideMark/>
          </w:tcPr>
          <w:p w14:paraId="58193BE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60,00%</w:t>
            </w:r>
          </w:p>
        </w:tc>
        <w:tc>
          <w:tcPr>
            <w:tcW w:w="497" w:type="pct"/>
            <w:tcBorders>
              <w:top w:val="single" w:sz="4" w:space="0" w:color="auto"/>
              <w:left w:val="single" w:sz="4" w:space="0" w:color="auto"/>
              <w:bottom w:val="single" w:sz="4" w:space="0" w:color="auto"/>
              <w:right w:val="single" w:sz="4" w:space="0" w:color="auto"/>
            </w:tcBorders>
            <w:shd w:val="clear" w:color="auto" w:fill="FEEA83"/>
            <w:vAlign w:val="center"/>
            <w:hideMark/>
          </w:tcPr>
          <w:p w14:paraId="5B1B30F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81,40%</w:t>
            </w:r>
          </w:p>
        </w:tc>
        <w:tc>
          <w:tcPr>
            <w:tcW w:w="566" w:type="pct"/>
            <w:tcBorders>
              <w:top w:val="single" w:sz="4" w:space="0" w:color="auto"/>
              <w:left w:val="single" w:sz="4" w:space="0" w:color="auto"/>
              <w:bottom w:val="single" w:sz="4" w:space="0" w:color="auto"/>
              <w:right w:val="single" w:sz="4" w:space="0" w:color="auto"/>
            </w:tcBorders>
            <w:shd w:val="clear" w:color="auto" w:fill="E1E383"/>
            <w:vAlign w:val="center"/>
            <w:hideMark/>
          </w:tcPr>
          <w:p w14:paraId="3D32EBE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64,00%</w:t>
            </w:r>
          </w:p>
        </w:tc>
        <w:tc>
          <w:tcPr>
            <w:tcW w:w="497" w:type="pct"/>
            <w:tcBorders>
              <w:top w:val="single" w:sz="4" w:space="0" w:color="auto"/>
              <w:left w:val="single" w:sz="4" w:space="0" w:color="auto"/>
              <w:bottom w:val="single" w:sz="4" w:space="0" w:color="auto"/>
              <w:right w:val="single" w:sz="4" w:space="0" w:color="auto"/>
            </w:tcBorders>
            <w:shd w:val="clear" w:color="auto" w:fill="9ECF7F"/>
            <w:vAlign w:val="center"/>
            <w:hideMark/>
          </w:tcPr>
          <w:p w14:paraId="65907A7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92,00%</w:t>
            </w:r>
          </w:p>
        </w:tc>
        <w:tc>
          <w:tcPr>
            <w:tcW w:w="566" w:type="pct"/>
            <w:tcBorders>
              <w:top w:val="single" w:sz="4" w:space="0" w:color="auto"/>
              <w:left w:val="single" w:sz="4" w:space="0" w:color="auto"/>
              <w:bottom w:val="single" w:sz="4" w:space="0" w:color="auto"/>
              <w:right w:val="single" w:sz="4" w:space="0" w:color="auto"/>
            </w:tcBorders>
            <w:shd w:val="clear" w:color="auto" w:fill="FDCF7E"/>
            <w:vAlign w:val="center"/>
            <w:hideMark/>
          </w:tcPr>
          <w:p w14:paraId="72B6417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44,70%</w:t>
            </w:r>
          </w:p>
        </w:tc>
        <w:tc>
          <w:tcPr>
            <w:tcW w:w="551" w:type="pct"/>
            <w:tcBorders>
              <w:top w:val="single" w:sz="4" w:space="0" w:color="auto"/>
              <w:left w:val="single" w:sz="4" w:space="0" w:color="auto"/>
              <w:bottom w:val="single" w:sz="4" w:space="0" w:color="auto"/>
              <w:right w:val="single" w:sz="4" w:space="0" w:color="auto"/>
            </w:tcBorders>
            <w:shd w:val="clear" w:color="auto" w:fill="FDD680"/>
            <w:vAlign w:val="center"/>
            <w:hideMark/>
          </w:tcPr>
          <w:p w14:paraId="54FACBE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68,10%</w:t>
            </w:r>
          </w:p>
        </w:tc>
        <w:tc>
          <w:tcPr>
            <w:tcW w:w="468" w:type="pct"/>
            <w:tcBorders>
              <w:top w:val="single" w:sz="4" w:space="0" w:color="auto"/>
              <w:left w:val="single" w:sz="4" w:space="0" w:color="auto"/>
              <w:bottom w:val="single" w:sz="4" w:space="0" w:color="auto"/>
              <w:right w:val="single" w:sz="4" w:space="0" w:color="auto"/>
            </w:tcBorders>
            <w:shd w:val="clear" w:color="auto" w:fill="AED480"/>
            <w:vAlign w:val="center"/>
            <w:hideMark/>
          </w:tcPr>
          <w:p w14:paraId="346D03A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74,30%</w:t>
            </w:r>
          </w:p>
        </w:tc>
        <w:tc>
          <w:tcPr>
            <w:tcW w:w="491" w:type="pct"/>
            <w:tcBorders>
              <w:top w:val="single" w:sz="4" w:space="0" w:color="auto"/>
              <w:left w:val="single" w:sz="4" w:space="0" w:color="auto"/>
              <w:bottom w:val="single" w:sz="4" w:space="0" w:color="auto"/>
              <w:right w:val="single" w:sz="4" w:space="0" w:color="auto"/>
            </w:tcBorders>
            <w:shd w:val="clear" w:color="auto" w:fill="D8E082"/>
            <w:vAlign w:val="center"/>
            <w:hideMark/>
          </w:tcPr>
          <w:p w14:paraId="55321A5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67,10%</w:t>
            </w:r>
          </w:p>
        </w:tc>
      </w:tr>
      <w:tr w:rsidR="003F4CFF" w:rsidRPr="001127D6" w14:paraId="292CDF44"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AF331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Кочковский МР</w:t>
            </w:r>
          </w:p>
        </w:tc>
        <w:tc>
          <w:tcPr>
            <w:tcW w:w="520" w:type="pct"/>
            <w:tcBorders>
              <w:top w:val="single" w:sz="4" w:space="0" w:color="auto"/>
              <w:left w:val="single" w:sz="4" w:space="0" w:color="auto"/>
              <w:bottom w:val="single" w:sz="4" w:space="0" w:color="auto"/>
              <w:right w:val="single" w:sz="4" w:space="0" w:color="auto"/>
            </w:tcBorders>
            <w:shd w:val="clear" w:color="auto" w:fill="7CC67D"/>
            <w:vAlign w:val="center"/>
            <w:hideMark/>
          </w:tcPr>
          <w:p w14:paraId="1F484F9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91,40%</w:t>
            </w:r>
          </w:p>
        </w:tc>
        <w:tc>
          <w:tcPr>
            <w:tcW w:w="497" w:type="pct"/>
            <w:tcBorders>
              <w:top w:val="single" w:sz="4" w:space="0" w:color="auto"/>
              <w:left w:val="single" w:sz="4" w:space="0" w:color="auto"/>
              <w:bottom w:val="single" w:sz="4" w:space="0" w:color="auto"/>
              <w:right w:val="single" w:sz="4" w:space="0" w:color="auto"/>
            </w:tcBorders>
            <w:shd w:val="clear" w:color="auto" w:fill="A5D17F"/>
            <w:vAlign w:val="center"/>
            <w:hideMark/>
          </w:tcPr>
          <w:p w14:paraId="3421A02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91,40%</w:t>
            </w:r>
          </w:p>
        </w:tc>
        <w:tc>
          <w:tcPr>
            <w:tcW w:w="566" w:type="pct"/>
            <w:tcBorders>
              <w:top w:val="single" w:sz="4" w:space="0" w:color="auto"/>
              <w:left w:val="single" w:sz="4" w:space="0" w:color="auto"/>
              <w:bottom w:val="single" w:sz="4" w:space="0" w:color="auto"/>
              <w:right w:val="single" w:sz="4" w:space="0" w:color="auto"/>
            </w:tcBorders>
            <w:shd w:val="clear" w:color="auto" w:fill="71C27C"/>
            <w:vAlign w:val="center"/>
            <w:hideMark/>
          </w:tcPr>
          <w:p w14:paraId="0909EBA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91,40%</w:t>
            </w:r>
          </w:p>
        </w:tc>
        <w:tc>
          <w:tcPr>
            <w:tcW w:w="497" w:type="pct"/>
            <w:tcBorders>
              <w:top w:val="single" w:sz="4" w:space="0" w:color="auto"/>
              <w:left w:val="single" w:sz="4" w:space="0" w:color="auto"/>
              <w:bottom w:val="single" w:sz="4" w:space="0" w:color="auto"/>
              <w:right w:val="single" w:sz="4" w:space="0" w:color="auto"/>
            </w:tcBorders>
            <w:shd w:val="clear" w:color="auto" w:fill="A3D17F"/>
            <w:vAlign w:val="center"/>
            <w:hideMark/>
          </w:tcPr>
          <w:p w14:paraId="5CA17C2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91,40%</w:t>
            </w:r>
          </w:p>
        </w:tc>
        <w:tc>
          <w:tcPr>
            <w:tcW w:w="566" w:type="pct"/>
            <w:tcBorders>
              <w:top w:val="single" w:sz="4" w:space="0" w:color="auto"/>
              <w:left w:val="single" w:sz="4" w:space="0" w:color="auto"/>
              <w:bottom w:val="single" w:sz="4" w:space="0" w:color="auto"/>
              <w:right w:val="single" w:sz="4" w:space="0" w:color="auto"/>
            </w:tcBorders>
            <w:shd w:val="clear" w:color="auto" w:fill="63BE7B"/>
            <w:vAlign w:val="center"/>
            <w:hideMark/>
          </w:tcPr>
          <w:p w14:paraId="3A25610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91,40%</w:t>
            </w:r>
          </w:p>
        </w:tc>
        <w:tc>
          <w:tcPr>
            <w:tcW w:w="551" w:type="pct"/>
            <w:tcBorders>
              <w:top w:val="single" w:sz="4" w:space="0" w:color="auto"/>
              <w:left w:val="single" w:sz="4" w:space="0" w:color="auto"/>
              <w:bottom w:val="single" w:sz="4" w:space="0" w:color="auto"/>
              <w:right w:val="single" w:sz="4" w:space="0" w:color="auto"/>
            </w:tcBorders>
            <w:shd w:val="clear" w:color="auto" w:fill="94CD7E"/>
            <w:vAlign w:val="center"/>
            <w:hideMark/>
          </w:tcPr>
          <w:p w14:paraId="47090AF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91,40%</w:t>
            </w:r>
          </w:p>
        </w:tc>
        <w:tc>
          <w:tcPr>
            <w:tcW w:w="468" w:type="pct"/>
            <w:tcBorders>
              <w:top w:val="single" w:sz="4" w:space="0" w:color="auto"/>
              <w:left w:val="single" w:sz="4" w:space="0" w:color="auto"/>
              <w:bottom w:val="single" w:sz="4" w:space="0" w:color="auto"/>
              <w:right w:val="single" w:sz="4" w:space="0" w:color="auto"/>
            </w:tcBorders>
            <w:shd w:val="clear" w:color="auto" w:fill="63BE7B"/>
            <w:vAlign w:val="center"/>
            <w:hideMark/>
          </w:tcPr>
          <w:p w14:paraId="40F7488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91,40%</w:t>
            </w:r>
          </w:p>
        </w:tc>
        <w:tc>
          <w:tcPr>
            <w:tcW w:w="491" w:type="pct"/>
            <w:tcBorders>
              <w:top w:val="single" w:sz="4" w:space="0" w:color="auto"/>
              <w:left w:val="single" w:sz="4" w:space="0" w:color="auto"/>
              <w:bottom w:val="single" w:sz="4" w:space="0" w:color="auto"/>
              <w:right w:val="single" w:sz="4" w:space="0" w:color="auto"/>
            </w:tcBorders>
            <w:shd w:val="clear" w:color="auto" w:fill="63BE7B"/>
            <w:vAlign w:val="center"/>
            <w:hideMark/>
          </w:tcPr>
          <w:p w14:paraId="69A63AD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91,40%</w:t>
            </w:r>
          </w:p>
        </w:tc>
      </w:tr>
      <w:tr w:rsidR="003F4CFF" w:rsidRPr="001127D6" w14:paraId="4CFDF273"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7E094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Краснозерский МР</w:t>
            </w:r>
          </w:p>
        </w:tc>
        <w:tc>
          <w:tcPr>
            <w:tcW w:w="520" w:type="pct"/>
            <w:tcBorders>
              <w:top w:val="single" w:sz="4" w:space="0" w:color="auto"/>
              <w:left w:val="single" w:sz="4" w:space="0" w:color="auto"/>
              <w:bottom w:val="single" w:sz="4" w:space="0" w:color="auto"/>
              <w:right w:val="single" w:sz="4" w:space="0" w:color="auto"/>
            </w:tcBorders>
            <w:shd w:val="clear" w:color="auto" w:fill="FAA075"/>
            <w:vAlign w:val="center"/>
            <w:hideMark/>
          </w:tcPr>
          <w:p w14:paraId="3336868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42,60%</w:t>
            </w:r>
          </w:p>
        </w:tc>
        <w:tc>
          <w:tcPr>
            <w:tcW w:w="497" w:type="pct"/>
            <w:tcBorders>
              <w:top w:val="single" w:sz="4" w:space="0" w:color="auto"/>
              <w:left w:val="single" w:sz="4" w:space="0" w:color="auto"/>
              <w:bottom w:val="single" w:sz="4" w:space="0" w:color="auto"/>
              <w:right w:val="single" w:sz="4" w:space="0" w:color="auto"/>
            </w:tcBorders>
            <w:shd w:val="clear" w:color="auto" w:fill="FCBE7B"/>
            <w:vAlign w:val="center"/>
            <w:hideMark/>
          </w:tcPr>
          <w:p w14:paraId="4DD43A3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70,60%</w:t>
            </w:r>
          </w:p>
        </w:tc>
        <w:tc>
          <w:tcPr>
            <w:tcW w:w="566" w:type="pct"/>
            <w:tcBorders>
              <w:top w:val="single" w:sz="4" w:space="0" w:color="auto"/>
              <w:left w:val="single" w:sz="4" w:space="0" w:color="auto"/>
              <w:bottom w:val="single" w:sz="4" w:space="0" w:color="auto"/>
              <w:right w:val="single" w:sz="4" w:space="0" w:color="auto"/>
            </w:tcBorders>
            <w:shd w:val="clear" w:color="auto" w:fill="FDCD7E"/>
            <w:vAlign w:val="center"/>
            <w:hideMark/>
          </w:tcPr>
          <w:p w14:paraId="61CB3BC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45,50%</w:t>
            </w:r>
          </w:p>
        </w:tc>
        <w:tc>
          <w:tcPr>
            <w:tcW w:w="497" w:type="pct"/>
            <w:tcBorders>
              <w:top w:val="single" w:sz="4" w:space="0" w:color="auto"/>
              <w:left w:val="single" w:sz="4" w:space="0" w:color="auto"/>
              <w:bottom w:val="single" w:sz="4" w:space="0" w:color="auto"/>
              <w:right w:val="single" w:sz="4" w:space="0" w:color="auto"/>
            </w:tcBorders>
            <w:shd w:val="clear" w:color="auto" w:fill="FEE983"/>
            <w:vAlign w:val="center"/>
            <w:hideMark/>
          </w:tcPr>
          <w:p w14:paraId="4CC0562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78,20%</w:t>
            </w:r>
          </w:p>
        </w:tc>
        <w:tc>
          <w:tcPr>
            <w:tcW w:w="566" w:type="pct"/>
            <w:tcBorders>
              <w:top w:val="single" w:sz="4" w:space="0" w:color="auto"/>
              <w:left w:val="single" w:sz="4" w:space="0" w:color="auto"/>
              <w:bottom w:val="single" w:sz="4" w:space="0" w:color="auto"/>
              <w:right w:val="single" w:sz="4" w:space="0" w:color="auto"/>
            </w:tcBorders>
            <w:shd w:val="clear" w:color="auto" w:fill="E9E583"/>
            <w:vAlign w:val="center"/>
            <w:hideMark/>
          </w:tcPr>
          <w:p w14:paraId="09B5AD0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56,90%</w:t>
            </w:r>
          </w:p>
        </w:tc>
        <w:tc>
          <w:tcPr>
            <w:tcW w:w="551" w:type="pct"/>
            <w:tcBorders>
              <w:top w:val="single" w:sz="4" w:space="0" w:color="auto"/>
              <w:left w:val="single" w:sz="4" w:space="0" w:color="auto"/>
              <w:bottom w:val="single" w:sz="4" w:space="0" w:color="auto"/>
              <w:right w:val="single" w:sz="4" w:space="0" w:color="auto"/>
            </w:tcBorders>
            <w:shd w:val="clear" w:color="auto" w:fill="FEEA83"/>
            <w:vAlign w:val="center"/>
            <w:hideMark/>
          </w:tcPr>
          <w:p w14:paraId="19BB820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77,60%</w:t>
            </w:r>
          </w:p>
        </w:tc>
        <w:tc>
          <w:tcPr>
            <w:tcW w:w="468" w:type="pct"/>
            <w:tcBorders>
              <w:top w:val="single" w:sz="4" w:space="0" w:color="auto"/>
              <w:left w:val="single" w:sz="4" w:space="0" w:color="auto"/>
              <w:bottom w:val="single" w:sz="4" w:space="0" w:color="auto"/>
              <w:right w:val="single" w:sz="4" w:space="0" w:color="auto"/>
            </w:tcBorders>
            <w:shd w:val="clear" w:color="auto" w:fill="FEE883"/>
            <w:vAlign w:val="center"/>
            <w:hideMark/>
          </w:tcPr>
          <w:p w14:paraId="4977AE3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54,40%</w:t>
            </w:r>
          </w:p>
        </w:tc>
        <w:tc>
          <w:tcPr>
            <w:tcW w:w="491" w:type="pct"/>
            <w:tcBorders>
              <w:top w:val="single" w:sz="4" w:space="0" w:color="auto"/>
              <w:left w:val="single" w:sz="4" w:space="0" w:color="auto"/>
              <w:bottom w:val="single" w:sz="4" w:space="0" w:color="auto"/>
              <w:right w:val="single" w:sz="4" w:space="0" w:color="auto"/>
            </w:tcBorders>
            <w:shd w:val="clear" w:color="auto" w:fill="92CC7E"/>
            <w:vAlign w:val="center"/>
            <w:hideMark/>
          </w:tcPr>
          <w:p w14:paraId="0F62665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81,80%</w:t>
            </w:r>
          </w:p>
        </w:tc>
      </w:tr>
      <w:tr w:rsidR="003F4CFF" w:rsidRPr="001127D6" w14:paraId="65A256A4"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4AF880" w14:textId="77777777" w:rsidR="003F4CFF" w:rsidRPr="001127D6" w:rsidRDefault="003F4CFF" w:rsidP="003F4CFF">
            <w:pPr>
              <w:rPr>
                <w:rFonts w:ascii="Times New Roman" w:eastAsia="Times New Roman" w:hAnsi="Times New Roman" w:cs="Times New Roman"/>
                <w:sz w:val="16"/>
                <w:szCs w:val="16"/>
              </w:rPr>
            </w:pPr>
            <w:r w:rsidRPr="001127D6">
              <w:rPr>
                <w:rFonts w:ascii="Times New Roman" w:eastAsia="Times New Roman" w:hAnsi="Times New Roman" w:cs="Times New Roman"/>
                <w:sz w:val="16"/>
                <w:szCs w:val="16"/>
              </w:rPr>
              <w:lastRenderedPageBreak/>
              <w:t>Куйбышевский МР</w:t>
            </w:r>
          </w:p>
        </w:tc>
        <w:tc>
          <w:tcPr>
            <w:tcW w:w="520" w:type="pct"/>
            <w:tcBorders>
              <w:top w:val="single" w:sz="4" w:space="0" w:color="auto"/>
              <w:left w:val="single" w:sz="4" w:space="0" w:color="auto"/>
              <w:bottom w:val="single" w:sz="4" w:space="0" w:color="auto"/>
              <w:right w:val="single" w:sz="4" w:space="0" w:color="auto"/>
            </w:tcBorders>
            <w:shd w:val="clear" w:color="auto" w:fill="FDEB84"/>
            <w:vAlign w:val="center"/>
            <w:hideMark/>
          </w:tcPr>
          <w:p w14:paraId="682C0E5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61,40%</w:t>
            </w:r>
          </w:p>
        </w:tc>
        <w:tc>
          <w:tcPr>
            <w:tcW w:w="497" w:type="pct"/>
            <w:tcBorders>
              <w:top w:val="single" w:sz="4" w:space="0" w:color="auto"/>
              <w:left w:val="single" w:sz="4" w:space="0" w:color="auto"/>
              <w:bottom w:val="single" w:sz="4" w:space="0" w:color="auto"/>
              <w:right w:val="single" w:sz="4" w:space="0" w:color="auto"/>
            </w:tcBorders>
            <w:shd w:val="clear" w:color="auto" w:fill="A5D17F"/>
            <w:vAlign w:val="center"/>
            <w:hideMark/>
          </w:tcPr>
          <w:p w14:paraId="7D2F9A5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91,40%</w:t>
            </w:r>
          </w:p>
        </w:tc>
        <w:tc>
          <w:tcPr>
            <w:tcW w:w="566" w:type="pct"/>
            <w:tcBorders>
              <w:top w:val="single" w:sz="4" w:space="0" w:color="auto"/>
              <w:left w:val="single" w:sz="4" w:space="0" w:color="auto"/>
              <w:bottom w:val="single" w:sz="4" w:space="0" w:color="auto"/>
              <w:right w:val="single" w:sz="4" w:space="0" w:color="auto"/>
            </w:tcBorders>
            <w:shd w:val="clear" w:color="auto" w:fill="FDEB84"/>
            <w:vAlign w:val="center"/>
            <w:hideMark/>
          </w:tcPr>
          <w:p w14:paraId="263FE66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56,90%</w:t>
            </w:r>
          </w:p>
        </w:tc>
        <w:tc>
          <w:tcPr>
            <w:tcW w:w="497" w:type="pct"/>
            <w:tcBorders>
              <w:top w:val="single" w:sz="4" w:space="0" w:color="auto"/>
              <w:left w:val="single" w:sz="4" w:space="0" w:color="auto"/>
              <w:bottom w:val="single" w:sz="4" w:space="0" w:color="auto"/>
              <w:right w:val="single" w:sz="4" w:space="0" w:color="auto"/>
            </w:tcBorders>
            <w:shd w:val="clear" w:color="auto" w:fill="ACD380"/>
            <w:vAlign w:val="center"/>
            <w:hideMark/>
          </w:tcPr>
          <w:p w14:paraId="7C77A4B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90,20%</w:t>
            </w:r>
          </w:p>
        </w:tc>
        <w:tc>
          <w:tcPr>
            <w:tcW w:w="566" w:type="pct"/>
            <w:tcBorders>
              <w:top w:val="single" w:sz="4" w:space="0" w:color="auto"/>
              <w:left w:val="single" w:sz="4" w:space="0" w:color="auto"/>
              <w:bottom w:val="single" w:sz="4" w:space="0" w:color="auto"/>
              <w:right w:val="single" w:sz="4" w:space="0" w:color="auto"/>
            </w:tcBorders>
            <w:shd w:val="clear" w:color="auto" w:fill="E4E383"/>
            <w:vAlign w:val="center"/>
            <w:hideMark/>
          </w:tcPr>
          <w:p w14:paraId="14F6AE0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58,20%</w:t>
            </w:r>
          </w:p>
        </w:tc>
        <w:tc>
          <w:tcPr>
            <w:tcW w:w="551" w:type="pct"/>
            <w:tcBorders>
              <w:top w:val="single" w:sz="4" w:space="0" w:color="auto"/>
              <w:left w:val="single" w:sz="4" w:space="0" w:color="auto"/>
              <w:bottom w:val="single" w:sz="4" w:space="0" w:color="auto"/>
              <w:right w:val="single" w:sz="4" w:space="0" w:color="auto"/>
            </w:tcBorders>
            <w:shd w:val="clear" w:color="auto" w:fill="6EC17C"/>
            <w:vAlign w:val="center"/>
            <w:hideMark/>
          </w:tcPr>
          <w:p w14:paraId="567F79E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96,30%</w:t>
            </w:r>
          </w:p>
        </w:tc>
        <w:tc>
          <w:tcPr>
            <w:tcW w:w="468" w:type="pct"/>
            <w:tcBorders>
              <w:top w:val="single" w:sz="4" w:space="0" w:color="auto"/>
              <w:left w:val="single" w:sz="4" w:space="0" w:color="auto"/>
              <w:bottom w:val="single" w:sz="4" w:space="0" w:color="auto"/>
              <w:right w:val="single" w:sz="4" w:space="0" w:color="auto"/>
            </w:tcBorders>
            <w:shd w:val="clear" w:color="auto" w:fill="FEE783"/>
            <w:vAlign w:val="center"/>
            <w:hideMark/>
          </w:tcPr>
          <w:p w14:paraId="73740BD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54,30%</w:t>
            </w:r>
          </w:p>
        </w:tc>
        <w:tc>
          <w:tcPr>
            <w:tcW w:w="491" w:type="pct"/>
            <w:tcBorders>
              <w:top w:val="single" w:sz="4" w:space="0" w:color="auto"/>
              <w:left w:val="single" w:sz="4" w:space="0" w:color="auto"/>
              <w:bottom w:val="single" w:sz="4" w:space="0" w:color="auto"/>
              <w:right w:val="single" w:sz="4" w:space="0" w:color="auto"/>
            </w:tcBorders>
            <w:shd w:val="clear" w:color="auto" w:fill="F4E884"/>
            <w:vAlign w:val="center"/>
            <w:hideMark/>
          </w:tcPr>
          <w:p w14:paraId="45F8675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61,40%</w:t>
            </w:r>
          </w:p>
        </w:tc>
      </w:tr>
      <w:tr w:rsidR="003F4CFF" w:rsidRPr="001127D6" w14:paraId="1E6A93B7"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E2B51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Купинский МР</w:t>
            </w:r>
          </w:p>
        </w:tc>
        <w:tc>
          <w:tcPr>
            <w:tcW w:w="520" w:type="pct"/>
            <w:tcBorders>
              <w:top w:val="single" w:sz="4" w:space="0" w:color="auto"/>
              <w:left w:val="single" w:sz="4" w:space="0" w:color="auto"/>
              <w:bottom w:val="single" w:sz="4" w:space="0" w:color="auto"/>
              <w:right w:val="single" w:sz="4" w:space="0" w:color="auto"/>
            </w:tcBorders>
            <w:shd w:val="clear" w:color="auto" w:fill="EEE784"/>
            <w:vAlign w:val="center"/>
            <w:hideMark/>
          </w:tcPr>
          <w:p w14:paraId="5749C8D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64,70%</w:t>
            </w:r>
          </w:p>
        </w:tc>
        <w:tc>
          <w:tcPr>
            <w:tcW w:w="497" w:type="pct"/>
            <w:tcBorders>
              <w:top w:val="single" w:sz="4" w:space="0" w:color="auto"/>
              <w:left w:val="single" w:sz="4" w:space="0" w:color="auto"/>
              <w:bottom w:val="single" w:sz="4" w:space="0" w:color="auto"/>
              <w:right w:val="single" w:sz="4" w:space="0" w:color="auto"/>
            </w:tcBorders>
            <w:shd w:val="clear" w:color="auto" w:fill="FEDF81"/>
            <w:vAlign w:val="center"/>
            <w:hideMark/>
          </w:tcPr>
          <w:p w14:paraId="44AB7EC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78,60%</w:t>
            </w:r>
          </w:p>
        </w:tc>
        <w:tc>
          <w:tcPr>
            <w:tcW w:w="566" w:type="pct"/>
            <w:tcBorders>
              <w:top w:val="single" w:sz="4" w:space="0" w:color="auto"/>
              <w:left w:val="single" w:sz="4" w:space="0" w:color="auto"/>
              <w:bottom w:val="single" w:sz="4" w:space="0" w:color="auto"/>
              <w:right w:val="single" w:sz="4" w:space="0" w:color="auto"/>
            </w:tcBorders>
            <w:shd w:val="clear" w:color="auto" w:fill="FED980"/>
            <w:vAlign w:val="center"/>
            <w:hideMark/>
          </w:tcPr>
          <w:p w14:paraId="022B96D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50,00%</w:t>
            </w:r>
          </w:p>
        </w:tc>
        <w:tc>
          <w:tcPr>
            <w:tcW w:w="497" w:type="pct"/>
            <w:tcBorders>
              <w:top w:val="single" w:sz="4" w:space="0" w:color="auto"/>
              <w:left w:val="single" w:sz="4" w:space="0" w:color="auto"/>
              <w:bottom w:val="single" w:sz="4" w:space="0" w:color="auto"/>
              <w:right w:val="single" w:sz="4" w:space="0" w:color="auto"/>
            </w:tcBorders>
            <w:shd w:val="clear" w:color="auto" w:fill="FCC57C"/>
            <w:vAlign w:val="center"/>
            <w:hideMark/>
          </w:tcPr>
          <w:p w14:paraId="5D46D4A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60,50%</w:t>
            </w:r>
          </w:p>
        </w:tc>
        <w:tc>
          <w:tcPr>
            <w:tcW w:w="566" w:type="pct"/>
            <w:tcBorders>
              <w:top w:val="single" w:sz="4" w:space="0" w:color="auto"/>
              <w:left w:val="single" w:sz="4" w:space="0" w:color="auto"/>
              <w:bottom w:val="single" w:sz="4" w:space="0" w:color="auto"/>
              <w:right w:val="single" w:sz="4" w:space="0" w:color="auto"/>
            </w:tcBorders>
            <w:shd w:val="clear" w:color="auto" w:fill="C3DA81"/>
            <w:vAlign w:val="center"/>
            <w:hideMark/>
          </w:tcPr>
          <w:p w14:paraId="0158F20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66,70%</w:t>
            </w:r>
          </w:p>
        </w:tc>
        <w:tc>
          <w:tcPr>
            <w:tcW w:w="551" w:type="pct"/>
            <w:tcBorders>
              <w:top w:val="single" w:sz="4" w:space="0" w:color="auto"/>
              <w:left w:val="single" w:sz="4" w:space="0" w:color="auto"/>
              <w:bottom w:val="single" w:sz="4" w:space="0" w:color="auto"/>
              <w:right w:val="single" w:sz="4" w:space="0" w:color="auto"/>
            </w:tcBorders>
            <w:shd w:val="clear" w:color="auto" w:fill="FDC87D"/>
            <w:vAlign w:val="center"/>
            <w:hideMark/>
          </w:tcPr>
          <w:p w14:paraId="4C48A09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61,50%</w:t>
            </w:r>
          </w:p>
        </w:tc>
        <w:tc>
          <w:tcPr>
            <w:tcW w:w="468" w:type="pct"/>
            <w:tcBorders>
              <w:top w:val="single" w:sz="4" w:space="0" w:color="auto"/>
              <w:left w:val="single" w:sz="4" w:space="0" w:color="auto"/>
              <w:bottom w:val="single" w:sz="4" w:space="0" w:color="auto"/>
              <w:right w:val="single" w:sz="4" w:space="0" w:color="auto"/>
            </w:tcBorders>
            <w:shd w:val="clear" w:color="auto" w:fill="C0D981"/>
            <w:vAlign w:val="center"/>
            <w:hideMark/>
          </w:tcPr>
          <w:p w14:paraId="1946DD9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70,00%</w:t>
            </w:r>
          </w:p>
        </w:tc>
        <w:tc>
          <w:tcPr>
            <w:tcW w:w="491" w:type="pct"/>
            <w:tcBorders>
              <w:top w:val="single" w:sz="4" w:space="0" w:color="auto"/>
              <w:left w:val="single" w:sz="4" w:space="0" w:color="auto"/>
              <w:bottom w:val="single" w:sz="4" w:space="0" w:color="auto"/>
              <w:right w:val="single" w:sz="4" w:space="0" w:color="auto"/>
            </w:tcBorders>
            <w:shd w:val="clear" w:color="auto" w:fill="D8E082"/>
            <w:vAlign w:val="center"/>
            <w:hideMark/>
          </w:tcPr>
          <w:p w14:paraId="4EAEAE8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67,10%</w:t>
            </w:r>
          </w:p>
        </w:tc>
      </w:tr>
      <w:tr w:rsidR="003F4CFF" w:rsidRPr="001127D6" w14:paraId="6186267F"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B1941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Кыштовский МР</w:t>
            </w:r>
          </w:p>
        </w:tc>
        <w:tc>
          <w:tcPr>
            <w:tcW w:w="520" w:type="pct"/>
            <w:tcBorders>
              <w:top w:val="single" w:sz="4" w:space="0" w:color="auto"/>
              <w:left w:val="single" w:sz="4" w:space="0" w:color="auto"/>
              <w:bottom w:val="single" w:sz="4" w:space="0" w:color="auto"/>
              <w:right w:val="single" w:sz="4" w:space="0" w:color="auto"/>
            </w:tcBorders>
            <w:shd w:val="clear" w:color="auto" w:fill="94CD7E"/>
            <w:vAlign w:val="center"/>
            <w:hideMark/>
          </w:tcPr>
          <w:p w14:paraId="2C8A400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85,70%</w:t>
            </w:r>
          </w:p>
        </w:tc>
        <w:tc>
          <w:tcPr>
            <w:tcW w:w="497" w:type="pct"/>
            <w:tcBorders>
              <w:top w:val="single" w:sz="4" w:space="0" w:color="auto"/>
              <w:left w:val="single" w:sz="4" w:space="0" w:color="auto"/>
              <w:bottom w:val="single" w:sz="4" w:space="0" w:color="auto"/>
              <w:right w:val="single" w:sz="4" w:space="0" w:color="auto"/>
            </w:tcBorders>
            <w:shd w:val="clear" w:color="auto" w:fill="BAD780"/>
            <w:vAlign w:val="center"/>
            <w:hideMark/>
          </w:tcPr>
          <w:p w14:paraId="4EC7C72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89,10%</w:t>
            </w:r>
          </w:p>
        </w:tc>
        <w:tc>
          <w:tcPr>
            <w:tcW w:w="566" w:type="pct"/>
            <w:tcBorders>
              <w:top w:val="single" w:sz="4" w:space="0" w:color="auto"/>
              <w:left w:val="single" w:sz="4" w:space="0" w:color="auto"/>
              <w:bottom w:val="single" w:sz="4" w:space="0" w:color="auto"/>
              <w:right w:val="single" w:sz="4" w:space="0" w:color="auto"/>
            </w:tcBorders>
            <w:shd w:val="clear" w:color="auto" w:fill="F8696B"/>
            <w:vAlign w:val="center"/>
            <w:hideMark/>
          </w:tcPr>
          <w:p w14:paraId="6130F9B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8,70%</w:t>
            </w:r>
          </w:p>
        </w:tc>
        <w:tc>
          <w:tcPr>
            <w:tcW w:w="497" w:type="pct"/>
            <w:tcBorders>
              <w:top w:val="single" w:sz="4" w:space="0" w:color="auto"/>
              <w:left w:val="single" w:sz="4" w:space="0" w:color="auto"/>
              <w:bottom w:val="single" w:sz="4" w:space="0" w:color="auto"/>
              <w:right w:val="single" w:sz="4" w:space="0" w:color="auto"/>
            </w:tcBorders>
            <w:shd w:val="clear" w:color="auto" w:fill="F8696B"/>
            <w:vAlign w:val="center"/>
            <w:hideMark/>
          </w:tcPr>
          <w:p w14:paraId="2EE9B32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15,80%</w:t>
            </w:r>
          </w:p>
        </w:tc>
        <w:tc>
          <w:tcPr>
            <w:tcW w:w="566" w:type="pct"/>
            <w:tcBorders>
              <w:top w:val="single" w:sz="4" w:space="0" w:color="auto"/>
              <w:left w:val="single" w:sz="4" w:space="0" w:color="auto"/>
              <w:bottom w:val="single" w:sz="4" w:space="0" w:color="auto"/>
              <w:right w:val="single" w:sz="4" w:space="0" w:color="auto"/>
            </w:tcBorders>
            <w:shd w:val="clear" w:color="auto" w:fill="F8696B"/>
            <w:vAlign w:val="center"/>
            <w:hideMark/>
          </w:tcPr>
          <w:p w14:paraId="568BDEA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21,20%</w:t>
            </w:r>
          </w:p>
        </w:tc>
        <w:tc>
          <w:tcPr>
            <w:tcW w:w="551" w:type="pct"/>
            <w:tcBorders>
              <w:top w:val="single" w:sz="4" w:space="0" w:color="auto"/>
              <w:left w:val="single" w:sz="4" w:space="0" w:color="auto"/>
              <w:bottom w:val="single" w:sz="4" w:space="0" w:color="auto"/>
              <w:right w:val="single" w:sz="4" w:space="0" w:color="auto"/>
            </w:tcBorders>
            <w:shd w:val="clear" w:color="auto" w:fill="F8696B"/>
            <w:vAlign w:val="center"/>
            <w:hideMark/>
          </w:tcPr>
          <w:p w14:paraId="4EE9789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15,80%</w:t>
            </w:r>
          </w:p>
        </w:tc>
        <w:tc>
          <w:tcPr>
            <w:tcW w:w="468" w:type="pct"/>
            <w:tcBorders>
              <w:top w:val="single" w:sz="4" w:space="0" w:color="auto"/>
              <w:left w:val="single" w:sz="4" w:space="0" w:color="auto"/>
              <w:bottom w:val="single" w:sz="4" w:space="0" w:color="auto"/>
              <w:right w:val="single" w:sz="4" w:space="0" w:color="auto"/>
            </w:tcBorders>
            <w:shd w:val="clear" w:color="auto" w:fill="F8696B"/>
            <w:vAlign w:val="center"/>
            <w:hideMark/>
          </w:tcPr>
          <w:p w14:paraId="6DC352F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9,40%</w:t>
            </w:r>
          </w:p>
        </w:tc>
        <w:tc>
          <w:tcPr>
            <w:tcW w:w="491" w:type="pct"/>
            <w:tcBorders>
              <w:top w:val="single" w:sz="4" w:space="0" w:color="auto"/>
              <w:left w:val="single" w:sz="4" w:space="0" w:color="auto"/>
              <w:bottom w:val="single" w:sz="4" w:space="0" w:color="auto"/>
              <w:right w:val="single" w:sz="4" w:space="0" w:color="auto"/>
            </w:tcBorders>
            <w:shd w:val="clear" w:color="auto" w:fill="F8696B"/>
            <w:vAlign w:val="center"/>
            <w:hideMark/>
          </w:tcPr>
          <w:p w14:paraId="7952334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10,00%</w:t>
            </w:r>
          </w:p>
        </w:tc>
      </w:tr>
      <w:tr w:rsidR="003F4CFF" w:rsidRPr="001127D6" w14:paraId="18761BC0"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7FD22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Маслянинский МР</w:t>
            </w:r>
          </w:p>
        </w:tc>
        <w:tc>
          <w:tcPr>
            <w:tcW w:w="520" w:type="pct"/>
            <w:tcBorders>
              <w:top w:val="single" w:sz="4" w:space="0" w:color="auto"/>
              <w:left w:val="single" w:sz="4" w:space="0" w:color="auto"/>
              <w:bottom w:val="single" w:sz="4" w:space="0" w:color="auto"/>
              <w:right w:val="single" w:sz="4" w:space="0" w:color="auto"/>
            </w:tcBorders>
            <w:shd w:val="clear" w:color="auto" w:fill="FCC47C"/>
            <w:vAlign w:val="center"/>
            <w:hideMark/>
          </w:tcPr>
          <w:p w14:paraId="2CADA08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51,40%</w:t>
            </w:r>
          </w:p>
        </w:tc>
        <w:tc>
          <w:tcPr>
            <w:tcW w:w="497" w:type="pct"/>
            <w:tcBorders>
              <w:top w:val="single" w:sz="4" w:space="0" w:color="auto"/>
              <w:left w:val="single" w:sz="4" w:space="0" w:color="auto"/>
              <w:bottom w:val="single" w:sz="4" w:space="0" w:color="auto"/>
              <w:right w:val="single" w:sz="4" w:space="0" w:color="auto"/>
            </w:tcBorders>
            <w:shd w:val="clear" w:color="auto" w:fill="8BCA7E"/>
            <w:vAlign w:val="center"/>
            <w:hideMark/>
          </w:tcPr>
          <w:p w14:paraId="1BF3E87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94,30%</w:t>
            </w:r>
          </w:p>
        </w:tc>
        <w:tc>
          <w:tcPr>
            <w:tcW w:w="566" w:type="pct"/>
            <w:tcBorders>
              <w:top w:val="single" w:sz="4" w:space="0" w:color="auto"/>
              <w:left w:val="single" w:sz="4" w:space="0" w:color="auto"/>
              <w:bottom w:val="single" w:sz="4" w:space="0" w:color="auto"/>
              <w:right w:val="single" w:sz="4" w:space="0" w:color="auto"/>
            </w:tcBorders>
            <w:shd w:val="clear" w:color="auto" w:fill="DAE182"/>
            <w:vAlign w:val="center"/>
            <w:hideMark/>
          </w:tcPr>
          <w:p w14:paraId="772997A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65,50%</w:t>
            </w:r>
          </w:p>
        </w:tc>
        <w:tc>
          <w:tcPr>
            <w:tcW w:w="497" w:type="pct"/>
            <w:tcBorders>
              <w:top w:val="single" w:sz="4" w:space="0" w:color="auto"/>
              <w:left w:val="single" w:sz="4" w:space="0" w:color="auto"/>
              <w:bottom w:val="single" w:sz="4" w:space="0" w:color="auto"/>
              <w:right w:val="single" w:sz="4" w:space="0" w:color="auto"/>
            </w:tcBorders>
            <w:shd w:val="clear" w:color="auto" w:fill="C2DA81"/>
            <w:vAlign w:val="center"/>
            <w:hideMark/>
          </w:tcPr>
          <w:p w14:paraId="11AD03D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87,10%</w:t>
            </w:r>
          </w:p>
        </w:tc>
        <w:tc>
          <w:tcPr>
            <w:tcW w:w="566" w:type="pct"/>
            <w:tcBorders>
              <w:top w:val="single" w:sz="4" w:space="0" w:color="auto"/>
              <w:left w:val="single" w:sz="4" w:space="0" w:color="auto"/>
              <w:bottom w:val="single" w:sz="4" w:space="0" w:color="auto"/>
              <w:right w:val="single" w:sz="4" w:space="0" w:color="auto"/>
            </w:tcBorders>
            <w:shd w:val="clear" w:color="auto" w:fill="EEE683"/>
            <w:vAlign w:val="center"/>
            <w:hideMark/>
          </w:tcPr>
          <w:p w14:paraId="3579454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55,60%</w:t>
            </w:r>
          </w:p>
        </w:tc>
        <w:tc>
          <w:tcPr>
            <w:tcW w:w="551" w:type="pct"/>
            <w:tcBorders>
              <w:top w:val="single" w:sz="4" w:space="0" w:color="auto"/>
              <w:left w:val="single" w:sz="4" w:space="0" w:color="auto"/>
              <w:bottom w:val="single" w:sz="4" w:space="0" w:color="auto"/>
              <w:right w:val="single" w:sz="4" w:space="0" w:color="auto"/>
            </w:tcBorders>
            <w:shd w:val="clear" w:color="auto" w:fill="FFEB84"/>
            <w:vAlign w:val="center"/>
            <w:hideMark/>
          </w:tcPr>
          <w:p w14:paraId="08632CB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77,80%</w:t>
            </w:r>
          </w:p>
        </w:tc>
        <w:tc>
          <w:tcPr>
            <w:tcW w:w="468" w:type="pct"/>
            <w:tcBorders>
              <w:top w:val="single" w:sz="4" w:space="0" w:color="auto"/>
              <w:left w:val="single" w:sz="4" w:space="0" w:color="auto"/>
              <w:bottom w:val="single" w:sz="4" w:space="0" w:color="auto"/>
              <w:right w:val="single" w:sz="4" w:space="0" w:color="auto"/>
            </w:tcBorders>
            <w:shd w:val="clear" w:color="auto" w:fill="F7E984"/>
            <w:vAlign w:val="center"/>
            <w:hideMark/>
          </w:tcPr>
          <w:p w14:paraId="5FB6B78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57,40%</w:t>
            </w:r>
          </w:p>
        </w:tc>
        <w:tc>
          <w:tcPr>
            <w:tcW w:w="491" w:type="pct"/>
            <w:tcBorders>
              <w:top w:val="single" w:sz="4" w:space="0" w:color="auto"/>
              <w:left w:val="single" w:sz="4" w:space="0" w:color="auto"/>
              <w:bottom w:val="single" w:sz="4" w:space="0" w:color="auto"/>
              <w:right w:val="single" w:sz="4" w:space="0" w:color="auto"/>
            </w:tcBorders>
            <w:shd w:val="clear" w:color="auto" w:fill="FDC77D"/>
            <w:vAlign w:val="center"/>
            <w:hideMark/>
          </w:tcPr>
          <w:p w14:paraId="7FAC84F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45,60%</w:t>
            </w:r>
          </w:p>
        </w:tc>
      </w:tr>
      <w:tr w:rsidR="003F4CFF" w:rsidRPr="001127D6" w14:paraId="4401D646"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135FC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Мошковский МР</w:t>
            </w:r>
          </w:p>
        </w:tc>
        <w:tc>
          <w:tcPr>
            <w:tcW w:w="520" w:type="pct"/>
            <w:tcBorders>
              <w:top w:val="single" w:sz="4" w:space="0" w:color="auto"/>
              <w:left w:val="single" w:sz="4" w:space="0" w:color="auto"/>
              <w:bottom w:val="single" w:sz="4" w:space="0" w:color="auto"/>
              <w:right w:val="single" w:sz="4" w:space="0" w:color="auto"/>
            </w:tcBorders>
            <w:shd w:val="clear" w:color="auto" w:fill="D2DE82"/>
            <w:vAlign w:val="center"/>
            <w:hideMark/>
          </w:tcPr>
          <w:p w14:paraId="304D422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71,40%</w:t>
            </w:r>
          </w:p>
        </w:tc>
        <w:tc>
          <w:tcPr>
            <w:tcW w:w="497" w:type="pct"/>
            <w:tcBorders>
              <w:top w:val="single" w:sz="4" w:space="0" w:color="auto"/>
              <w:left w:val="single" w:sz="4" w:space="0" w:color="auto"/>
              <w:bottom w:val="single" w:sz="4" w:space="0" w:color="auto"/>
              <w:right w:val="single" w:sz="4" w:space="0" w:color="auto"/>
            </w:tcBorders>
            <w:shd w:val="clear" w:color="auto" w:fill="FEDF81"/>
            <w:vAlign w:val="center"/>
            <w:hideMark/>
          </w:tcPr>
          <w:p w14:paraId="1EEEF61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78,60%</w:t>
            </w:r>
          </w:p>
        </w:tc>
        <w:tc>
          <w:tcPr>
            <w:tcW w:w="566" w:type="pct"/>
            <w:tcBorders>
              <w:top w:val="single" w:sz="4" w:space="0" w:color="auto"/>
              <w:left w:val="single" w:sz="4" w:space="0" w:color="auto"/>
              <w:bottom w:val="single" w:sz="4" w:space="0" w:color="auto"/>
              <w:right w:val="single" w:sz="4" w:space="0" w:color="auto"/>
            </w:tcBorders>
            <w:shd w:val="clear" w:color="auto" w:fill="A4D17F"/>
            <w:vAlign w:val="center"/>
            <w:hideMark/>
          </w:tcPr>
          <w:p w14:paraId="5063546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78,80%</w:t>
            </w:r>
          </w:p>
        </w:tc>
        <w:tc>
          <w:tcPr>
            <w:tcW w:w="497" w:type="pct"/>
            <w:tcBorders>
              <w:top w:val="single" w:sz="4" w:space="0" w:color="auto"/>
              <w:left w:val="single" w:sz="4" w:space="0" w:color="auto"/>
              <w:bottom w:val="single" w:sz="4" w:space="0" w:color="auto"/>
              <w:right w:val="single" w:sz="4" w:space="0" w:color="auto"/>
            </w:tcBorders>
            <w:shd w:val="clear" w:color="auto" w:fill="FDD27F"/>
            <w:vAlign w:val="center"/>
            <w:hideMark/>
          </w:tcPr>
          <w:p w14:paraId="0DA9C5E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66,70%</w:t>
            </w:r>
          </w:p>
        </w:tc>
        <w:tc>
          <w:tcPr>
            <w:tcW w:w="566" w:type="pct"/>
            <w:tcBorders>
              <w:top w:val="single" w:sz="4" w:space="0" w:color="auto"/>
              <w:left w:val="single" w:sz="4" w:space="0" w:color="auto"/>
              <w:bottom w:val="single" w:sz="4" w:space="0" w:color="auto"/>
              <w:right w:val="single" w:sz="4" w:space="0" w:color="auto"/>
            </w:tcBorders>
            <w:shd w:val="clear" w:color="auto" w:fill="EEE683"/>
            <w:vAlign w:val="center"/>
            <w:hideMark/>
          </w:tcPr>
          <w:p w14:paraId="451A7B5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55,60%</w:t>
            </w:r>
          </w:p>
        </w:tc>
        <w:tc>
          <w:tcPr>
            <w:tcW w:w="551" w:type="pct"/>
            <w:tcBorders>
              <w:top w:val="single" w:sz="4" w:space="0" w:color="auto"/>
              <w:left w:val="single" w:sz="4" w:space="0" w:color="auto"/>
              <w:bottom w:val="single" w:sz="4" w:space="0" w:color="auto"/>
              <w:right w:val="single" w:sz="4" w:space="0" w:color="auto"/>
            </w:tcBorders>
            <w:shd w:val="clear" w:color="auto" w:fill="A8D27F"/>
            <w:vAlign w:val="center"/>
            <w:hideMark/>
          </w:tcPr>
          <w:p w14:paraId="23F9E66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88,90%</w:t>
            </w:r>
          </w:p>
        </w:tc>
        <w:tc>
          <w:tcPr>
            <w:tcW w:w="468" w:type="pct"/>
            <w:tcBorders>
              <w:top w:val="single" w:sz="4" w:space="0" w:color="auto"/>
              <w:left w:val="single" w:sz="4" w:space="0" w:color="auto"/>
              <w:bottom w:val="single" w:sz="4" w:space="0" w:color="auto"/>
              <w:right w:val="single" w:sz="4" w:space="0" w:color="auto"/>
            </w:tcBorders>
            <w:shd w:val="clear" w:color="auto" w:fill="BCD881"/>
            <w:vAlign w:val="center"/>
            <w:hideMark/>
          </w:tcPr>
          <w:p w14:paraId="45091A0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71,00%</w:t>
            </w:r>
          </w:p>
        </w:tc>
        <w:tc>
          <w:tcPr>
            <w:tcW w:w="491" w:type="pct"/>
            <w:tcBorders>
              <w:top w:val="single" w:sz="4" w:space="0" w:color="auto"/>
              <w:left w:val="single" w:sz="4" w:space="0" w:color="auto"/>
              <w:bottom w:val="single" w:sz="4" w:space="0" w:color="auto"/>
              <w:right w:val="single" w:sz="4" w:space="0" w:color="auto"/>
            </w:tcBorders>
            <w:shd w:val="clear" w:color="auto" w:fill="EAE583"/>
            <w:vAlign w:val="center"/>
            <w:hideMark/>
          </w:tcPr>
          <w:p w14:paraId="0937FD6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63,30%</w:t>
            </w:r>
          </w:p>
        </w:tc>
      </w:tr>
      <w:tr w:rsidR="003F4CFF" w:rsidRPr="001127D6" w14:paraId="095C0A3F"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86248F" w14:textId="77777777" w:rsidR="003F4CFF" w:rsidRPr="001127D6" w:rsidRDefault="003F4CFF" w:rsidP="003F4CFF">
            <w:pPr>
              <w:rPr>
                <w:rFonts w:ascii="Times New Roman" w:eastAsia="Times New Roman" w:hAnsi="Times New Roman" w:cs="Times New Roman"/>
                <w:sz w:val="16"/>
                <w:szCs w:val="16"/>
              </w:rPr>
            </w:pPr>
            <w:r w:rsidRPr="001127D6">
              <w:rPr>
                <w:rFonts w:ascii="Times New Roman" w:eastAsia="Times New Roman" w:hAnsi="Times New Roman" w:cs="Times New Roman"/>
                <w:sz w:val="16"/>
                <w:szCs w:val="16"/>
              </w:rPr>
              <w:t>Новосибирский МР</w:t>
            </w:r>
          </w:p>
        </w:tc>
        <w:tc>
          <w:tcPr>
            <w:tcW w:w="520" w:type="pct"/>
            <w:tcBorders>
              <w:top w:val="single" w:sz="4" w:space="0" w:color="auto"/>
              <w:left w:val="single" w:sz="4" w:space="0" w:color="auto"/>
              <w:bottom w:val="single" w:sz="4" w:space="0" w:color="auto"/>
              <w:right w:val="single" w:sz="4" w:space="0" w:color="auto"/>
            </w:tcBorders>
            <w:shd w:val="clear" w:color="auto" w:fill="FBA376"/>
            <w:vAlign w:val="center"/>
            <w:hideMark/>
          </w:tcPr>
          <w:p w14:paraId="56352F5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43,50%</w:t>
            </w:r>
          </w:p>
        </w:tc>
        <w:tc>
          <w:tcPr>
            <w:tcW w:w="497" w:type="pct"/>
            <w:tcBorders>
              <w:top w:val="single" w:sz="4" w:space="0" w:color="auto"/>
              <w:left w:val="single" w:sz="4" w:space="0" w:color="auto"/>
              <w:bottom w:val="single" w:sz="4" w:space="0" w:color="auto"/>
              <w:right w:val="single" w:sz="4" w:space="0" w:color="auto"/>
            </w:tcBorders>
            <w:shd w:val="clear" w:color="auto" w:fill="FA9F75"/>
            <w:vAlign w:val="center"/>
            <w:hideMark/>
          </w:tcPr>
          <w:p w14:paraId="516692B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63,20%</w:t>
            </w:r>
          </w:p>
        </w:tc>
        <w:tc>
          <w:tcPr>
            <w:tcW w:w="566" w:type="pct"/>
            <w:tcBorders>
              <w:top w:val="single" w:sz="4" w:space="0" w:color="auto"/>
              <w:left w:val="single" w:sz="4" w:space="0" w:color="auto"/>
              <w:bottom w:val="single" w:sz="4" w:space="0" w:color="auto"/>
              <w:right w:val="single" w:sz="4" w:space="0" w:color="auto"/>
            </w:tcBorders>
            <w:shd w:val="clear" w:color="auto" w:fill="FDD27F"/>
            <w:vAlign w:val="center"/>
            <w:hideMark/>
          </w:tcPr>
          <w:p w14:paraId="6718774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47,50%</w:t>
            </w:r>
          </w:p>
        </w:tc>
        <w:tc>
          <w:tcPr>
            <w:tcW w:w="497" w:type="pct"/>
            <w:tcBorders>
              <w:top w:val="single" w:sz="4" w:space="0" w:color="auto"/>
              <w:left w:val="single" w:sz="4" w:space="0" w:color="auto"/>
              <w:bottom w:val="single" w:sz="4" w:space="0" w:color="auto"/>
              <w:right w:val="single" w:sz="4" w:space="0" w:color="auto"/>
            </w:tcBorders>
            <w:shd w:val="clear" w:color="auto" w:fill="C2DA81"/>
            <w:vAlign w:val="center"/>
            <w:hideMark/>
          </w:tcPr>
          <w:p w14:paraId="30A60E4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87,20%</w:t>
            </w:r>
          </w:p>
        </w:tc>
        <w:tc>
          <w:tcPr>
            <w:tcW w:w="566" w:type="pct"/>
            <w:tcBorders>
              <w:top w:val="single" w:sz="4" w:space="0" w:color="auto"/>
              <w:left w:val="single" w:sz="4" w:space="0" w:color="auto"/>
              <w:bottom w:val="single" w:sz="4" w:space="0" w:color="auto"/>
              <w:right w:val="single" w:sz="4" w:space="0" w:color="auto"/>
            </w:tcBorders>
            <w:shd w:val="clear" w:color="auto" w:fill="FDC87D"/>
            <w:vAlign w:val="center"/>
            <w:hideMark/>
          </w:tcPr>
          <w:p w14:paraId="6D7FA2C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43,20%</w:t>
            </w:r>
          </w:p>
        </w:tc>
        <w:tc>
          <w:tcPr>
            <w:tcW w:w="551" w:type="pct"/>
            <w:tcBorders>
              <w:top w:val="single" w:sz="4" w:space="0" w:color="auto"/>
              <w:left w:val="single" w:sz="4" w:space="0" w:color="auto"/>
              <w:bottom w:val="single" w:sz="4" w:space="0" w:color="auto"/>
              <w:right w:val="single" w:sz="4" w:space="0" w:color="auto"/>
            </w:tcBorders>
            <w:shd w:val="clear" w:color="auto" w:fill="D0DE82"/>
            <w:vAlign w:val="center"/>
            <w:hideMark/>
          </w:tcPr>
          <w:p w14:paraId="54954B7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83,80%</w:t>
            </w:r>
          </w:p>
        </w:tc>
        <w:tc>
          <w:tcPr>
            <w:tcW w:w="468" w:type="pct"/>
            <w:tcBorders>
              <w:top w:val="single" w:sz="4" w:space="0" w:color="auto"/>
              <w:left w:val="single" w:sz="4" w:space="0" w:color="auto"/>
              <w:bottom w:val="single" w:sz="4" w:space="0" w:color="auto"/>
              <w:right w:val="single" w:sz="4" w:space="0" w:color="auto"/>
            </w:tcBorders>
            <w:shd w:val="clear" w:color="auto" w:fill="FEDD81"/>
            <w:vAlign w:val="center"/>
            <w:hideMark/>
          </w:tcPr>
          <w:p w14:paraId="7E7E037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50,80%</w:t>
            </w:r>
          </w:p>
        </w:tc>
        <w:tc>
          <w:tcPr>
            <w:tcW w:w="491" w:type="pct"/>
            <w:tcBorders>
              <w:top w:val="single" w:sz="4" w:space="0" w:color="auto"/>
              <w:left w:val="single" w:sz="4" w:space="0" w:color="auto"/>
              <w:bottom w:val="single" w:sz="4" w:space="0" w:color="auto"/>
              <w:right w:val="single" w:sz="4" w:space="0" w:color="auto"/>
            </w:tcBorders>
            <w:shd w:val="clear" w:color="auto" w:fill="DCE182"/>
            <w:vAlign w:val="center"/>
            <w:hideMark/>
          </w:tcPr>
          <w:p w14:paraId="43575B7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66,20%</w:t>
            </w:r>
          </w:p>
        </w:tc>
      </w:tr>
      <w:tr w:rsidR="003F4CFF" w:rsidRPr="001127D6" w14:paraId="00AA7618"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01C09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Ордынский МР</w:t>
            </w:r>
          </w:p>
        </w:tc>
        <w:tc>
          <w:tcPr>
            <w:tcW w:w="520" w:type="pct"/>
            <w:tcBorders>
              <w:top w:val="single" w:sz="4" w:space="0" w:color="auto"/>
              <w:left w:val="single" w:sz="4" w:space="0" w:color="auto"/>
              <w:bottom w:val="single" w:sz="4" w:space="0" w:color="auto"/>
              <w:right w:val="single" w:sz="4" w:space="0" w:color="auto"/>
            </w:tcBorders>
            <w:shd w:val="clear" w:color="auto" w:fill="EDE683"/>
            <w:vAlign w:val="center"/>
            <w:hideMark/>
          </w:tcPr>
          <w:p w14:paraId="7D46596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64,90%</w:t>
            </w:r>
          </w:p>
        </w:tc>
        <w:tc>
          <w:tcPr>
            <w:tcW w:w="497" w:type="pct"/>
            <w:tcBorders>
              <w:top w:val="single" w:sz="4" w:space="0" w:color="auto"/>
              <w:left w:val="single" w:sz="4" w:space="0" w:color="auto"/>
              <w:bottom w:val="single" w:sz="4" w:space="0" w:color="auto"/>
              <w:right w:val="single" w:sz="4" w:space="0" w:color="auto"/>
            </w:tcBorders>
            <w:shd w:val="clear" w:color="auto" w:fill="FFEB84"/>
            <w:vAlign w:val="center"/>
            <w:hideMark/>
          </w:tcPr>
          <w:p w14:paraId="0EE11B5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81,50%</w:t>
            </w:r>
          </w:p>
        </w:tc>
        <w:tc>
          <w:tcPr>
            <w:tcW w:w="566" w:type="pct"/>
            <w:tcBorders>
              <w:top w:val="single" w:sz="4" w:space="0" w:color="auto"/>
              <w:left w:val="single" w:sz="4" w:space="0" w:color="auto"/>
              <w:bottom w:val="single" w:sz="4" w:space="0" w:color="auto"/>
              <w:right w:val="single" w:sz="4" w:space="0" w:color="auto"/>
            </w:tcBorders>
            <w:shd w:val="clear" w:color="auto" w:fill="C8DC81"/>
            <w:vAlign w:val="center"/>
            <w:hideMark/>
          </w:tcPr>
          <w:p w14:paraId="6CE1A3C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70,00%</w:t>
            </w:r>
          </w:p>
        </w:tc>
        <w:tc>
          <w:tcPr>
            <w:tcW w:w="497" w:type="pct"/>
            <w:tcBorders>
              <w:top w:val="single" w:sz="4" w:space="0" w:color="auto"/>
              <w:left w:val="single" w:sz="4" w:space="0" w:color="auto"/>
              <w:bottom w:val="single" w:sz="4" w:space="0" w:color="auto"/>
              <w:right w:val="single" w:sz="4" w:space="0" w:color="auto"/>
            </w:tcBorders>
            <w:shd w:val="clear" w:color="auto" w:fill="E5E483"/>
            <w:vAlign w:val="center"/>
            <w:hideMark/>
          </w:tcPr>
          <w:p w14:paraId="2755E43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82,40%</w:t>
            </w:r>
          </w:p>
        </w:tc>
        <w:tc>
          <w:tcPr>
            <w:tcW w:w="566" w:type="pct"/>
            <w:tcBorders>
              <w:top w:val="single" w:sz="4" w:space="0" w:color="auto"/>
              <w:left w:val="single" w:sz="4" w:space="0" w:color="auto"/>
              <w:bottom w:val="single" w:sz="4" w:space="0" w:color="auto"/>
              <w:right w:val="single" w:sz="4" w:space="0" w:color="auto"/>
            </w:tcBorders>
            <w:shd w:val="clear" w:color="auto" w:fill="CBDC81"/>
            <w:vAlign w:val="center"/>
            <w:hideMark/>
          </w:tcPr>
          <w:p w14:paraId="2520C57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64,60%</w:t>
            </w:r>
          </w:p>
        </w:tc>
        <w:tc>
          <w:tcPr>
            <w:tcW w:w="551" w:type="pct"/>
            <w:tcBorders>
              <w:top w:val="single" w:sz="4" w:space="0" w:color="auto"/>
              <w:left w:val="single" w:sz="4" w:space="0" w:color="auto"/>
              <w:bottom w:val="single" w:sz="4" w:space="0" w:color="auto"/>
              <w:right w:val="single" w:sz="4" w:space="0" w:color="auto"/>
            </w:tcBorders>
            <w:shd w:val="clear" w:color="auto" w:fill="FED980"/>
            <w:vAlign w:val="center"/>
            <w:hideMark/>
          </w:tcPr>
          <w:p w14:paraId="7543EB2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69,60%</w:t>
            </w:r>
          </w:p>
        </w:tc>
        <w:tc>
          <w:tcPr>
            <w:tcW w:w="468" w:type="pct"/>
            <w:tcBorders>
              <w:top w:val="single" w:sz="4" w:space="0" w:color="auto"/>
              <w:left w:val="single" w:sz="4" w:space="0" w:color="auto"/>
              <w:bottom w:val="single" w:sz="4" w:space="0" w:color="auto"/>
              <w:right w:val="single" w:sz="4" w:space="0" w:color="auto"/>
            </w:tcBorders>
            <w:shd w:val="clear" w:color="auto" w:fill="A9D380"/>
            <w:vAlign w:val="center"/>
            <w:hideMark/>
          </w:tcPr>
          <w:p w14:paraId="49A1F6B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75,40%</w:t>
            </w:r>
          </w:p>
        </w:tc>
        <w:tc>
          <w:tcPr>
            <w:tcW w:w="491" w:type="pct"/>
            <w:tcBorders>
              <w:top w:val="single" w:sz="4" w:space="0" w:color="auto"/>
              <w:left w:val="single" w:sz="4" w:space="0" w:color="auto"/>
              <w:bottom w:val="single" w:sz="4" w:space="0" w:color="auto"/>
              <w:right w:val="single" w:sz="4" w:space="0" w:color="auto"/>
            </w:tcBorders>
            <w:shd w:val="clear" w:color="auto" w:fill="C9DC81"/>
            <w:vAlign w:val="center"/>
            <w:hideMark/>
          </w:tcPr>
          <w:p w14:paraId="65837EF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70,20%</w:t>
            </w:r>
          </w:p>
        </w:tc>
      </w:tr>
      <w:tr w:rsidR="003F4CFF" w:rsidRPr="001127D6" w14:paraId="605BC801"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81183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Северный МР</w:t>
            </w:r>
          </w:p>
        </w:tc>
        <w:tc>
          <w:tcPr>
            <w:tcW w:w="520" w:type="pct"/>
            <w:tcBorders>
              <w:top w:val="single" w:sz="4" w:space="0" w:color="auto"/>
              <w:left w:val="single" w:sz="4" w:space="0" w:color="auto"/>
              <w:bottom w:val="single" w:sz="4" w:space="0" w:color="auto"/>
              <w:right w:val="single" w:sz="4" w:space="0" w:color="auto"/>
            </w:tcBorders>
            <w:shd w:val="clear" w:color="auto" w:fill="D2DE82"/>
            <w:vAlign w:val="center"/>
            <w:hideMark/>
          </w:tcPr>
          <w:p w14:paraId="418AB0E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71,40%</w:t>
            </w:r>
          </w:p>
        </w:tc>
        <w:tc>
          <w:tcPr>
            <w:tcW w:w="497" w:type="pct"/>
            <w:tcBorders>
              <w:top w:val="single" w:sz="4" w:space="0" w:color="auto"/>
              <w:left w:val="single" w:sz="4" w:space="0" w:color="auto"/>
              <w:bottom w:val="single" w:sz="4" w:space="0" w:color="auto"/>
              <w:right w:val="single" w:sz="4" w:space="0" w:color="auto"/>
            </w:tcBorders>
            <w:shd w:val="clear" w:color="auto" w:fill="63BE7B"/>
            <w:vAlign w:val="center"/>
            <w:hideMark/>
          </w:tcPr>
          <w:p w14:paraId="00B05DE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98,60%</w:t>
            </w:r>
          </w:p>
        </w:tc>
        <w:tc>
          <w:tcPr>
            <w:tcW w:w="566" w:type="pct"/>
            <w:tcBorders>
              <w:top w:val="single" w:sz="4" w:space="0" w:color="auto"/>
              <w:left w:val="single" w:sz="4" w:space="0" w:color="auto"/>
              <w:bottom w:val="single" w:sz="4" w:space="0" w:color="auto"/>
              <w:right w:val="single" w:sz="4" w:space="0" w:color="auto"/>
            </w:tcBorders>
            <w:shd w:val="clear" w:color="auto" w:fill="ACD380"/>
            <w:vAlign w:val="center"/>
            <w:hideMark/>
          </w:tcPr>
          <w:p w14:paraId="090E2A1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76,90%</w:t>
            </w:r>
          </w:p>
        </w:tc>
        <w:tc>
          <w:tcPr>
            <w:tcW w:w="497" w:type="pct"/>
            <w:tcBorders>
              <w:top w:val="single" w:sz="4" w:space="0" w:color="auto"/>
              <w:left w:val="single" w:sz="4" w:space="0" w:color="auto"/>
              <w:bottom w:val="single" w:sz="4" w:space="0" w:color="auto"/>
              <w:right w:val="single" w:sz="4" w:space="0" w:color="auto"/>
            </w:tcBorders>
            <w:shd w:val="clear" w:color="auto" w:fill="63BE7B"/>
            <w:vAlign w:val="center"/>
            <w:hideMark/>
          </w:tcPr>
          <w:p w14:paraId="7F71E51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100,00%</w:t>
            </w:r>
          </w:p>
        </w:tc>
        <w:tc>
          <w:tcPr>
            <w:tcW w:w="566" w:type="pct"/>
            <w:tcBorders>
              <w:top w:val="single" w:sz="4" w:space="0" w:color="auto"/>
              <w:left w:val="single" w:sz="4" w:space="0" w:color="auto"/>
              <w:bottom w:val="single" w:sz="4" w:space="0" w:color="auto"/>
              <w:right w:val="single" w:sz="4" w:space="0" w:color="auto"/>
            </w:tcBorders>
            <w:shd w:val="clear" w:color="auto" w:fill="B3D680"/>
            <w:vAlign w:val="center"/>
            <w:hideMark/>
          </w:tcPr>
          <w:p w14:paraId="4F6F5B5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70,70%</w:t>
            </w:r>
          </w:p>
        </w:tc>
        <w:tc>
          <w:tcPr>
            <w:tcW w:w="551" w:type="pct"/>
            <w:tcBorders>
              <w:top w:val="single" w:sz="4" w:space="0" w:color="auto"/>
              <w:left w:val="single" w:sz="4" w:space="0" w:color="auto"/>
              <w:bottom w:val="single" w:sz="4" w:space="0" w:color="auto"/>
              <w:right w:val="single" w:sz="4" w:space="0" w:color="auto"/>
            </w:tcBorders>
            <w:shd w:val="clear" w:color="auto" w:fill="7AC57D"/>
            <w:vAlign w:val="center"/>
            <w:hideMark/>
          </w:tcPr>
          <w:p w14:paraId="7E0F297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94,70%</w:t>
            </w:r>
          </w:p>
        </w:tc>
        <w:tc>
          <w:tcPr>
            <w:tcW w:w="468" w:type="pct"/>
            <w:tcBorders>
              <w:top w:val="single" w:sz="4" w:space="0" w:color="auto"/>
              <w:left w:val="single" w:sz="4" w:space="0" w:color="auto"/>
              <w:bottom w:val="single" w:sz="4" w:space="0" w:color="auto"/>
              <w:right w:val="single" w:sz="4" w:space="0" w:color="auto"/>
            </w:tcBorders>
            <w:shd w:val="clear" w:color="auto" w:fill="BDD881"/>
            <w:vAlign w:val="center"/>
            <w:hideMark/>
          </w:tcPr>
          <w:p w14:paraId="26B76BF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70,80%</w:t>
            </w:r>
          </w:p>
        </w:tc>
        <w:tc>
          <w:tcPr>
            <w:tcW w:w="491" w:type="pct"/>
            <w:tcBorders>
              <w:top w:val="single" w:sz="4" w:space="0" w:color="auto"/>
              <w:left w:val="single" w:sz="4" w:space="0" w:color="auto"/>
              <w:bottom w:val="single" w:sz="4" w:space="0" w:color="auto"/>
              <w:right w:val="single" w:sz="4" w:space="0" w:color="auto"/>
            </w:tcBorders>
            <w:shd w:val="clear" w:color="auto" w:fill="EBE683"/>
            <w:vAlign w:val="center"/>
            <w:hideMark/>
          </w:tcPr>
          <w:p w14:paraId="65B4B39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63,10%</w:t>
            </w:r>
          </w:p>
        </w:tc>
      </w:tr>
      <w:tr w:rsidR="003F4CFF" w:rsidRPr="001127D6" w14:paraId="69175868"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14C81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Сузунский МР</w:t>
            </w:r>
          </w:p>
        </w:tc>
        <w:tc>
          <w:tcPr>
            <w:tcW w:w="520" w:type="pct"/>
            <w:tcBorders>
              <w:top w:val="single" w:sz="4" w:space="0" w:color="auto"/>
              <w:left w:val="single" w:sz="4" w:space="0" w:color="auto"/>
              <w:bottom w:val="single" w:sz="4" w:space="0" w:color="auto"/>
              <w:right w:val="single" w:sz="4" w:space="0" w:color="auto"/>
            </w:tcBorders>
            <w:shd w:val="clear" w:color="auto" w:fill="FEE182"/>
            <w:vAlign w:val="center"/>
            <w:hideMark/>
          </w:tcPr>
          <w:p w14:paraId="044E2D7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58,50%</w:t>
            </w:r>
          </w:p>
        </w:tc>
        <w:tc>
          <w:tcPr>
            <w:tcW w:w="497" w:type="pct"/>
            <w:tcBorders>
              <w:top w:val="single" w:sz="4" w:space="0" w:color="auto"/>
              <w:left w:val="single" w:sz="4" w:space="0" w:color="auto"/>
              <w:bottom w:val="single" w:sz="4" w:space="0" w:color="auto"/>
              <w:right w:val="single" w:sz="4" w:space="0" w:color="auto"/>
            </w:tcBorders>
            <w:shd w:val="clear" w:color="auto" w:fill="F8786E"/>
            <w:vAlign w:val="center"/>
            <w:hideMark/>
          </w:tcPr>
          <w:p w14:paraId="4633372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53,80%</w:t>
            </w:r>
          </w:p>
        </w:tc>
        <w:tc>
          <w:tcPr>
            <w:tcW w:w="566" w:type="pct"/>
            <w:tcBorders>
              <w:top w:val="single" w:sz="4" w:space="0" w:color="auto"/>
              <w:left w:val="single" w:sz="4" w:space="0" w:color="auto"/>
              <w:bottom w:val="single" w:sz="4" w:space="0" w:color="auto"/>
              <w:right w:val="single" w:sz="4" w:space="0" w:color="auto"/>
            </w:tcBorders>
            <w:shd w:val="clear" w:color="auto" w:fill="FDCA7D"/>
            <w:vAlign w:val="center"/>
            <w:hideMark/>
          </w:tcPr>
          <w:p w14:paraId="35D69AF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44,40%</w:t>
            </w:r>
          </w:p>
        </w:tc>
        <w:tc>
          <w:tcPr>
            <w:tcW w:w="497" w:type="pct"/>
            <w:tcBorders>
              <w:top w:val="single" w:sz="4" w:space="0" w:color="auto"/>
              <w:left w:val="single" w:sz="4" w:space="0" w:color="auto"/>
              <w:bottom w:val="single" w:sz="4" w:space="0" w:color="auto"/>
              <w:right w:val="single" w:sz="4" w:space="0" w:color="auto"/>
            </w:tcBorders>
            <w:shd w:val="clear" w:color="auto" w:fill="FA9874"/>
            <w:vAlign w:val="center"/>
            <w:hideMark/>
          </w:tcPr>
          <w:p w14:paraId="0504F05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38,70%</w:t>
            </w:r>
          </w:p>
        </w:tc>
        <w:tc>
          <w:tcPr>
            <w:tcW w:w="566" w:type="pct"/>
            <w:tcBorders>
              <w:top w:val="single" w:sz="4" w:space="0" w:color="auto"/>
              <w:left w:val="single" w:sz="4" w:space="0" w:color="auto"/>
              <w:bottom w:val="single" w:sz="4" w:space="0" w:color="auto"/>
              <w:right w:val="single" w:sz="4" w:space="0" w:color="auto"/>
            </w:tcBorders>
            <w:shd w:val="clear" w:color="auto" w:fill="FEDB81"/>
            <w:vAlign w:val="center"/>
            <w:hideMark/>
          </w:tcPr>
          <w:p w14:paraId="2985334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47,50%</w:t>
            </w:r>
          </w:p>
        </w:tc>
        <w:tc>
          <w:tcPr>
            <w:tcW w:w="551" w:type="pct"/>
            <w:tcBorders>
              <w:top w:val="single" w:sz="4" w:space="0" w:color="auto"/>
              <w:left w:val="single" w:sz="4" w:space="0" w:color="auto"/>
              <w:bottom w:val="single" w:sz="4" w:space="0" w:color="auto"/>
              <w:right w:val="single" w:sz="4" w:space="0" w:color="auto"/>
            </w:tcBorders>
            <w:shd w:val="clear" w:color="auto" w:fill="FBA777"/>
            <w:vAlign w:val="center"/>
            <w:hideMark/>
          </w:tcPr>
          <w:p w14:paraId="760D771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45,60%</w:t>
            </w:r>
          </w:p>
        </w:tc>
        <w:tc>
          <w:tcPr>
            <w:tcW w:w="468" w:type="pct"/>
            <w:tcBorders>
              <w:top w:val="single" w:sz="4" w:space="0" w:color="auto"/>
              <w:left w:val="single" w:sz="4" w:space="0" w:color="auto"/>
              <w:bottom w:val="single" w:sz="4" w:space="0" w:color="auto"/>
              <w:right w:val="single" w:sz="4" w:space="0" w:color="auto"/>
            </w:tcBorders>
            <w:shd w:val="clear" w:color="auto" w:fill="FCC47C"/>
            <w:vAlign w:val="center"/>
            <w:hideMark/>
          </w:tcPr>
          <w:p w14:paraId="7D9FC6E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41,80%</w:t>
            </w:r>
          </w:p>
        </w:tc>
        <w:tc>
          <w:tcPr>
            <w:tcW w:w="491" w:type="pct"/>
            <w:tcBorders>
              <w:top w:val="single" w:sz="4" w:space="0" w:color="auto"/>
              <w:left w:val="single" w:sz="4" w:space="0" w:color="auto"/>
              <w:bottom w:val="single" w:sz="4" w:space="0" w:color="auto"/>
              <w:right w:val="single" w:sz="4" w:space="0" w:color="auto"/>
            </w:tcBorders>
            <w:shd w:val="clear" w:color="auto" w:fill="FBA977"/>
            <w:vAlign w:val="center"/>
            <w:hideMark/>
          </w:tcPr>
          <w:p w14:paraId="759ED32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34,40%</w:t>
            </w:r>
          </w:p>
        </w:tc>
      </w:tr>
      <w:tr w:rsidR="003F4CFF" w:rsidRPr="001127D6" w14:paraId="58C58E73"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A7748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Татарский МР</w:t>
            </w:r>
          </w:p>
        </w:tc>
        <w:tc>
          <w:tcPr>
            <w:tcW w:w="520" w:type="pct"/>
            <w:tcBorders>
              <w:top w:val="single" w:sz="4" w:space="0" w:color="auto"/>
              <w:left w:val="single" w:sz="4" w:space="0" w:color="auto"/>
              <w:bottom w:val="single" w:sz="4" w:space="0" w:color="auto"/>
              <w:right w:val="single" w:sz="4" w:space="0" w:color="auto"/>
            </w:tcBorders>
            <w:shd w:val="clear" w:color="auto" w:fill="FCB87A"/>
            <w:vAlign w:val="center"/>
            <w:hideMark/>
          </w:tcPr>
          <w:p w14:paraId="162D7A3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48,50%</w:t>
            </w:r>
          </w:p>
        </w:tc>
        <w:tc>
          <w:tcPr>
            <w:tcW w:w="497" w:type="pct"/>
            <w:tcBorders>
              <w:top w:val="single" w:sz="4" w:space="0" w:color="auto"/>
              <w:left w:val="single" w:sz="4" w:space="0" w:color="auto"/>
              <w:bottom w:val="single" w:sz="4" w:space="0" w:color="auto"/>
              <w:right w:val="single" w:sz="4" w:space="0" w:color="auto"/>
            </w:tcBorders>
            <w:shd w:val="clear" w:color="auto" w:fill="FEDF81"/>
            <w:vAlign w:val="center"/>
            <w:hideMark/>
          </w:tcPr>
          <w:p w14:paraId="69B570E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78,60%</w:t>
            </w:r>
          </w:p>
        </w:tc>
        <w:tc>
          <w:tcPr>
            <w:tcW w:w="566" w:type="pct"/>
            <w:tcBorders>
              <w:top w:val="single" w:sz="4" w:space="0" w:color="auto"/>
              <w:left w:val="single" w:sz="4" w:space="0" w:color="auto"/>
              <w:bottom w:val="single" w:sz="4" w:space="0" w:color="auto"/>
              <w:right w:val="single" w:sz="4" w:space="0" w:color="auto"/>
            </w:tcBorders>
            <w:shd w:val="clear" w:color="auto" w:fill="F2E884"/>
            <w:vAlign w:val="center"/>
            <w:hideMark/>
          </w:tcPr>
          <w:p w14:paraId="70B95C9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59,60%</w:t>
            </w:r>
          </w:p>
        </w:tc>
        <w:tc>
          <w:tcPr>
            <w:tcW w:w="497" w:type="pct"/>
            <w:tcBorders>
              <w:top w:val="single" w:sz="4" w:space="0" w:color="auto"/>
              <w:left w:val="single" w:sz="4" w:space="0" w:color="auto"/>
              <w:bottom w:val="single" w:sz="4" w:space="0" w:color="auto"/>
              <w:right w:val="single" w:sz="4" w:space="0" w:color="auto"/>
            </w:tcBorders>
            <w:shd w:val="clear" w:color="auto" w:fill="FEEA83"/>
            <w:vAlign w:val="center"/>
            <w:hideMark/>
          </w:tcPr>
          <w:p w14:paraId="122193F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78,70%</w:t>
            </w:r>
          </w:p>
        </w:tc>
        <w:tc>
          <w:tcPr>
            <w:tcW w:w="566" w:type="pct"/>
            <w:tcBorders>
              <w:top w:val="single" w:sz="4" w:space="0" w:color="auto"/>
              <w:left w:val="single" w:sz="4" w:space="0" w:color="auto"/>
              <w:bottom w:val="single" w:sz="4" w:space="0" w:color="auto"/>
              <w:right w:val="single" w:sz="4" w:space="0" w:color="auto"/>
            </w:tcBorders>
            <w:shd w:val="clear" w:color="auto" w:fill="FEEA83"/>
            <w:vAlign w:val="center"/>
            <w:hideMark/>
          </w:tcPr>
          <w:p w14:paraId="2D369B3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50,90%</w:t>
            </w:r>
          </w:p>
        </w:tc>
        <w:tc>
          <w:tcPr>
            <w:tcW w:w="551" w:type="pct"/>
            <w:tcBorders>
              <w:top w:val="single" w:sz="4" w:space="0" w:color="auto"/>
              <w:left w:val="single" w:sz="4" w:space="0" w:color="auto"/>
              <w:bottom w:val="single" w:sz="4" w:space="0" w:color="auto"/>
              <w:right w:val="single" w:sz="4" w:space="0" w:color="auto"/>
            </w:tcBorders>
            <w:shd w:val="clear" w:color="auto" w:fill="FDD37F"/>
            <w:vAlign w:val="center"/>
            <w:hideMark/>
          </w:tcPr>
          <w:p w14:paraId="22EC513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66,70%</w:t>
            </w:r>
          </w:p>
        </w:tc>
        <w:tc>
          <w:tcPr>
            <w:tcW w:w="468" w:type="pct"/>
            <w:tcBorders>
              <w:top w:val="single" w:sz="4" w:space="0" w:color="auto"/>
              <w:left w:val="single" w:sz="4" w:space="0" w:color="auto"/>
              <w:bottom w:val="single" w:sz="4" w:space="0" w:color="auto"/>
              <w:right w:val="single" w:sz="4" w:space="0" w:color="auto"/>
            </w:tcBorders>
            <w:shd w:val="clear" w:color="auto" w:fill="FEE182"/>
            <w:vAlign w:val="center"/>
            <w:hideMark/>
          </w:tcPr>
          <w:p w14:paraId="5EF4571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52,20%</w:t>
            </w:r>
          </w:p>
        </w:tc>
        <w:tc>
          <w:tcPr>
            <w:tcW w:w="491" w:type="pct"/>
            <w:tcBorders>
              <w:top w:val="single" w:sz="4" w:space="0" w:color="auto"/>
              <w:left w:val="single" w:sz="4" w:space="0" w:color="auto"/>
              <w:bottom w:val="single" w:sz="4" w:space="0" w:color="auto"/>
              <w:right w:val="single" w:sz="4" w:space="0" w:color="auto"/>
            </w:tcBorders>
            <w:shd w:val="clear" w:color="auto" w:fill="FCBB7A"/>
            <w:vAlign w:val="center"/>
            <w:hideMark/>
          </w:tcPr>
          <w:p w14:paraId="5EBECCD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41,20%</w:t>
            </w:r>
          </w:p>
        </w:tc>
      </w:tr>
      <w:tr w:rsidR="003F4CFF" w:rsidRPr="001127D6" w14:paraId="388DEBFD"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F6C80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Тогучинский МР</w:t>
            </w:r>
          </w:p>
        </w:tc>
        <w:tc>
          <w:tcPr>
            <w:tcW w:w="520" w:type="pct"/>
            <w:tcBorders>
              <w:top w:val="single" w:sz="4" w:space="0" w:color="auto"/>
              <w:left w:val="single" w:sz="4" w:space="0" w:color="auto"/>
              <w:bottom w:val="single" w:sz="4" w:space="0" w:color="auto"/>
              <w:right w:val="single" w:sz="4" w:space="0" w:color="auto"/>
            </w:tcBorders>
            <w:shd w:val="clear" w:color="auto" w:fill="FEDA80"/>
            <w:vAlign w:val="center"/>
            <w:hideMark/>
          </w:tcPr>
          <w:p w14:paraId="6F640D0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56,70%</w:t>
            </w:r>
          </w:p>
        </w:tc>
        <w:tc>
          <w:tcPr>
            <w:tcW w:w="497" w:type="pct"/>
            <w:tcBorders>
              <w:top w:val="single" w:sz="4" w:space="0" w:color="auto"/>
              <w:left w:val="single" w:sz="4" w:space="0" w:color="auto"/>
              <w:bottom w:val="single" w:sz="4" w:space="0" w:color="auto"/>
              <w:right w:val="single" w:sz="4" w:space="0" w:color="auto"/>
            </w:tcBorders>
            <w:shd w:val="clear" w:color="auto" w:fill="FA9F75"/>
            <w:vAlign w:val="center"/>
            <w:hideMark/>
          </w:tcPr>
          <w:p w14:paraId="6C55B67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63,10%</w:t>
            </w:r>
          </w:p>
        </w:tc>
        <w:tc>
          <w:tcPr>
            <w:tcW w:w="566" w:type="pct"/>
            <w:tcBorders>
              <w:top w:val="single" w:sz="4" w:space="0" w:color="auto"/>
              <w:left w:val="single" w:sz="4" w:space="0" w:color="auto"/>
              <w:bottom w:val="single" w:sz="4" w:space="0" w:color="auto"/>
              <w:right w:val="single" w:sz="4" w:space="0" w:color="auto"/>
            </w:tcBorders>
            <w:shd w:val="clear" w:color="auto" w:fill="FCB579"/>
            <w:vAlign w:val="center"/>
            <w:hideMark/>
          </w:tcPr>
          <w:p w14:paraId="2F46C28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36,70%</w:t>
            </w:r>
          </w:p>
        </w:tc>
        <w:tc>
          <w:tcPr>
            <w:tcW w:w="497" w:type="pct"/>
            <w:tcBorders>
              <w:top w:val="single" w:sz="4" w:space="0" w:color="auto"/>
              <w:left w:val="single" w:sz="4" w:space="0" w:color="auto"/>
              <w:bottom w:val="single" w:sz="4" w:space="0" w:color="auto"/>
              <w:right w:val="single" w:sz="4" w:space="0" w:color="auto"/>
            </w:tcBorders>
            <w:shd w:val="clear" w:color="auto" w:fill="FAA075"/>
            <w:vAlign w:val="center"/>
            <w:hideMark/>
          </w:tcPr>
          <w:p w14:paraId="48A1D59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42,60%</w:t>
            </w:r>
          </w:p>
        </w:tc>
        <w:tc>
          <w:tcPr>
            <w:tcW w:w="566" w:type="pct"/>
            <w:tcBorders>
              <w:top w:val="single" w:sz="4" w:space="0" w:color="auto"/>
              <w:left w:val="single" w:sz="4" w:space="0" w:color="auto"/>
              <w:bottom w:val="single" w:sz="4" w:space="0" w:color="auto"/>
              <w:right w:val="single" w:sz="4" w:space="0" w:color="auto"/>
            </w:tcBorders>
            <w:shd w:val="clear" w:color="auto" w:fill="FDCA7D"/>
            <w:vAlign w:val="center"/>
            <w:hideMark/>
          </w:tcPr>
          <w:p w14:paraId="038CCBB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43,50%</w:t>
            </w:r>
          </w:p>
        </w:tc>
        <w:tc>
          <w:tcPr>
            <w:tcW w:w="551" w:type="pct"/>
            <w:tcBorders>
              <w:top w:val="single" w:sz="4" w:space="0" w:color="auto"/>
              <w:left w:val="single" w:sz="4" w:space="0" w:color="auto"/>
              <w:bottom w:val="single" w:sz="4" w:space="0" w:color="auto"/>
              <w:right w:val="single" w:sz="4" w:space="0" w:color="auto"/>
            </w:tcBorders>
            <w:shd w:val="clear" w:color="auto" w:fill="FBB078"/>
            <w:vAlign w:val="center"/>
            <w:hideMark/>
          </w:tcPr>
          <w:p w14:paraId="4B6F0F1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50,00%</w:t>
            </w:r>
          </w:p>
        </w:tc>
        <w:tc>
          <w:tcPr>
            <w:tcW w:w="468" w:type="pct"/>
            <w:tcBorders>
              <w:top w:val="single" w:sz="4" w:space="0" w:color="auto"/>
              <w:left w:val="single" w:sz="4" w:space="0" w:color="auto"/>
              <w:bottom w:val="single" w:sz="4" w:space="0" w:color="auto"/>
              <w:right w:val="single" w:sz="4" w:space="0" w:color="auto"/>
            </w:tcBorders>
            <w:shd w:val="clear" w:color="auto" w:fill="FDD07E"/>
            <w:vAlign w:val="center"/>
            <w:hideMark/>
          </w:tcPr>
          <w:p w14:paraId="7EA3556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46,20%</w:t>
            </w:r>
          </w:p>
        </w:tc>
        <w:tc>
          <w:tcPr>
            <w:tcW w:w="491" w:type="pct"/>
            <w:tcBorders>
              <w:top w:val="single" w:sz="4" w:space="0" w:color="auto"/>
              <w:left w:val="single" w:sz="4" w:space="0" w:color="auto"/>
              <w:bottom w:val="single" w:sz="4" w:space="0" w:color="auto"/>
              <w:right w:val="single" w:sz="4" w:space="0" w:color="auto"/>
            </w:tcBorders>
            <w:shd w:val="clear" w:color="auto" w:fill="FDD17F"/>
            <w:vAlign w:val="center"/>
            <w:hideMark/>
          </w:tcPr>
          <w:p w14:paraId="5B110F8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49,20%</w:t>
            </w:r>
          </w:p>
        </w:tc>
      </w:tr>
      <w:tr w:rsidR="003F4CFF" w:rsidRPr="001127D6" w14:paraId="4415BB7A"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A30DF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Убинский МР</w:t>
            </w:r>
          </w:p>
        </w:tc>
        <w:tc>
          <w:tcPr>
            <w:tcW w:w="520" w:type="pct"/>
            <w:tcBorders>
              <w:top w:val="single" w:sz="4" w:space="0" w:color="auto"/>
              <w:left w:val="single" w:sz="4" w:space="0" w:color="auto"/>
              <w:bottom w:val="single" w:sz="4" w:space="0" w:color="auto"/>
              <w:right w:val="single" w:sz="4" w:space="0" w:color="auto"/>
            </w:tcBorders>
            <w:shd w:val="clear" w:color="auto" w:fill="FBAC77"/>
            <w:vAlign w:val="center"/>
            <w:hideMark/>
          </w:tcPr>
          <w:p w14:paraId="055CB540"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45,50%</w:t>
            </w:r>
          </w:p>
        </w:tc>
        <w:tc>
          <w:tcPr>
            <w:tcW w:w="497" w:type="pct"/>
            <w:tcBorders>
              <w:top w:val="single" w:sz="4" w:space="0" w:color="auto"/>
              <w:left w:val="single" w:sz="4" w:space="0" w:color="auto"/>
              <w:bottom w:val="single" w:sz="4" w:space="0" w:color="auto"/>
              <w:right w:val="single" w:sz="4" w:space="0" w:color="auto"/>
            </w:tcBorders>
            <w:shd w:val="clear" w:color="auto" w:fill="FDCA7D"/>
            <w:vAlign w:val="center"/>
            <w:hideMark/>
          </w:tcPr>
          <w:p w14:paraId="50A201E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73,50%</w:t>
            </w:r>
          </w:p>
        </w:tc>
        <w:tc>
          <w:tcPr>
            <w:tcW w:w="566" w:type="pct"/>
            <w:tcBorders>
              <w:top w:val="single" w:sz="4" w:space="0" w:color="auto"/>
              <w:left w:val="single" w:sz="4" w:space="0" w:color="auto"/>
              <w:bottom w:val="single" w:sz="4" w:space="0" w:color="auto"/>
              <w:right w:val="single" w:sz="4" w:space="0" w:color="auto"/>
            </w:tcBorders>
            <w:shd w:val="clear" w:color="auto" w:fill="FDC67C"/>
            <w:vAlign w:val="center"/>
            <w:hideMark/>
          </w:tcPr>
          <w:p w14:paraId="7230212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42,90%</w:t>
            </w:r>
          </w:p>
        </w:tc>
        <w:tc>
          <w:tcPr>
            <w:tcW w:w="497" w:type="pct"/>
            <w:tcBorders>
              <w:top w:val="single" w:sz="4" w:space="0" w:color="auto"/>
              <w:left w:val="single" w:sz="4" w:space="0" w:color="auto"/>
              <w:bottom w:val="single" w:sz="4" w:space="0" w:color="auto"/>
              <w:right w:val="single" w:sz="4" w:space="0" w:color="auto"/>
            </w:tcBorders>
            <w:shd w:val="clear" w:color="auto" w:fill="FEE582"/>
            <w:vAlign w:val="center"/>
            <w:hideMark/>
          </w:tcPr>
          <w:p w14:paraId="3B75E43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76,10%</w:t>
            </w:r>
          </w:p>
        </w:tc>
        <w:tc>
          <w:tcPr>
            <w:tcW w:w="566" w:type="pct"/>
            <w:tcBorders>
              <w:top w:val="single" w:sz="4" w:space="0" w:color="auto"/>
              <w:left w:val="single" w:sz="4" w:space="0" w:color="auto"/>
              <w:bottom w:val="single" w:sz="4" w:space="0" w:color="auto"/>
              <w:right w:val="single" w:sz="4" w:space="0" w:color="auto"/>
            </w:tcBorders>
            <w:shd w:val="clear" w:color="auto" w:fill="FDD17F"/>
            <w:vAlign w:val="center"/>
            <w:hideMark/>
          </w:tcPr>
          <w:p w14:paraId="34C1BBD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45,20%</w:t>
            </w:r>
          </w:p>
        </w:tc>
        <w:tc>
          <w:tcPr>
            <w:tcW w:w="551" w:type="pct"/>
            <w:tcBorders>
              <w:top w:val="single" w:sz="4" w:space="0" w:color="auto"/>
              <w:left w:val="single" w:sz="4" w:space="0" w:color="auto"/>
              <w:bottom w:val="single" w:sz="4" w:space="0" w:color="auto"/>
              <w:right w:val="single" w:sz="4" w:space="0" w:color="auto"/>
            </w:tcBorders>
            <w:shd w:val="clear" w:color="auto" w:fill="FCBA7A"/>
            <w:vAlign w:val="center"/>
            <w:hideMark/>
          </w:tcPr>
          <w:p w14:paraId="074F41F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54,80%</w:t>
            </w:r>
          </w:p>
        </w:tc>
        <w:tc>
          <w:tcPr>
            <w:tcW w:w="468" w:type="pct"/>
            <w:tcBorders>
              <w:top w:val="single" w:sz="4" w:space="0" w:color="auto"/>
              <w:left w:val="single" w:sz="4" w:space="0" w:color="auto"/>
              <w:bottom w:val="single" w:sz="4" w:space="0" w:color="auto"/>
              <w:right w:val="single" w:sz="4" w:space="0" w:color="auto"/>
            </w:tcBorders>
            <w:shd w:val="clear" w:color="auto" w:fill="FCB97A"/>
            <w:vAlign w:val="center"/>
            <w:hideMark/>
          </w:tcPr>
          <w:p w14:paraId="06A1FF3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37,90%</w:t>
            </w:r>
          </w:p>
        </w:tc>
        <w:tc>
          <w:tcPr>
            <w:tcW w:w="491" w:type="pct"/>
            <w:tcBorders>
              <w:top w:val="single" w:sz="4" w:space="0" w:color="auto"/>
              <w:left w:val="single" w:sz="4" w:space="0" w:color="auto"/>
              <w:bottom w:val="single" w:sz="4" w:space="0" w:color="auto"/>
              <w:right w:val="single" w:sz="4" w:space="0" w:color="auto"/>
            </w:tcBorders>
            <w:shd w:val="clear" w:color="auto" w:fill="FDC77D"/>
            <w:vAlign w:val="center"/>
            <w:hideMark/>
          </w:tcPr>
          <w:p w14:paraId="0FC9999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45,70%</w:t>
            </w:r>
          </w:p>
        </w:tc>
      </w:tr>
      <w:tr w:rsidR="003F4CFF" w:rsidRPr="001127D6" w14:paraId="3A1494AE"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C602B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Усть-Таркский МР</w:t>
            </w:r>
          </w:p>
        </w:tc>
        <w:tc>
          <w:tcPr>
            <w:tcW w:w="520" w:type="pct"/>
            <w:tcBorders>
              <w:top w:val="single" w:sz="4" w:space="0" w:color="auto"/>
              <w:left w:val="single" w:sz="4" w:space="0" w:color="auto"/>
              <w:bottom w:val="single" w:sz="4" w:space="0" w:color="auto"/>
              <w:right w:val="single" w:sz="4" w:space="0" w:color="auto"/>
            </w:tcBorders>
            <w:shd w:val="clear" w:color="auto" w:fill="F8696B"/>
            <w:vAlign w:val="center"/>
            <w:hideMark/>
          </w:tcPr>
          <w:p w14:paraId="17625C8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29,30%</w:t>
            </w:r>
          </w:p>
        </w:tc>
        <w:tc>
          <w:tcPr>
            <w:tcW w:w="497" w:type="pct"/>
            <w:tcBorders>
              <w:top w:val="single" w:sz="4" w:space="0" w:color="auto"/>
              <w:left w:val="single" w:sz="4" w:space="0" w:color="auto"/>
              <w:bottom w:val="single" w:sz="4" w:space="0" w:color="auto"/>
              <w:right w:val="single" w:sz="4" w:space="0" w:color="auto"/>
            </w:tcBorders>
            <w:shd w:val="clear" w:color="auto" w:fill="F8696B"/>
            <w:vAlign w:val="center"/>
            <w:hideMark/>
          </w:tcPr>
          <w:p w14:paraId="3384762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50,00%</w:t>
            </w:r>
          </w:p>
        </w:tc>
        <w:tc>
          <w:tcPr>
            <w:tcW w:w="566" w:type="pct"/>
            <w:tcBorders>
              <w:top w:val="single" w:sz="4" w:space="0" w:color="auto"/>
              <w:left w:val="single" w:sz="4" w:space="0" w:color="auto"/>
              <w:bottom w:val="single" w:sz="4" w:space="0" w:color="auto"/>
              <w:right w:val="single" w:sz="4" w:space="0" w:color="auto"/>
            </w:tcBorders>
            <w:shd w:val="clear" w:color="auto" w:fill="FBAC77"/>
            <w:vAlign w:val="center"/>
            <w:hideMark/>
          </w:tcPr>
          <w:p w14:paraId="7BB6224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33,30%</w:t>
            </w:r>
          </w:p>
        </w:tc>
        <w:tc>
          <w:tcPr>
            <w:tcW w:w="497" w:type="pct"/>
            <w:tcBorders>
              <w:top w:val="single" w:sz="4" w:space="0" w:color="auto"/>
              <w:left w:val="single" w:sz="4" w:space="0" w:color="auto"/>
              <w:bottom w:val="single" w:sz="4" w:space="0" w:color="auto"/>
              <w:right w:val="single" w:sz="4" w:space="0" w:color="auto"/>
            </w:tcBorders>
            <w:shd w:val="clear" w:color="auto" w:fill="FFEB84"/>
            <w:vAlign w:val="center"/>
            <w:hideMark/>
          </w:tcPr>
          <w:p w14:paraId="154D71F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78,80%</w:t>
            </w:r>
          </w:p>
        </w:tc>
        <w:tc>
          <w:tcPr>
            <w:tcW w:w="566" w:type="pct"/>
            <w:tcBorders>
              <w:top w:val="single" w:sz="4" w:space="0" w:color="auto"/>
              <w:left w:val="single" w:sz="4" w:space="0" w:color="auto"/>
              <w:bottom w:val="single" w:sz="4" w:space="0" w:color="auto"/>
              <w:right w:val="single" w:sz="4" w:space="0" w:color="auto"/>
            </w:tcBorders>
            <w:shd w:val="clear" w:color="auto" w:fill="FBAD78"/>
            <w:vAlign w:val="center"/>
            <w:hideMark/>
          </w:tcPr>
          <w:p w14:paraId="5719832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36,80%</w:t>
            </w:r>
          </w:p>
        </w:tc>
        <w:tc>
          <w:tcPr>
            <w:tcW w:w="551" w:type="pct"/>
            <w:tcBorders>
              <w:top w:val="single" w:sz="4" w:space="0" w:color="auto"/>
              <w:left w:val="single" w:sz="4" w:space="0" w:color="auto"/>
              <w:bottom w:val="single" w:sz="4" w:space="0" w:color="auto"/>
              <w:right w:val="single" w:sz="4" w:space="0" w:color="auto"/>
            </w:tcBorders>
            <w:shd w:val="clear" w:color="auto" w:fill="FEDB81"/>
            <w:vAlign w:val="center"/>
            <w:hideMark/>
          </w:tcPr>
          <w:p w14:paraId="08C9E72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70,40%</w:t>
            </w:r>
          </w:p>
        </w:tc>
        <w:tc>
          <w:tcPr>
            <w:tcW w:w="468" w:type="pct"/>
            <w:tcBorders>
              <w:top w:val="single" w:sz="4" w:space="0" w:color="auto"/>
              <w:left w:val="single" w:sz="4" w:space="0" w:color="auto"/>
              <w:bottom w:val="single" w:sz="4" w:space="0" w:color="auto"/>
              <w:right w:val="single" w:sz="4" w:space="0" w:color="auto"/>
            </w:tcBorders>
            <w:shd w:val="clear" w:color="auto" w:fill="FA9573"/>
            <w:vAlign w:val="center"/>
            <w:hideMark/>
          </w:tcPr>
          <w:p w14:paraId="44B6B26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25,00%</w:t>
            </w:r>
          </w:p>
        </w:tc>
        <w:tc>
          <w:tcPr>
            <w:tcW w:w="491" w:type="pct"/>
            <w:tcBorders>
              <w:top w:val="single" w:sz="4" w:space="0" w:color="auto"/>
              <w:left w:val="single" w:sz="4" w:space="0" w:color="auto"/>
              <w:bottom w:val="single" w:sz="4" w:space="0" w:color="auto"/>
              <w:right w:val="single" w:sz="4" w:space="0" w:color="auto"/>
            </w:tcBorders>
            <w:shd w:val="clear" w:color="auto" w:fill="FCBE7B"/>
            <w:vAlign w:val="center"/>
            <w:hideMark/>
          </w:tcPr>
          <w:p w14:paraId="2FE688A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42,30%</w:t>
            </w:r>
          </w:p>
        </w:tc>
      </w:tr>
      <w:tr w:rsidR="003F4CFF" w:rsidRPr="001127D6" w14:paraId="6A40AE27"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98AB48"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Чановский МР</w:t>
            </w:r>
          </w:p>
        </w:tc>
        <w:tc>
          <w:tcPr>
            <w:tcW w:w="520" w:type="pct"/>
            <w:tcBorders>
              <w:top w:val="single" w:sz="4" w:space="0" w:color="auto"/>
              <w:left w:val="single" w:sz="4" w:space="0" w:color="auto"/>
              <w:bottom w:val="single" w:sz="4" w:space="0" w:color="auto"/>
              <w:right w:val="single" w:sz="4" w:space="0" w:color="auto"/>
            </w:tcBorders>
            <w:shd w:val="clear" w:color="auto" w:fill="DEE283"/>
            <w:vAlign w:val="center"/>
            <w:hideMark/>
          </w:tcPr>
          <w:p w14:paraId="75EFBB5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68,60%</w:t>
            </w:r>
          </w:p>
        </w:tc>
        <w:tc>
          <w:tcPr>
            <w:tcW w:w="497" w:type="pct"/>
            <w:tcBorders>
              <w:top w:val="single" w:sz="4" w:space="0" w:color="auto"/>
              <w:left w:val="single" w:sz="4" w:space="0" w:color="auto"/>
              <w:bottom w:val="single" w:sz="4" w:space="0" w:color="auto"/>
              <w:right w:val="single" w:sz="4" w:space="0" w:color="auto"/>
            </w:tcBorders>
            <w:shd w:val="clear" w:color="auto" w:fill="FEE883"/>
            <w:vAlign w:val="center"/>
            <w:hideMark/>
          </w:tcPr>
          <w:p w14:paraId="08F34F81"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80,90%</w:t>
            </w:r>
          </w:p>
        </w:tc>
        <w:tc>
          <w:tcPr>
            <w:tcW w:w="566" w:type="pct"/>
            <w:tcBorders>
              <w:top w:val="single" w:sz="4" w:space="0" w:color="auto"/>
              <w:left w:val="single" w:sz="4" w:space="0" w:color="auto"/>
              <w:bottom w:val="single" w:sz="4" w:space="0" w:color="auto"/>
              <w:right w:val="single" w:sz="4" w:space="0" w:color="auto"/>
            </w:tcBorders>
            <w:shd w:val="clear" w:color="auto" w:fill="D1DE82"/>
            <w:vAlign w:val="center"/>
            <w:hideMark/>
          </w:tcPr>
          <w:p w14:paraId="793DB93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67,90%</w:t>
            </w:r>
          </w:p>
        </w:tc>
        <w:tc>
          <w:tcPr>
            <w:tcW w:w="497" w:type="pct"/>
            <w:tcBorders>
              <w:top w:val="single" w:sz="4" w:space="0" w:color="auto"/>
              <w:left w:val="single" w:sz="4" w:space="0" w:color="auto"/>
              <w:bottom w:val="single" w:sz="4" w:space="0" w:color="auto"/>
              <w:right w:val="single" w:sz="4" w:space="0" w:color="auto"/>
            </w:tcBorders>
            <w:shd w:val="clear" w:color="auto" w:fill="63BE7B"/>
            <w:vAlign w:val="center"/>
            <w:hideMark/>
          </w:tcPr>
          <w:p w14:paraId="4FF84DE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100,00%</w:t>
            </w:r>
          </w:p>
        </w:tc>
        <w:tc>
          <w:tcPr>
            <w:tcW w:w="566" w:type="pct"/>
            <w:tcBorders>
              <w:top w:val="single" w:sz="4" w:space="0" w:color="auto"/>
              <w:left w:val="single" w:sz="4" w:space="0" w:color="auto"/>
              <w:bottom w:val="single" w:sz="4" w:space="0" w:color="auto"/>
              <w:right w:val="single" w:sz="4" w:space="0" w:color="auto"/>
            </w:tcBorders>
            <w:shd w:val="clear" w:color="auto" w:fill="E0E283"/>
            <w:vAlign w:val="center"/>
            <w:hideMark/>
          </w:tcPr>
          <w:p w14:paraId="03D14A6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59,10%</w:t>
            </w:r>
          </w:p>
        </w:tc>
        <w:tc>
          <w:tcPr>
            <w:tcW w:w="551" w:type="pct"/>
            <w:tcBorders>
              <w:top w:val="single" w:sz="4" w:space="0" w:color="auto"/>
              <w:left w:val="single" w:sz="4" w:space="0" w:color="auto"/>
              <w:bottom w:val="single" w:sz="4" w:space="0" w:color="auto"/>
              <w:right w:val="single" w:sz="4" w:space="0" w:color="auto"/>
            </w:tcBorders>
            <w:shd w:val="clear" w:color="auto" w:fill="FCC37C"/>
            <w:vAlign w:val="center"/>
            <w:hideMark/>
          </w:tcPr>
          <w:p w14:paraId="0F1FD65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59,10%</w:t>
            </w:r>
          </w:p>
        </w:tc>
        <w:tc>
          <w:tcPr>
            <w:tcW w:w="468" w:type="pct"/>
            <w:tcBorders>
              <w:top w:val="single" w:sz="4" w:space="0" w:color="auto"/>
              <w:left w:val="single" w:sz="4" w:space="0" w:color="auto"/>
              <w:bottom w:val="single" w:sz="4" w:space="0" w:color="auto"/>
              <w:right w:val="single" w:sz="4" w:space="0" w:color="auto"/>
            </w:tcBorders>
            <w:shd w:val="clear" w:color="auto" w:fill="94CC7E"/>
            <w:vAlign w:val="center"/>
            <w:hideMark/>
          </w:tcPr>
          <w:p w14:paraId="536F872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80,30%</w:t>
            </w:r>
          </w:p>
        </w:tc>
        <w:tc>
          <w:tcPr>
            <w:tcW w:w="491" w:type="pct"/>
            <w:tcBorders>
              <w:top w:val="single" w:sz="4" w:space="0" w:color="auto"/>
              <w:left w:val="single" w:sz="4" w:space="0" w:color="auto"/>
              <w:bottom w:val="single" w:sz="4" w:space="0" w:color="auto"/>
              <w:right w:val="single" w:sz="4" w:space="0" w:color="auto"/>
            </w:tcBorders>
            <w:shd w:val="clear" w:color="auto" w:fill="FFEB84"/>
            <w:vAlign w:val="center"/>
            <w:hideMark/>
          </w:tcPr>
          <w:p w14:paraId="78A19792"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59,10%</w:t>
            </w:r>
          </w:p>
        </w:tc>
      </w:tr>
      <w:tr w:rsidR="003F4CFF" w:rsidRPr="001127D6" w14:paraId="54D5C996"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66009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Черепановский МР</w:t>
            </w:r>
          </w:p>
        </w:tc>
        <w:tc>
          <w:tcPr>
            <w:tcW w:w="520" w:type="pct"/>
            <w:tcBorders>
              <w:top w:val="single" w:sz="4" w:space="0" w:color="auto"/>
              <w:left w:val="single" w:sz="4" w:space="0" w:color="auto"/>
              <w:bottom w:val="single" w:sz="4" w:space="0" w:color="auto"/>
              <w:right w:val="single" w:sz="4" w:space="0" w:color="auto"/>
            </w:tcBorders>
            <w:shd w:val="clear" w:color="auto" w:fill="FEE582"/>
            <w:vAlign w:val="center"/>
            <w:hideMark/>
          </w:tcPr>
          <w:p w14:paraId="3A313BF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59,40%</w:t>
            </w:r>
          </w:p>
        </w:tc>
        <w:tc>
          <w:tcPr>
            <w:tcW w:w="497" w:type="pct"/>
            <w:tcBorders>
              <w:top w:val="single" w:sz="4" w:space="0" w:color="auto"/>
              <w:left w:val="single" w:sz="4" w:space="0" w:color="auto"/>
              <w:bottom w:val="single" w:sz="4" w:space="0" w:color="auto"/>
              <w:right w:val="single" w:sz="4" w:space="0" w:color="auto"/>
            </w:tcBorders>
            <w:shd w:val="clear" w:color="auto" w:fill="B3D580"/>
            <w:vAlign w:val="center"/>
            <w:hideMark/>
          </w:tcPr>
          <w:p w14:paraId="0DD6DC96"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89,90%</w:t>
            </w:r>
          </w:p>
        </w:tc>
        <w:tc>
          <w:tcPr>
            <w:tcW w:w="566" w:type="pct"/>
            <w:tcBorders>
              <w:top w:val="single" w:sz="4" w:space="0" w:color="auto"/>
              <w:left w:val="single" w:sz="4" w:space="0" w:color="auto"/>
              <w:bottom w:val="single" w:sz="4" w:space="0" w:color="auto"/>
              <w:right w:val="single" w:sz="4" w:space="0" w:color="auto"/>
            </w:tcBorders>
            <w:shd w:val="clear" w:color="auto" w:fill="FDCD7E"/>
            <w:vAlign w:val="center"/>
            <w:hideMark/>
          </w:tcPr>
          <w:p w14:paraId="06D9162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45,70%</w:t>
            </w:r>
          </w:p>
        </w:tc>
        <w:tc>
          <w:tcPr>
            <w:tcW w:w="497" w:type="pct"/>
            <w:tcBorders>
              <w:top w:val="single" w:sz="4" w:space="0" w:color="auto"/>
              <w:left w:val="single" w:sz="4" w:space="0" w:color="auto"/>
              <w:bottom w:val="single" w:sz="4" w:space="0" w:color="auto"/>
              <w:right w:val="single" w:sz="4" w:space="0" w:color="auto"/>
            </w:tcBorders>
            <w:shd w:val="clear" w:color="auto" w:fill="FFEB84"/>
            <w:vAlign w:val="center"/>
            <w:hideMark/>
          </w:tcPr>
          <w:p w14:paraId="5133775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78,80%</w:t>
            </w:r>
          </w:p>
        </w:tc>
        <w:tc>
          <w:tcPr>
            <w:tcW w:w="566" w:type="pct"/>
            <w:tcBorders>
              <w:top w:val="single" w:sz="4" w:space="0" w:color="auto"/>
              <w:left w:val="single" w:sz="4" w:space="0" w:color="auto"/>
              <w:bottom w:val="single" w:sz="4" w:space="0" w:color="auto"/>
              <w:right w:val="single" w:sz="4" w:space="0" w:color="auto"/>
            </w:tcBorders>
            <w:shd w:val="clear" w:color="auto" w:fill="E6E483"/>
            <w:vAlign w:val="center"/>
            <w:hideMark/>
          </w:tcPr>
          <w:p w14:paraId="3E76F02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57,60%</w:t>
            </w:r>
          </w:p>
        </w:tc>
        <w:tc>
          <w:tcPr>
            <w:tcW w:w="551" w:type="pct"/>
            <w:tcBorders>
              <w:top w:val="single" w:sz="4" w:space="0" w:color="auto"/>
              <w:left w:val="single" w:sz="4" w:space="0" w:color="auto"/>
              <w:bottom w:val="single" w:sz="4" w:space="0" w:color="auto"/>
              <w:right w:val="single" w:sz="4" w:space="0" w:color="auto"/>
            </w:tcBorders>
            <w:shd w:val="clear" w:color="auto" w:fill="F7E984"/>
            <w:vAlign w:val="center"/>
            <w:hideMark/>
          </w:tcPr>
          <w:p w14:paraId="73E8831A"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78,80%</w:t>
            </w:r>
          </w:p>
        </w:tc>
        <w:tc>
          <w:tcPr>
            <w:tcW w:w="468" w:type="pct"/>
            <w:tcBorders>
              <w:top w:val="single" w:sz="4" w:space="0" w:color="auto"/>
              <w:left w:val="single" w:sz="4" w:space="0" w:color="auto"/>
              <w:bottom w:val="single" w:sz="4" w:space="0" w:color="auto"/>
              <w:right w:val="single" w:sz="4" w:space="0" w:color="auto"/>
            </w:tcBorders>
            <w:shd w:val="clear" w:color="auto" w:fill="FBEA84"/>
            <w:vAlign w:val="center"/>
            <w:hideMark/>
          </w:tcPr>
          <w:p w14:paraId="39FA625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56,50%</w:t>
            </w:r>
          </w:p>
        </w:tc>
        <w:tc>
          <w:tcPr>
            <w:tcW w:w="491" w:type="pct"/>
            <w:tcBorders>
              <w:top w:val="single" w:sz="4" w:space="0" w:color="auto"/>
              <w:left w:val="single" w:sz="4" w:space="0" w:color="auto"/>
              <w:bottom w:val="single" w:sz="4" w:space="0" w:color="auto"/>
              <w:right w:val="single" w:sz="4" w:space="0" w:color="auto"/>
            </w:tcBorders>
            <w:shd w:val="clear" w:color="auto" w:fill="FEDB80"/>
            <w:vAlign w:val="center"/>
            <w:hideMark/>
          </w:tcPr>
          <w:p w14:paraId="559BCB5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52,90%</w:t>
            </w:r>
          </w:p>
        </w:tc>
      </w:tr>
      <w:tr w:rsidR="003F4CFF" w:rsidRPr="001127D6" w14:paraId="1ACEA4CA"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A363A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Чистоозерный МР</w:t>
            </w:r>
          </w:p>
        </w:tc>
        <w:tc>
          <w:tcPr>
            <w:tcW w:w="520" w:type="pct"/>
            <w:tcBorders>
              <w:top w:val="single" w:sz="4" w:space="0" w:color="auto"/>
              <w:left w:val="single" w:sz="4" w:space="0" w:color="auto"/>
              <w:bottom w:val="single" w:sz="4" w:space="0" w:color="auto"/>
              <w:right w:val="single" w:sz="4" w:space="0" w:color="auto"/>
            </w:tcBorders>
            <w:shd w:val="clear" w:color="auto" w:fill="63BE7B"/>
            <w:vAlign w:val="center"/>
            <w:hideMark/>
          </w:tcPr>
          <w:p w14:paraId="1F3391B5"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97,10%</w:t>
            </w:r>
          </w:p>
        </w:tc>
        <w:tc>
          <w:tcPr>
            <w:tcW w:w="497" w:type="pct"/>
            <w:tcBorders>
              <w:top w:val="single" w:sz="4" w:space="0" w:color="auto"/>
              <w:left w:val="single" w:sz="4" w:space="0" w:color="auto"/>
              <w:bottom w:val="single" w:sz="4" w:space="0" w:color="auto"/>
              <w:right w:val="single" w:sz="4" w:space="0" w:color="auto"/>
            </w:tcBorders>
            <w:shd w:val="clear" w:color="auto" w:fill="AAD380"/>
            <w:vAlign w:val="center"/>
            <w:hideMark/>
          </w:tcPr>
          <w:p w14:paraId="1869868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90,90%</w:t>
            </w:r>
          </w:p>
        </w:tc>
        <w:tc>
          <w:tcPr>
            <w:tcW w:w="566" w:type="pct"/>
            <w:tcBorders>
              <w:top w:val="single" w:sz="4" w:space="0" w:color="auto"/>
              <w:left w:val="single" w:sz="4" w:space="0" w:color="auto"/>
              <w:bottom w:val="single" w:sz="4" w:space="0" w:color="auto"/>
              <w:right w:val="single" w:sz="4" w:space="0" w:color="auto"/>
            </w:tcBorders>
            <w:shd w:val="clear" w:color="auto" w:fill="D6DF82"/>
            <w:vAlign w:val="center"/>
            <w:hideMark/>
          </w:tcPr>
          <w:p w14:paraId="235A9E3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66,70%</w:t>
            </w:r>
          </w:p>
        </w:tc>
        <w:tc>
          <w:tcPr>
            <w:tcW w:w="497" w:type="pct"/>
            <w:tcBorders>
              <w:top w:val="single" w:sz="4" w:space="0" w:color="auto"/>
              <w:left w:val="single" w:sz="4" w:space="0" w:color="auto"/>
              <w:bottom w:val="single" w:sz="4" w:space="0" w:color="auto"/>
              <w:right w:val="single" w:sz="4" w:space="0" w:color="auto"/>
            </w:tcBorders>
            <w:shd w:val="clear" w:color="auto" w:fill="FBAF78"/>
            <w:vAlign w:val="center"/>
            <w:hideMark/>
          </w:tcPr>
          <w:p w14:paraId="6675890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50,00%</w:t>
            </w:r>
          </w:p>
        </w:tc>
        <w:tc>
          <w:tcPr>
            <w:tcW w:w="566" w:type="pct"/>
            <w:tcBorders>
              <w:top w:val="single" w:sz="4" w:space="0" w:color="auto"/>
              <w:left w:val="single" w:sz="4" w:space="0" w:color="auto"/>
              <w:bottom w:val="single" w:sz="4" w:space="0" w:color="auto"/>
              <w:right w:val="single" w:sz="4" w:space="0" w:color="auto"/>
            </w:tcBorders>
            <w:shd w:val="clear" w:color="auto" w:fill="9DCF7F"/>
            <w:vAlign w:val="center"/>
            <w:hideMark/>
          </w:tcPr>
          <w:p w14:paraId="461625C9"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76,50%</w:t>
            </w:r>
          </w:p>
        </w:tc>
        <w:tc>
          <w:tcPr>
            <w:tcW w:w="551" w:type="pct"/>
            <w:tcBorders>
              <w:top w:val="single" w:sz="4" w:space="0" w:color="auto"/>
              <w:left w:val="single" w:sz="4" w:space="0" w:color="auto"/>
              <w:bottom w:val="single" w:sz="4" w:space="0" w:color="auto"/>
              <w:right w:val="single" w:sz="4" w:space="0" w:color="auto"/>
            </w:tcBorders>
            <w:shd w:val="clear" w:color="auto" w:fill="FBA977"/>
            <w:vAlign w:val="center"/>
            <w:hideMark/>
          </w:tcPr>
          <w:p w14:paraId="5AB466DC"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46,70%</w:t>
            </w:r>
          </w:p>
        </w:tc>
        <w:tc>
          <w:tcPr>
            <w:tcW w:w="468" w:type="pct"/>
            <w:tcBorders>
              <w:top w:val="single" w:sz="4" w:space="0" w:color="auto"/>
              <w:left w:val="single" w:sz="4" w:space="0" w:color="auto"/>
              <w:bottom w:val="single" w:sz="4" w:space="0" w:color="auto"/>
              <w:right w:val="single" w:sz="4" w:space="0" w:color="auto"/>
            </w:tcBorders>
            <w:shd w:val="clear" w:color="auto" w:fill="81C77D"/>
            <w:vAlign w:val="center"/>
            <w:hideMark/>
          </w:tcPr>
          <w:p w14:paraId="55DAF3C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84,60%</w:t>
            </w:r>
          </w:p>
        </w:tc>
        <w:tc>
          <w:tcPr>
            <w:tcW w:w="491" w:type="pct"/>
            <w:tcBorders>
              <w:top w:val="single" w:sz="4" w:space="0" w:color="auto"/>
              <w:left w:val="single" w:sz="4" w:space="0" w:color="auto"/>
              <w:bottom w:val="single" w:sz="4" w:space="0" w:color="auto"/>
              <w:right w:val="single" w:sz="4" w:space="0" w:color="auto"/>
            </w:tcBorders>
            <w:shd w:val="clear" w:color="auto" w:fill="FEE382"/>
            <w:vAlign w:val="center"/>
            <w:hideMark/>
          </w:tcPr>
          <w:p w14:paraId="4BC68AF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56,00%</w:t>
            </w:r>
          </w:p>
        </w:tc>
      </w:tr>
      <w:tr w:rsidR="003F4CFF" w:rsidRPr="001127D6" w14:paraId="26AE5657"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94988D"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Чулымский МР</w:t>
            </w:r>
          </w:p>
        </w:tc>
        <w:tc>
          <w:tcPr>
            <w:tcW w:w="520" w:type="pct"/>
            <w:tcBorders>
              <w:top w:val="single" w:sz="4" w:space="0" w:color="auto"/>
              <w:left w:val="single" w:sz="4" w:space="0" w:color="auto"/>
              <w:bottom w:val="single" w:sz="4" w:space="0" w:color="auto"/>
              <w:right w:val="single" w:sz="4" w:space="0" w:color="auto"/>
            </w:tcBorders>
            <w:shd w:val="clear" w:color="auto" w:fill="FBEA84"/>
            <w:vAlign w:val="center"/>
            <w:hideMark/>
          </w:tcPr>
          <w:p w14:paraId="53AD116B"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61,80%</w:t>
            </w:r>
          </w:p>
        </w:tc>
        <w:tc>
          <w:tcPr>
            <w:tcW w:w="497" w:type="pct"/>
            <w:tcBorders>
              <w:top w:val="single" w:sz="4" w:space="0" w:color="auto"/>
              <w:left w:val="single" w:sz="4" w:space="0" w:color="auto"/>
              <w:bottom w:val="single" w:sz="4" w:space="0" w:color="auto"/>
              <w:right w:val="single" w:sz="4" w:space="0" w:color="auto"/>
            </w:tcBorders>
            <w:shd w:val="clear" w:color="auto" w:fill="FDD680"/>
            <w:vAlign w:val="center"/>
            <w:hideMark/>
          </w:tcPr>
          <w:p w14:paraId="3182188E"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76,50%</w:t>
            </w:r>
          </w:p>
        </w:tc>
        <w:tc>
          <w:tcPr>
            <w:tcW w:w="566" w:type="pct"/>
            <w:tcBorders>
              <w:top w:val="single" w:sz="4" w:space="0" w:color="auto"/>
              <w:left w:val="single" w:sz="4" w:space="0" w:color="auto"/>
              <w:bottom w:val="single" w:sz="4" w:space="0" w:color="auto"/>
              <w:right w:val="single" w:sz="4" w:space="0" w:color="auto"/>
            </w:tcBorders>
            <w:shd w:val="clear" w:color="auto" w:fill="FDC67C"/>
            <w:vAlign w:val="center"/>
            <w:hideMark/>
          </w:tcPr>
          <w:p w14:paraId="66F4BB87"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42,90%</w:t>
            </w:r>
          </w:p>
        </w:tc>
        <w:tc>
          <w:tcPr>
            <w:tcW w:w="497" w:type="pct"/>
            <w:tcBorders>
              <w:top w:val="single" w:sz="4" w:space="0" w:color="auto"/>
              <w:left w:val="single" w:sz="4" w:space="0" w:color="auto"/>
              <w:bottom w:val="single" w:sz="4" w:space="0" w:color="auto"/>
              <w:right w:val="single" w:sz="4" w:space="0" w:color="auto"/>
            </w:tcBorders>
            <w:shd w:val="clear" w:color="auto" w:fill="FEE082"/>
            <w:vAlign w:val="center"/>
            <w:hideMark/>
          </w:tcPr>
          <w:p w14:paraId="55CB0FD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73,90%</w:t>
            </w:r>
          </w:p>
        </w:tc>
        <w:tc>
          <w:tcPr>
            <w:tcW w:w="566" w:type="pct"/>
            <w:tcBorders>
              <w:top w:val="single" w:sz="4" w:space="0" w:color="auto"/>
              <w:left w:val="single" w:sz="4" w:space="0" w:color="auto"/>
              <w:bottom w:val="single" w:sz="4" w:space="0" w:color="auto"/>
              <w:right w:val="single" w:sz="4" w:space="0" w:color="auto"/>
            </w:tcBorders>
            <w:shd w:val="clear" w:color="auto" w:fill="F2E884"/>
            <w:vAlign w:val="center"/>
            <w:hideMark/>
          </w:tcPr>
          <w:p w14:paraId="6A2CB21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54,50%</w:t>
            </w:r>
          </w:p>
        </w:tc>
        <w:tc>
          <w:tcPr>
            <w:tcW w:w="551" w:type="pct"/>
            <w:tcBorders>
              <w:top w:val="single" w:sz="4" w:space="0" w:color="auto"/>
              <w:left w:val="single" w:sz="4" w:space="0" w:color="auto"/>
              <w:bottom w:val="single" w:sz="4" w:space="0" w:color="auto"/>
              <w:right w:val="single" w:sz="4" w:space="0" w:color="auto"/>
            </w:tcBorders>
            <w:shd w:val="clear" w:color="auto" w:fill="FDD780"/>
            <w:vAlign w:val="center"/>
            <w:hideMark/>
          </w:tcPr>
          <w:p w14:paraId="4FB8A1D3"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68,20%</w:t>
            </w:r>
          </w:p>
        </w:tc>
        <w:tc>
          <w:tcPr>
            <w:tcW w:w="468" w:type="pct"/>
            <w:tcBorders>
              <w:top w:val="single" w:sz="4" w:space="0" w:color="auto"/>
              <w:left w:val="single" w:sz="4" w:space="0" w:color="auto"/>
              <w:bottom w:val="single" w:sz="4" w:space="0" w:color="auto"/>
              <w:right w:val="single" w:sz="4" w:space="0" w:color="auto"/>
            </w:tcBorders>
            <w:shd w:val="clear" w:color="auto" w:fill="FDD17F"/>
            <w:vAlign w:val="center"/>
            <w:hideMark/>
          </w:tcPr>
          <w:p w14:paraId="7924FF74"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46,40%</w:t>
            </w:r>
          </w:p>
        </w:tc>
        <w:tc>
          <w:tcPr>
            <w:tcW w:w="491" w:type="pct"/>
            <w:tcBorders>
              <w:top w:val="single" w:sz="4" w:space="0" w:color="auto"/>
              <w:left w:val="single" w:sz="4" w:space="0" w:color="auto"/>
              <w:bottom w:val="single" w:sz="4" w:space="0" w:color="auto"/>
              <w:right w:val="single" w:sz="4" w:space="0" w:color="auto"/>
            </w:tcBorders>
            <w:shd w:val="clear" w:color="auto" w:fill="FDC67C"/>
            <w:vAlign w:val="center"/>
            <w:hideMark/>
          </w:tcPr>
          <w:p w14:paraId="1B69033F" w14:textId="77777777" w:rsidR="003F4CFF" w:rsidRPr="001127D6" w:rsidRDefault="003F4CFF" w:rsidP="003F4CFF">
            <w:pPr>
              <w:rPr>
                <w:rFonts w:ascii="Times New Roman" w:eastAsia="Times New Roman" w:hAnsi="Times New Roman" w:cs="Times New Roman"/>
                <w:sz w:val="18"/>
                <w:szCs w:val="18"/>
              </w:rPr>
            </w:pPr>
            <w:r w:rsidRPr="001127D6">
              <w:rPr>
                <w:rFonts w:ascii="Times New Roman" w:eastAsia="Times New Roman" w:hAnsi="Times New Roman" w:cs="Times New Roman"/>
                <w:sz w:val="18"/>
                <w:szCs w:val="18"/>
              </w:rPr>
              <w:t>45,20%</w:t>
            </w:r>
          </w:p>
        </w:tc>
      </w:tr>
      <w:tr w:rsidR="003F4CFF" w:rsidRPr="001127D6" w14:paraId="0424A3CE" w14:textId="77777777" w:rsidTr="003F4CFF">
        <w:trPr>
          <w:trHeight w:val="20"/>
          <w:jc w:val="center"/>
        </w:trPr>
        <w:tc>
          <w:tcPr>
            <w:tcW w:w="8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3301E7" w14:textId="77777777" w:rsidR="003F4CFF" w:rsidRPr="001127D6" w:rsidRDefault="003F4CFF" w:rsidP="003F4CFF">
            <w:pPr>
              <w:rPr>
                <w:rFonts w:ascii="Times New Roman" w:eastAsia="Times New Roman" w:hAnsi="Times New Roman" w:cs="Times New Roman"/>
                <w:b/>
                <w:bCs/>
                <w:sz w:val="18"/>
                <w:szCs w:val="18"/>
              </w:rPr>
            </w:pPr>
            <w:r w:rsidRPr="001127D6">
              <w:rPr>
                <w:rFonts w:ascii="Times New Roman" w:eastAsia="Times New Roman" w:hAnsi="Times New Roman" w:cs="Times New Roman"/>
                <w:b/>
                <w:bCs/>
                <w:sz w:val="18"/>
                <w:szCs w:val="18"/>
              </w:rPr>
              <w:t>В среднем по НСО</w:t>
            </w:r>
          </w:p>
        </w:tc>
        <w:tc>
          <w:tcPr>
            <w:tcW w:w="520" w:type="pct"/>
            <w:tcBorders>
              <w:top w:val="single" w:sz="4" w:space="0" w:color="auto"/>
              <w:left w:val="single" w:sz="4" w:space="0" w:color="auto"/>
              <w:bottom w:val="single" w:sz="4" w:space="0" w:color="auto"/>
              <w:right w:val="single" w:sz="4" w:space="0" w:color="auto"/>
            </w:tcBorders>
            <w:shd w:val="clear" w:color="auto" w:fill="FED880"/>
            <w:vAlign w:val="center"/>
            <w:hideMark/>
          </w:tcPr>
          <w:p w14:paraId="04DCBA89" w14:textId="77777777" w:rsidR="003F4CFF" w:rsidRPr="001127D6" w:rsidRDefault="003F4CFF" w:rsidP="003F4CFF">
            <w:pPr>
              <w:rPr>
                <w:rFonts w:ascii="Times New Roman" w:eastAsia="Times New Roman" w:hAnsi="Times New Roman" w:cs="Times New Roman"/>
                <w:b/>
                <w:bCs/>
                <w:sz w:val="18"/>
                <w:szCs w:val="18"/>
              </w:rPr>
            </w:pPr>
            <w:r w:rsidRPr="001127D6">
              <w:rPr>
                <w:rFonts w:ascii="Times New Roman" w:eastAsia="Times New Roman" w:hAnsi="Times New Roman" w:cs="Times New Roman"/>
                <w:b/>
                <w:bCs/>
                <w:sz w:val="18"/>
                <w:szCs w:val="18"/>
              </w:rPr>
              <w:t>56,30%</w:t>
            </w:r>
          </w:p>
        </w:tc>
        <w:tc>
          <w:tcPr>
            <w:tcW w:w="497" w:type="pct"/>
            <w:tcBorders>
              <w:top w:val="single" w:sz="4" w:space="0" w:color="auto"/>
              <w:left w:val="single" w:sz="4" w:space="0" w:color="auto"/>
              <w:bottom w:val="single" w:sz="4" w:space="0" w:color="auto"/>
              <w:right w:val="single" w:sz="4" w:space="0" w:color="auto"/>
            </w:tcBorders>
            <w:shd w:val="clear" w:color="auto" w:fill="F5E884"/>
            <w:vAlign w:val="center"/>
            <w:hideMark/>
          </w:tcPr>
          <w:p w14:paraId="22ECD56A" w14:textId="77777777" w:rsidR="003F4CFF" w:rsidRPr="001127D6" w:rsidRDefault="003F4CFF" w:rsidP="003F4CFF">
            <w:pPr>
              <w:rPr>
                <w:rFonts w:ascii="Times New Roman" w:eastAsia="Times New Roman" w:hAnsi="Times New Roman" w:cs="Times New Roman"/>
                <w:b/>
                <w:bCs/>
                <w:sz w:val="18"/>
                <w:szCs w:val="18"/>
              </w:rPr>
            </w:pPr>
            <w:r w:rsidRPr="001127D6">
              <w:rPr>
                <w:rFonts w:ascii="Times New Roman" w:eastAsia="Times New Roman" w:hAnsi="Times New Roman" w:cs="Times New Roman"/>
                <w:b/>
                <w:bCs/>
                <w:sz w:val="18"/>
                <w:szCs w:val="18"/>
              </w:rPr>
              <w:t>82,60%</w:t>
            </w:r>
          </w:p>
        </w:tc>
        <w:tc>
          <w:tcPr>
            <w:tcW w:w="566" w:type="pct"/>
            <w:tcBorders>
              <w:top w:val="single" w:sz="4" w:space="0" w:color="auto"/>
              <w:left w:val="single" w:sz="4" w:space="0" w:color="auto"/>
              <w:bottom w:val="single" w:sz="4" w:space="0" w:color="auto"/>
              <w:right w:val="single" w:sz="4" w:space="0" w:color="auto"/>
            </w:tcBorders>
            <w:shd w:val="clear" w:color="auto" w:fill="FEE983"/>
            <w:vAlign w:val="center"/>
            <w:hideMark/>
          </w:tcPr>
          <w:p w14:paraId="72C40D76" w14:textId="77777777" w:rsidR="003F4CFF" w:rsidRPr="001127D6" w:rsidRDefault="003F4CFF" w:rsidP="003F4CFF">
            <w:pPr>
              <w:rPr>
                <w:rFonts w:ascii="Times New Roman" w:eastAsia="Times New Roman" w:hAnsi="Times New Roman" w:cs="Times New Roman"/>
                <w:b/>
                <w:bCs/>
                <w:sz w:val="18"/>
                <w:szCs w:val="18"/>
              </w:rPr>
            </w:pPr>
            <w:r w:rsidRPr="001127D6">
              <w:rPr>
                <w:rFonts w:ascii="Times New Roman" w:eastAsia="Times New Roman" w:hAnsi="Times New Roman" w:cs="Times New Roman"/>
                <w:b/>
                <w:bCs/>
                <w:sz w:val="18"/>
                <w:szCs w:val="18"/>
              </w:rPr>
              <w:t>55,90%</w:t>
            </w:r>
          </w:p>
        </w:tc>
        <w:tc>
          <w:tcPr>
            <w:tcW w:w="497" w:type="pct"/>
            <w:tcBorders>
              <w:top w:val="single" w:sz="4" w:space="0" w:color="auto"/>
              <w:left w:val="single" w:sz="4" w:space="0" w:color="auto"/>
              <w:bottom w:val="single" w:sz="4" w:space="0" w:color="auto"/>
              <w:right w:val="single" w:sz="4" w:space="0" w:color="auto"/>
            </w:tcBorders>
            <w:shd w:val="clear" w:color="auto" w:fill="FEE182"/>
            <w:vAlign w:val="center"/>
            <w:hideMark/>
          </w:tcPr>
          <w:p w14:paraId="66454C6B" w14:textId="77777777" w:rsidR="003F4CFF" w:rsidRPr="001127D6" w:rsidRDefault="003F4CFF" w:rsidP="003F4CFF">
            <w:pPr>
              <w:rPr>
                <w:rFonts w:ascii="Times New Roman" w:eastAsia="Times New Roman" w:hAnsi="Times New Roman" w:cs="Times New Roman"/>
                <w:b/>
                <w:bCs/>
                <w:sz w:val="18"/>
                <w:szCs w:val="18"/>
              </w:rPr>
            </w:pPr>
            <w:r w:rsidRPr="001127D6">
              <w:rPr>
                <w:rFonts w:ascii="Times New Roman" w:eastAsia="Times New Roman" w:hAnsi="Times New Roman" w:cs="Times New Roman"/>
                <w:b/>
                <w:bCs/>
                <w:sz w:val="18"/>
                <w:szCs w:val="18"/>
              </w:rPr>
              <w:t>74,40%</w:t>
            </w:r>
          </w:p>
        </w:tc>
        <w:tc>
          <w:tcPr>
            <w:tcW w:w="566" w:type="pct"/>
            <w:tcBorders>
              <w:top w:val="single" w:sz="4" w:space="0" w:color="auto"/>
              <w:left w:val="single" w:sz="4" w:space="0" w:color="auto"/>
              <w:bottom w:val="single" w:sz="4" w:space="0" w:color="auto"/>
              <w:right w:val="single" w:sz="4" w:space="0" w:color="auto"/>
            </w:tcBorders>
            <w:shd w:val="clear" w:color="auto" w:fill="FDCA7D"/>
            <w:vAlign w:val="center"/>
            <w:hideMark/>
          </w:tcPr>
          <w:p w14:paraId="0B919C16" w14:textId="77777777" w:rsidR="003F4CFF" w:rsidRPr="001127D6" w:rsidRDefault="003F4CFF" w:rsidP="003F4CFF">
            <w:pPr>
              <w:rPr>
                <w:rFonts w:ascii="Times New Roman" w:eastAsia="Times New Roman" w:hAnsi="Times New Roman" w:cs="Times New Roman"/>
                <w:b/>
                <w:bCs/>
                <w:sz w:val="18"/>
                <w:szCs w:val="18"/>
              </w:rPr>
            </w:pPr>
            <w:r w:rsidRPr="001127D6">
              <w:rPr>
                <w:rFonts w:ascii="Times New Roman" w:eastAsia="Times New Roman" w:hAnsi="Times New Roman" w:cs="Times New Roman"/>
                <w:b/>
                <w:bCs/>
                <w:sz w:val="18"/>
                <w:szCs w:val="18"/>
              </w:rPr>
              <w:t>43,50%</w:t>
            </w:r>
          </w:p>
        </w:tc>
        <w:tc>
          <w:tcPr>
            <w:tcW w:w="551" w:type="pct"/>
            <w:tcBorders>
              <w:top w:val="single" w:sz="4" w:space="0" w:color="auto"/>
              <w:left w:val="single" w:sz="4" w:space="0" w:color="auto"/>
              <w:bottom w:val="single" w:sz="4" w:space="0" w:color="auto"/>
              <w:right w:val="single" w:sz="4" w:space="0" w:color="auto"/>
            </w:tcBorders>
            <w:shd w:val="clear" w:color="auto" w:fill="FEDE81"/>
            <w:vAlign w:val="center"/>
            <w:hideMark/>
          </w:tcPr>
          <w:p w14:paraId="6C1DAB17" w14:textId="77777777" w:rsidR="003F4CFF" w:rsidRPr="001127D6" w:rsidRDefault="003F4CFF" w:rsidP="003F4CFF">
            <w:pPr>
              <w:rPr>
                <w:rFonts w:ascii="Times New Roman" w:eastAsia="Times New Roman" w:hAnsi="Times New Roman" w:cs="Times New Roman"/>
                <w:b/>
                <w:bCs/>
                <w:sz w:val="18"/>
                <w:szCs w:val="18"/>
              </w:rPr>
            </w:pPr>
            <w:r w:rsidRPr="001127D6">
              <w:rPr>
                <w:rFonts w:ascii="Times New Roman" w:eastAsia="Times New Roman" w:hAnsi="Times New Roman" w:cs="Times New Roman"/>
                <w:b/>
                <w:bCs/>
                <w:sz w:val="18"/>
                <w:szCs w:val="18"/>
              </w:rPr>
              <w:t>71,90%</w:t>
            </w:r>
          </w:p>
        </w:tc>
        <w:tc>
          <w:tcPr>
            <w:tcW w:w="468" w:type="pct"/>
            <w:tcBorders>
              <w:top w:val="single" w:sz="4" w:space="0" w:color="auto"/>
              <w:left w:val="single" w:sz="4" w:space="0" w:color="auto"/>
              <w:bottom w:val="single" w:sz="4" w:space="0" w:color="auto"/>
              <w:right w:val="single" w:sz="4" w:space="0" w:color="auto"/>
            </w:tcBorders>
            <w:shd w:val="clear" w:color="auto" w:fill="FEE783"/>
            <w:vAlign w:val="center"/>
            <w:hideMark/>
          </w:tcPr>
          <w:p w14:paraId="49398CE9" w14:textId="77777777" w:rsidR="003F4CFF" w:rsidRPr="001127D6" w:rsidRDefault="003F4CFF" w:rsidP="003F4CFF">
            <w:pPr>
              <w:rPr>
                <w:rFonts w:ascii="Times New Roman" w:eastAsia="Times New Roman" w:hAnsi="Times New Roman" w:cs="Times New Roman"/>
                <w:b/>
                <w:bCs/>
                <w:sz w:val="18"/>
                <w:szCs w:val="18"/>
              </w:rPr>
            </w:pPr>
            <w:r w:rsidRPr="001127D6">
              <w:rPr>
                <w:rFonts w:ascii="Times New Roman" w:eastAsia="Times New Roman" w:hAnsi="Times New Roman" w:cs="Times New Roman"/>
                <w:b/>
                <w:bCs/>
                <w:sz w:val="18"/>
                <w:szCs w:val="18"/>
              </w:rPr>
              <w:t>54,10%</w:t>
            </w:r>
          </w:p>
        </w:tc>
        <w:tc>
          <w:tcPr>
            <w:tcW w:w="491" w:type="pct"/>
            <w:tcBorders>
              <w:top w:val="single" w:sz="4" w:space="0" w:color="auto"/>
              <w:left w:val="single" w:sz="4" w:space="0" w:color="auto"/>
              <w:bottom w:val="single" w:sz="4" w:space="0" w:color="auto"/>
              <w:right w:val="single" w:sz="4" w:space="0" w:color="auto"/>
            </w:tcBorders>
            <w:shd w:val="clear" w:color="auto" w:fill="D1DE82"/>
            <w:vAlign w:val="center"/>
            <w:hideMark/>
          </w:tcPr>
          <w:p w14:paraId="3FDFB4B7" w14:textId="77777777" w:rsidR="003F4CFF" w:rsidRPr="001127D6" w:rsidRDefault="003F4CFF" w:rsidP="003F4CFF">
            <w:pPr>
              <w:rPr>
                <w:rFonts w:ascii="Times New Roman" w:eastAsia="Times New Roman" w:hAnsi="Times New Roman" w:cs="Times New Roman"/>
                <w:b/>
                <w:bCs/>
                <w:sz w:val="18"/>
                <w:szCs w:val="18"/>
              </w:rPr>
            </w:pPr>
            <w:r w:rsidRPr="001127D6">
              <w:rPr>
                <w:rFonts w:ascii="Times New Roman" w:eastAsia="Times New Roman" w:hAnsi="Times New Roman" w:cs="Times New Roman"/>
                <w:b/>
                <w:bCs/>
                <w:sz w:val="18"/>
                <w:szCs w:val="18"/>
              </w:rPr>
              <w:t>68,60%</w:t>
            </w:r>
          </w:p>
        </w:tc>
      </w:tr>
    </w:tbl>
    <w:p w14:paraId="0CACC8B7" w14:textId="77777777" w:rsidR="003F4CFF" w:rsidRPr="001127D6" w:rsidRDefault="003F4CFF" w:rsidP="003F4CFF">
      <w:pPr>
        <w:widowControl w:val="0"/>
        <w:autoSpaceDE w:val="0"/>
        <w:autoSpaceDN w:val="0"/>
        <w:adjustRightInd w:val="0"/>
        <w:ind w:firstLine="709"/>
        <w:jc w:val="both"/>
        <w:rPr>
          <w:rFonts w:ascii="Times New Roman" w:hAnsi="Times New Roman" w:cs="Times New Roman"/>
          <w:b/>
          <w:sz w:val="24"/>
          <w:szCs w:val="24"/>
        </w:rPr>
      </w:pPr>
    </w:p>
    <w:p w14:paraId="5B9CD4C5" w14:textId="77777777" w:rsidR="003F4CFF" w:rsidRPr="001127D6" w:rsidRDefault="003F4CFF" w:rsidP="003F4CFF">
      <w:pPr>
        <w:ind w:firstLine="567"/>
        <w:jc w:val="both"/>
        <w:rPr>
          <w:rFonts w:ascii="Times New Roman" w:hAnsi="Times New Roman" w:cs="Times New Roman"/>
          <w:b/>
          <w:sz w:val="28"/>
          <w:szCs w:val="28"/>
        </w:rPr>
      </w:pPr>
      <w:r w:rsidRPr="001127D6">
        <w:rPr>
          <w:rFonts w:ascii="Times New Roman" w:hAnsi="Times New Roman" w:cs="Times New Roman"/>
          <w:b/>
          <w:sz w:val="28"/>
          <w:szCs w:val="28"/>
        </w:rPr>
        <w:t>Уровень тарифов (цен) за отчетный и предшествующий отчетному периоды (годы)</w:t>
      </w:r>
    </w:p>
    <w:p w14:paraId="2A9B5D90"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Тарифы на услуги по передаче тепловой энергии, услуги водоснабжения и водоотведения с использованием централизованных систем, систем коммунальной инфраструктуры, оценены на соответствие индексу изменения размера вносимой гражданами платы за коммунальные услуги в среднем по субъекту Российской Федерации на 2019 год, утвержденному для Новосибирской области в размере 1,7% на I полугодие 2019 г. и 3,2% – на II полугодие 2019 г. Предельно допустимое отклонение по отдельным МО в I полугодии 2019 г. составляет 0%, во II полугодии 2019 г. – 3,2%. Индексы изменения размера платы за коммунальные услуги установлены одинаковыми для всех муниципальных образований области и вводятся в действие 1 января 2019 г. постановлением Губернатора Новосибирской области от 19 декабря 2018 г. № 259 «О предельных (максимальных) индексах изменения размера вносимой гражданами платы за коммунальные услуги в муниципальных образованиях Новосибирской области на 2019 - 2023 годы» г. установлены следующие индексы для отдельных коммунальных услуг:</w:t>
      </w:r>
    </w:p>
    <w:p w14:paraId="2561288B" w14:textId="77777777" w:rsidR="003F4CFF" w:rsidRPr="001127D6" w:rsidRDefault="003F4CFF" w:rsidP="003F4CFF">
      <w:pPr>
        <w:ind w:firstLine="567"/>
        <w:jc w:val="both"/>
        <w:rPr>
          <w:rFonts w:ascii="Times New Roman" w:hAnsi="Times New Roman" w:cs="Times New Roman"/>
          <w:b/>
          <w:sz w:val="28"/>
          <w:szCs w:val="28"/>
        </w:rPr>
      </w:pPr>
      <w:r w:rsidRPr="001127D6">
        <w:rPr>
          <w:rFonts w:ascii="Times New Roman" w:hAnsi="Times New Roman" w:cs="Times New Roman"/>
          <w:b/>
          <w:sz w:val="28"/>
          <w:szCs w:val="28"/>
        </w:rPr>
        <w:t>на I полугодие 2019 г.:</w:t>
      </w:r>
    </w:p>
    <w:p w14:paraId="1B5D1E10" w14:textId="77777777" w:rsidR="003F4CFF" w:rsidRPr="001127D6" w:rsidRDefault="003F4CFF" w:rsidP="003F4CFF">
      <w:pPr>
        <w:ind w:firstLine="567"/>
        <w:contextualSpacing/>
        <w:jc w:val="both"/>
        <w:rPr>
          <w:rFonts w:ascii="Times New Roman" w:hAnsi="Times New Roman" w:cs="Times New Roman"/>
          <w:sz w:val="28"/>
          <w:szCs w:val="28"/>
        </w:rPr>
      </w:pPr>
      <w:r w:rsidRPr="001127D6">
        <w:rPr>
          <w:rFonts w:ascii="Times New Roman" w:hAnsi="Times New Roman" w:cs="Times New Roman"/>
          <w:sz w:val="28"/>
          <w:szCs w:val="28"/>
        </w:rPr>
        <w:t>холодное водоснабжение – 101,7</w:t>
      </w:r>
      <w:r>
        <w:rPr>
          <w:rFonts w:ascii="Times New Roman" w:hAnsi="Times New Roman" w:cs="Times New Roman"/>
          <w:sz w:val="28"/>
          <w:szCs w:val="28"/>
        </w:rPr>
        <w:t>%;</w:t>
      </w:r>
    </w:p>
    <w:p w14:paraId="5E56FCD0" w14:textId="77777777" w:rsidR="003F4CFF" w:rsidRPr="001127D6" w:rsidRDefault="003F4CFF" w:rsidP="003F4CFF">
      <w:pPr>
        <w:ind w:firstLine="567"/>
        <w:contextualSpacing/>
        <w:jc w:val="both"/>
        <w:rPr>
          <w:rFonts w:ascii="Times New Roman" w:hAnsi="Times New Roman" w:cs="Times New Roman"/>
          <w:sz w:val="28"/>
          <w:szCs w:val="28"/>
        </w:rPr>
      </w:pPr>
      <w:r w:rsidRPr="001127D6">
        <w:rPr>
          <w:rFonts w:ascii="Times New Roman" w:hAnsi="Times New Roman" w:cs="Times New Roman"/>
          <w:sz w:val="28"/>
          <w:szCs w:val="28"/>
        </w:rPr>
        <w:t>отопление – 101,7</w:t>
      </w:r>
      <w:r>
        <w:rPr>
          <w:rFonts w:ascii="Times New Roman" w:hAnsi="Times New Roman" w:cs="Times New Roman"/>
          <w:sz w:val="28"/>
          <w:szCs w:val="28"/>
        </w:rPr>
        <w:t>%;</w:t>
      </w:r>
    </w:p>
    <w:p w14:paraId="4A2DAFD2" w14:textId="77777777" w:rsidR="003F4CFF" w:rsidRPr="001127D6" w:rsidRDefault="003F4CFF" w:rsidP="003F4CFF">
      <w:pPr>
        <w:ind w:firstLine="567"/>
        <w:contextualSpacing/>
        <w:jc w:val="both"/>
        <w:rPr>
          <w:rFonts w:ascii="Times New Roman" w:hAnsi="Times New Roman" w:cs="Times New Roman"/>
          <w:sz w:val="28"/>
          <w:szCs w:val="28"/>
        </w:rPr>
      </w:pPr>
      <w:r w:rsidRPr="001127D6">
        <w:rPr>
          <w:rFonts w:ascii="Times New Roman" w:hAnsi="Times New Roman" w:cs="Times New Roman"/>
          <w:sz w:val="28"/>
          <w:szCs w:val="28"/>
        </w:rPr>
        <w:t>электроснабжение – 101,7</w:t>
      </w:r>
      <w:r>
        <w:rPr>
          <w:rFonts w:ascii="Times New Roman" w:hAnsi="Times New Roman" w:cs="Times New Roman"/>
          <w:sz w:val="28"/>
          <w:szCs w:val="28"/>
        </w:rPr>
        <w:t>%;</w:t>
      </w:r>
    </w:p>
    <w:p w14:paraId="55BEF995" w14:textId="77777777" w:rsidR="003F4CFF" w:rsidRPr="001127D6" w:rsidRDefault="003F4CFF" w:rsidP="003F4CFF">
      <w:pPr>
        <w:ind w:firstLine="567"/>
        <w:contextualSpacing/>
        <w:jc w:val="both"/>
        <w:rPr>
          <w:rFonts w:ascii="Times New Roman" w:hAnsi="Times New Roman" w:cs="Times New Roman"/>
          <w:sz w:val="28"/>
          <w:szCs w:val="28"/>
        </w:rPr>
      </w:pPr>
      <w:r w:rsidRPr="001127D6">
        <w:rPr>
          <w:rFonts w:ascii="Times New Roman" w:hAnsi="Times New Roman" w:cs="Times New Roman"/>
          <w:sz w:val="28"/>
          <w:szCs w:val="28"/>
        </w:rPr>
        <w:t>газоснабжение – 101,7</w:t>
      </w:r>
      <w:r>
        <w:rPr>
          <w:rFonts w:ascii="Times New Roman" w:hAnsi="Times New Roman" w:cs="Times New Roman"/>
          <w:sz w:val="28"/>
          <w:szCs w:val="28"/>
        </w:rPr>
        <w:t>%</w:t>
      </w:r>
    </w:p>
    <w:p w14:paraId="1A79B15B" w14:textId="77777777" w:rsidR="003F4CFF" w:rsidRPr="001127D6" w:rsidRDefault="003F4CFF" w:rsidP="003F4CFF">
      <w:pPr>
        <w:ind w:firstLine="567"/>
        <w:contextualSpacing/>
        <w:jc w:val="both"/>
        <w:rPr>
          <w:rFonts w:ascii="Times New Roman" w:hAnsi="Times New Roman" w:cs="Times New Roman"/>
          <w:b/>
          <w:sz w:val="28"/>
          <w:szCs w:val="28"/>
        </w:rPr>
      </w:pPr>
      <w:r w:rsidRPr="001127D6">
        <w:rPr>
          <w:rFonts w:ascii="Times New Roman" w:hAnsi="Times New Roman" w:cs="Times New Roman"/>
          <w:b/>
          <w:sz w:val="28"/>
          <w:szCs w:val="28"/>
        </w:rPr>
        <w:t>на II полугодие 2019 г.:</w:t>
      </w:r>
    </w:p>
    <w:p w14:paraId="4995BCEF" w14:textId="77777777" w:rsidR="003F4CFF" w:rsidRPr="001127D6" w:rsidRDefault="003F4CFF" w:rsidP="003F4CFF">
      <w:pPr>
        <w:ind w:firstLine="567"/>
        <w:contextualSpacing/>
        <w:jc w:val="both"/>
        <w:rPr>
          <w:rFonts w:ascii="Times New Roman" w:hAnsi="Times New Roman" w:cs="Times New Roman"/>
          <w:sz w:val="28"/>
          <w:szCs w:val="28"/>
        </w:rPr>
      </w:pPr>
      <w:r w:rsidRPr="001127D6">
        <w:rPr>
          <w:rFonts w:ascii="Times New Roman" w:hAnsi="Times New Roman" w:cs="Times New Roman"/>
          <w:sz w:val="28"/>
          <w:szCs w:val="28"/>
        </w:rPr>
        <w:t>холодное водоснабжение – 103,2</w:t>
      </w:r>
      <w:r>
        <w:rPr>
          <w:rFonts w:ascii="Times New Roman" w:hAnsi="Times New Roman" w:cs="Times New Roman"/>
          <w:sz w:val="28"/>
          <w:szCs w:val="28"/>
        </w:rPr>
        <w:t>%;</w:t>
      </w:r>
    </w:p>
    <w:p w14:paraId="107E049A" w14:textId="77777777" w:rsidR="003F4CFF" w:rsidRPr="001127D6" w:rsidRDefault="003F4CFF" w:rsidP="003F4CFF">
      <w:pPr>
        <w:ind w:firstLine="567"/>
        <w:contextualSpacing/>
        <w:jc w:val="both"/>
        <w:rPr>
          <w:rFonts w:ascii="Times New Roman" w:hAnsi="Times New Roman" w:cs="Times New Roman"/>
          <w:sz w:val="28"/>
          <w:szCs w:val="28"/>
        </w:rPr>
      </w:pPr>
      <w:r w:rsidRPr="001127D6">
        <w:rPr>
          <w:rFonts w:ascii="Times New Roman" w:hAnsi="Times New Roman" w:cs="Times New Roman"/>
          <w:sz w:val="28"/>
          <w:szCs w:val="28"/>
        </w:rPr>
        <w:t>отопление – 103,2</w:t>
      </w:r>
      <w:r>
        <w:rPr>
          <w:rFonts w:ascii="Times New Roman" w:hAnsi="Times New Roman" w:cs="Times New Roman"/>
          <w:sz w:val="28"/>
          <w:szCs w:val="28"/>
        </w:rPr>
        <w:t>%;</w:t>
      </w:r>
    </w:p>
    <w:p w14:paraId="4D835160" w14:textId="77777777" w:rsidR="003F4CFF" w:rsidRPr="001127D6" w:rsidRDefault="003F4CFF" w:rsidP="003F4CFF">
      <w:pPr>
        <w:ind w:firstLine="567"/>
        <w:contextualSpacing/>
        <w:jc w:val="both"/>
        <w:rPr>
          <w:rFonts w:ascii="Times New Roman" w:hAnsi="Times New Roman" w:cs="Times New Roman"/>
          <w:sz w:val="28"/>
          <w:szCs w:val="28"/>
        </w:rPr>
      </w:pPr>
      <w:r w:rsidRPr="001127D6">
        <w:rPr>
          <w:rFonts w:ascii="Times New Roman" w:hAnsi="Times New Roman" w:cs="Times New Roman"/>
          <w:sz w:val="28"/>
          <w:szCs w:val="28"/>
        </w:rPr>
        <w:t>электроснабжение – 103,1</w:t>
      </w:r>
      <w:r>
        <w:rPr>
          <w:rFonts w:ascii="Times New Roman" w:hAnsi="Times New Roman" w:cs="Times New Roman"/>
          <w:sz w:val="28"/>
          <w:szCs w:val="28"/>
        </w:rPr>
        <w:t>%;</w:t>
      </w:r>
    </w:p>
    <w:p w14:paraId="41D5AA04" w14:textId="77777777" w:rsidR="003F4CFF" w:rsidRPr="001127D6" w:rsidRDefault="003F4CFF" w:rsidP="003F4CFF">
      <w:pPr>
        <w:ind w:firstLine="567"/>
        <w:contextualSpacing/>
        <w:jc w:val="both"/>
        <w:rPr>
          <w:rFonts w:ascii="Times New Roman" w:hAnsi="Times New Roman" w:cs="Times New Roman"/>
          <w:sz w:val="28"/>
          <w:szCs w:val="28"/>
        </w:rPr>
      </w:pPr>
      <w:r w:rsidRPr="001127D6">
        <w:rPr>
          <w:rFonts w:ascii="Times New Roman" w:hAnsi="Times New Roman" w:cs="Times New Roman"/>
          <w:sz w:val="28"/>
          <w:szCs w:val="28"/>
        </w:rPr>
        <w:t>газоснабжение – 103,2%.</w:t>
      </w:r>
    </w:p>
    <w:p w14:paraId="3CE822A3" w14:textId="68356E28"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lastRenderedPageBreak/>
        <w:t xml:space="preserve">Фактическое и предельное значение индекса в целом по всем видам коммунальных услуг в НСО в период с января по август 2019 г. полностью соответствуют друг </w:t>
      </w:r>
      <w:r w:rsidRPr="00E636ED">
        <w:rPr>
          <w:rFonts w:ascii="Times New Roman" w:hAnsi="Times New Roman" w:cs="Times New Roman"/>
          <w:sz w:val="28"/>
          <w:szCs w:val="28"/>
        </w:rPr>
        <w:t>другу (таблиц</w:t>
      </w:r>
      <w:r w:rsidR="00F34D87">
        <w:rPr>
          <w:rFonts w:ascii="Times New Roman" w:hAnsi="Times New Roman" w:cs="Times New Roman"/>
          <w:sz w:val="28"/>
          <w:szCs w:val="28"/>
        </w:rPr>
        <w:t>а</w:t>
      </w:r>
      <w:r w:rsidRPr="00E636ED">
        <w:rPr>
          <w:rFonts w:ascii="Times New Roman" w:hAnsi="Times New Roman" w:cs="Times New Roman"/>
          <w:sz w:val="28"/>
          <w:szCs w:val="28"/>
        </w:rPr>
        <w:t xml:space="preserve"> 19).</w:t>
      </w:r>
      <w:r w:rsidRPr="001127D6">
        <w:rPr>
          <w:rFonts w:ascii="Times New Roman" w:hAnsi="Times New Roman" w:cs="Times New Roman"/>
          <w:sz w:val="28"/>
          <w:szCs w:val="28"/>
        </w:rPr>
        <w:t xml:space="preserve"> </w:t>
      </w:r>
    </w:p>
    <w:p w14:paraId="3085901F" w14:textId="77777777" w:rsidR="003F4CFF" w:rsidRPr="00BF7B1F" w:rsidRDefault="003F4CFF" w:rsidP="003F4CFF">
      <w:pPr>
        <w:jc w:val="both"/>
        <w:rPr>
          <w:rFonts w:cs="Times New Roman"/>
          <w:sz w:val="22"/>
          <w:szCs w:val="22"/>
        </w:rPr>
      </w:pPr>
    </w:p>
    <w:p w14:paraId="0EF6C4FD" w14:textId="77777777" w:rsidR="003F4CFF" w:rsidRPr="00BF7B1F" w:rsidRDefault="003F4CFF" w:rsidP="003F4CFF">
      <w:pPr>
        <w:jc w:val="both"/>
        <w:rPr>
          <w:rFonts w:ascii="Times New Roman" w:hAnsi="Times New Roman" w:cs="Times New Roman"/>
          <w:sz w:val="28"/>
          <w:szCs w:val="28"/>
        </w:rPr>
      </w:pPr>
      <w:r w:rsidRPr="00E636ED">
        <w:rPr>
          <w:rFonts w:ascii="Times New Roman" w:hAnsi="Times New Roman" w:cs="Times New Roman"/>
          <w:sz w:val="28"/>
          <w:szCs w:val="28"/>
        </w:rPr>
        <w:t>Таблица</w:t>
      </w:r>
      <w:r>
        <w:rPr>
          <w:rFonts w:ascii="Times New Roman" w:hAnsi="Times New Roman" w:cs="Times New Roman"/>
          <w:sz w:val="28"/>
          <w:szCs w:val="28"/>
        </w:rPr>
        <w:t> 19 – </w:t>
      </w:r>
      <w:r w:rsidRPr="00BF7B1F">
        <w:rPr>
          <w:rFonts w:ascii="Times New Roman" w:hAnsi="Times New Roman" w:cs="Times New Roman"/>
          <w:sz w:val="28"/>
          <w:szCs w:val="28"/>
        </w:rPr>
        <w:t>Средний индекс изменения размера вносимой гражданами платы за коммунальные услуги в НСО за январь-октябрь 2018 г.</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1"/>
        <w:gridCol w:w="2435"/>
        <w:gridCol w:w="5665"/>
      </w:tblGrid>
      <w:tr w:rsidR="003F4CFF" w:rsidRPr="001127D6" w14:paraId="0695461D" w14:textId="77777777" w:rsidTr="008F6ED4">
        <w:trPr>
          <w:trHeight w:val="454"/>
          <w:jc w:val="center"/>
        </w:trPr>
        <w:tc>
          <w:tcPr>
            <w:tcW w:w="918" w:type="pct"/>
            <w:tcBorders>
              <w:top w:val="single" w:sz="4" w:space="0" w:color="auto"/>
              <w:left w:val="nil"/>
              <w:bottom w:val="single" w:sz="4" w:space="0" w:color="auto"/>
              <w:right w:val="single" w:sz="4" w:space="0" w:color="auto"/>
            </w:tcBorders>
            <w:shd w:val="clear" w:color="auto" w:fill="auto"/>
            <w:hideMark/>
          </w:tcPr>
          <w:p w14:paraId="2BEFDB94" w14:textId="77777777" w:rsidR="003F4CFF" w:rsidRPr="001127D6" w:rsidRDefault="003F4CFF" w:rsidP="003F4CFF">
            <w:pPr>
              <w:rPr>
                <w:rFonts w:ascii="Times New Roman" w:hAnsi="Times New Roman" w:cs="Times New Roman"/>
              </w:rPr>
            </w:pPr>
          </w:p>
        </w:tc>
        <w:tc>
          <w:tcPr>
            <w:tcW w:w="1227" w:type="pct"/>
            <w:tcBorders>
              <w:top w:val="single" w:sz="4" w:space="0" w:color="auto"/>
              <w:left w:val="single" w:sz="4" w:space="0" w:color="auto"/>
              <w:bottom w:val="single" w:sz="4" w:space="0" w:color="auto"/>
              <w:right w:val="single" w:sz="4" w:space="0" w:color="auto"/>
            </w:tcBorders>
            <w:shd w:val="clear" w:color="auto" w:fill="auto"/>
            <w:hideMark/>
          </w:tcPr>
          <w:p w14:paraId="2BC7830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Установленный предельный индекс</w:t>
            </w:r>
          </w:p>
        </w:tc>
        <w:tc>
          <w:tcPr>
            <w:tcW w:w="2855" w:type="pct"/>
            <w:tcBorders>
              <w:top w:val="single" w:sz="4" w:space="0" w:color="auto"/>
              <w:left w:val="single" w:sz="4" w:space="0" w:color="auto"/>
              <w:bottom w:val="single" w:sz="4" w:space="0" w:color="auto"/>
              <w:right w:val="nil"/>
            </w:tcBorders>
            <w:shd w:val="clear" w:color="auto" w:fill="auto"/>
            <w:hideMark/>
          </w:tcPr>
          <w:p w14:paraId="1FFB4BB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Соответствие фактического индекса роста (без учета обращения с ТКО) установленному предельному показателю</w:t>
            </w:r>
          </w:p>
        </w:tc>
      </w:tr>
      <w:tr w:rsidR="003F4CFF" w:rsidRPr="001127D6" w14:paraId="630DC511" w14:textId="77777777" w:rsidTr="008F6ED4">
        <w:trPr>
          <w:trHeight w:val="261"/>
          <w:jc w:val="center"/>
        </w:trPr>
        <w:tc>
          <w:tcPr>
            <w:tcW w:w="918" w:type="pct"/>
            <w:tcBorders>
              <w:top w:val="single" w:sz="4" w:space="0" w:color="auto"/>
              <w:left w:val="nil"/>
              <w:bottom w:val="single" w:sz="4" w:space="0" w:color="auto"/>
              <w:right w:val="single" w:sz="4" w:space="0" w:color="auto"/>
            </w:tcBorders>
            <w:shd w:val="clear" w:color="auto" w:fill="auto"/>
            <w:hideMark/>
          </w:tcPr>
          <w:p w14:paraId="27AF7FB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Январь</w:t>
            </w:r>
          </w:p>
        </w:tc>
        <w:tc>
          <w:tcPr>
            <w:tcW w:w="1227" w:type="pct"/>
            <w:tcBorders>
              <w:top w:val="single" w:sz="4" w:space="0" w:color="auto"/>
              <w:left w:val="single" w:sz="4" w:space="0" w:color="auto"/>
              <w:bottom w:val="single" w:sz="4" w:space="0" w:color="auto"/>
              <w:right w:val="single" w:sz="4" w:space="0" w:color="auto"/>
            </w:tcBorders>
            <w:shd w:val="clear" w:color="auto" w:fill="auto"/>
            <w:hideMark/>
          </w:tcPr>
          <w:p w14:paraId="12C30CF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0,0%</w:t>
            </w:r>
          </w:p>
        </w:tc>
        <w:tc>
          <w:tcPr>
            <w:tcW w:w="2855" w:type="pct"/>
            <w:tcBorders>
              <w:top w:val="single" w:sz="4" w:space="0" w:color="auto"/>
              <w:left w:val="single" w:sz="4" w:space="0" w:color="auto"/>
              <w:bottom w:val="single" w:sz="4" w:space="0" w:color="auto"/>
              <w:right w:val="nil"/>
            </w:tcBorders>
            <w:shd w:val="clear" w:color="auto" w:fill="auto"/>
            <w:hideMark/>
          </w:tcPr>
          <w:p w14:paraId="5FD3FFE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Соответствует</w:t>
            </w:r>
          </w:p>
        </w:tc>
      </w:tr>
      <w:tr w:rsidR="003F4CFF" w:rsidRPr="001127D6" w14:paraId="072372D0" w14:textId="77777777" w:rsidTr="008F6ED4">
        <w:trPr>
          <w:trHeight w:val="248"/>
          <w:jc w:val="center"/>
        </w:trPr>
        <w:tc>
          <w:tcPr>
            <w:tcW w:w="918" w:type="pct"/>
            <w:tcBorders>
              <w:top w:val="single" w:sz="4" w:space="0" w:color="auto"/>
              <w:left w:val="nil"/>
              <w:bottom w:val="single" w:sz="4" w:space="0" w:color="auto"/>
              <w:right w:val="single" w:sz="4" w:space="0" w:color="auto"/>
            </w:tcBorders>
            <w:shd w:val="clear" w:color="auto" w:fill="auto"/>
            <w:hideMark/>
          </w:tcPr>
          <w:p w14:paraId="224E103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Февраль</w:t>
            </w:r>
          </w:p>
        </w:tc>
        <w:tc>
          <w:tcPr>
            <w:tcW w:w="1227" w:type="pct"/>
            <w:tcBorders>
              <w:top w:val="single" w:sz="4" w:space="0" w:color="auto"/>
              <w:left w:val="single" w:sz="4" w:space="0" w:color="auto"/>
              <w:bottom w:val="single" w:sz="4" w:space="0" w:color="auto"/>
              <w:right w:val="single" w:sz="4" w:space="0" w:color="auto"/>
            </w:tcBorders>
            <w:shd w:val="clear" w:color="auto" w:fill="auto"/>
            <w:hideMark/>
          </w:tcPr>
          <w:p w14:paraId="27CFFAA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0,0%</w:t>
            </w:r>
          </w:p>
        </w:tc>
        <w:tc>
          <w:tcPr>
            <w:tcW w:w="2855" w:type="pct"/>
            <w:tcBorders>
              <w:top w:val="single" w:sz="4" w:space="0" w:color="auto"/>
              <w:left w:val="single" w:sz="4" w:space="0" w:color="auto"/>
              <w:bottom w:val="single" w:sz="4" w:space="0" w:color="auto"/>
              <w:right w:val="nil"/>
            </w:tcBorders>
            <w:shd w:val="clear" w:color="auto" w:fill="auto"/>
            <w:hideMark/>
          </w:tcPr>
          <w:p w14:paraId="70D06E4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Соответствует</w:t>
            </w:r>
          </w:p>
        </w:tc>
      </w:tr>
      <w:tr w:rsidR="003F4CFF" w:rsidRPr="001127D6" w14:paraId="642862A3" w14:textId="77777777" w:rsidTr="008F6ED4">
        <w:trPr>
          <w:trHeight w:val="248"/>
          <w:jc w:val="center"/>
        </w:trPr>
        <w:tc>
          <w:tcPr>
            <w:tcW w:w="918" w:type="pct"/>
            <w:tcBorders>
              <w:top w:val="single" w:sz="4" w:space="0" w:color="auto"/>
              <w:left w:val="nil"/>
              <w:bottom w:val="single" w:sz="4" w:space="0" w:color="auto"/>
              <w:right w:val="single" w:sz="4" w:space="0" w:color="auto"/>
            </w:tcBorders>
            <w:shd w:val="clear" w:color="auto" w:fill="auto"/>
            <w:hideMark/>
          </w:tcPr>
          <w:p w14:paraId="75F840F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Март</w:t>
            </w:r>
          </w:p>
        </w:tc>
        <w:tc>
          <w:tcPr>
            <w:tcW w:w="1227" w:type="pct"/>
            <w:tcBorders>
              <w:top w:val="single" w:sz="4" w:space="0" w:color="auto"/>
              <w:left w:val="single" w:sz="4" w:space="0" w:color="auto"/>
              <w:bottom w:val="single" w:sz="4" w:space="0" w:color="auto"/>
              <w:right w:val="single" w:sz="4" w:space="0" w:color="auto"/>
            </w:tcBorders>
            <w:shd w:val="clear" w:color="auto" w:fill="auto"/>
            <w:hideMark/>
          </w:tcPr>
          <w:p w14:paraId="4FE0644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0,0%</w:t>
            </w:r>
          </w:p>
        </w:tc>
        <w:tc>
          <w:tcPr>
            <w:tcW w:w="2855" w:type="pct"/>
            <w:tcBorders>
              <w:top w:val="single" w:sz="4" w:space="0" w:color="auto"/>
              <w:left w:val="single" w:sz="4" w:space="0" w:color="auto"/>
              <w:bottom w:val="single" w:sz="4" w:space="0" w:color="auto"/>
              <w:right w:val="nil"/>
            </w:tcBorders>
            <w:shd w:val="clear" w:color="auto" w:fill="auto"/>
            <w:hideMark/>
          </w:tcPr>
          <w:p w14:paraId="6E739BA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Соответствует</w:t>
            </w:r>
          </w:p>
        </w:tc>
      </w:tr>
      <w:tr w:rsidR="003F4CFF" w:rsidRPr="001127D6" w14:paraId="31A6337E" w14:textId="77777777" w:rsidTr="008F6ED4">
        <w:trPr>
          <w:trHeight w:val="261"/>
          <w:jc w:val="center"/>
        </w:trPr>
        <w:tc>
          <w:tcPr>
            <w:tcW w:w="918" w:type="pct"/>
            <w:tcBorders>
              <w:top w:val="single" w:sz="4" w:space="0" w:color="auto"/>
              <w:left w:val="nil"/>
              <w:bottom w:val="single" w:sz="4" w:space="0" w:color="auto"/>
              <w:right w:val="single" w:sz="4" w:space="0" w:color="auto"/>
            </w:tcBorders>
            <w:shd w:val="clear" w:color="auto" w:fill="auto"/>
            <w:hideMark/>
          </w:tcPr>
          <w:p w14:paraId="7C5CEDF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Апрель</w:t>
            </w:r>
          </w:p>
        </w:tc>
        <w:tc>
          <w:tcPr>
            <w:tcW w:w="1227" w:type="pct"/>
            <w:tcBorders>
              <w:top w:val="single" w:sz="4" w:space="0" w:color="auto"/>
              <w:left w:val="single" w:sz="4" w:space="0" w:color="auto"/>
              <w:bottom w:val="single" w:sz="4" w:space="0" w:color="auto"/>
              <w:right w:val="single" w:sz="4" w:space="0" w:color="auto"/>
            </w:tcBorders>
            <w:shd w:val="clear" w:color="auto" w:fill="auto"/>
            <w:hideMark/>
          </w:tcPr>
          <w:p w14:paraId="1421118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0,0%</w:t>
            </w:r>
          </w:p>
        </w:tc>
        <w:tc>
          <w:tcPr>
            <w:tcW w:w="2855" w:type="pct"/>
            <w:tcBorders>
              <w:top w:val="single" w:sz="4" w:space="0" w:color="auto"/>
              <w:left w:val="single" w:sz="4" w:space="0" w:color="auto"/>
              <w:bottom w:val="single" w:sz="4" w:space="0" w:color="auto"/>
              <w:right w:val="nil"/>
            </w:tcBorders>
            <w:shd w:val="clear" w:color="auto" w:fill="auto"/>
            <w:hideMark/>
          </w:tcPr>
          <w:p w14:paraId="53A9BC3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Соответствует</w:t>
            </w:r>
          </w:p>
        </w:tc>
      </w:tr>
      <w:tr w:rsidR="003F4CFF" w:rsidRPr="001127D6" w14:paraId="7B56AA23" w14:textId="77777777" w:rsidTr="008F6ED4">
        <w:trPr>
          <w:trHeight w:val="248"/>
          <w:jc w:val="center"/>
        </w:trPr>
        <w:tc>
          <w:tcPr>
            <w:tcW w:w="918" w:type="pct"/>
            <w:tcBorders>
              <w:top w:val="single" w:sz="4" w:space="0" w:color="auto"/>
              <w:left w:val="nil"/>
              <w:bottom w:val="single" w:sz="4" w:space="0" w:color="auto"/>
              <w:right w:val="single" w:sz="4" w:space="0" w:color="auto"/>
            </w:tcBorders>
            <w:shd w:val="clear" w:color="auto" w:fill="auto"/>
            <w:hideMark/>
          </w:tcPr>
          <w:p w14:paraId="5012346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Май</w:t>
            </w:r>
          </w:p>
        </w:tc>
        <w:tc>
          <w:tcPr>
            <w:tcW w:w="1227" w:type="pct"/>
            <w:tcBorders>
              <w:top w:val="single" w:sz="4" w:space="0" w:color="auto"/>
              <w:left w:val="single" w:sz="4" w:space="0" w:color="auto"/>
              <w:bottom w:val="single" w:sz="4" w:space="0" w:color="auto"/>
              <w:right w:val="single" w:sz="4" w:space="0" w:color="auto"/>
            </w:tcBorders>
            <w:shd w:val="clear" w:color="auto" w:fill="auto"/>
            <w:hideMark/>
          </w:tcPr>
          <w:p w14:paraId="65702B4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0,0%</w:t>
            </w:r>
          </w:p>
        </w:tc>
        <w:tc>
          <w:tcPr>
            <w:tcW w:w="2855" w:type="pct"/>
            <w:tcBorders>
              <w:top w:val="single" w:sz="4" w:space="0" w:color="auto"/>
              <w:left w:val="single" w:sz="4" w:space="0" w:color="auto"/>
              <w:bottom w:val="single" w:sz="4" w:space="0" w:color="auto"/>
              <w:right w:val="nil"/>
            </w:tcBorders>
            <w:shd w:val="clear" w:color="auto" w:fill="auto"/>
            <w:hideMark/>
          </w:tcPr>
          <w:p w14:paraId="1B392BE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Соответствует</w:t>
            </w:r>
          </w:p>
        </w:tc>
      </w:tr>
      <w:tr w:rsidR="003F4CFF" w:rsidRPr="001127D6" w14:paraId="3A2229C9" w14:textId="77777777" w:rsidTr="008F6ED4">
        <w:trPr>
          <w:trHeight w:val="248"/>
          <w:jc w:val="center"/>
        </w:trPr>
        <w:tc>
          <w:tcPr>
            <w:tcW w:w="918" w:type="pct"/>
            <w:tcBorders>
              <w:top w:val="single" w:sz="4" w:space="0" w:color="auto"/>
              <w:left w:val="nil"/>
              <w:bottom w:val="single" w:sz="4" w:space="0" w:color="auto"/>
              <w:right w:val="single" w:sz="4" w:space="0" w:color="auto"/>
            </w:tcBorders>
            <w:shd w:val="clear" w:color="auto" w:fill="auto"/>
            <w:hideMark/>
          </w:tcPr>
          <w:p w14:paraId="46CA03C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Июнь</w:t>
            </w:r>
          </w:p>
        </w:tc>
        <w:tc>
          <w:tcPr>
            <w:tcW w:w="1227" w:type="pct"/>
            <w:tcBorders>
              <w:top w:val="single" w:sz="4" w:space="0" w:color="auto"/>
              <w:left w:val="single" w:sz="4" w:space="0" w:color="auto"/>
              <w:bottom w:val="single" w:sz="4" w:space="0" w:color="auto"/>
              <w:right w:val="single" w:sz="4" w:space="0" w:color="auto"/>
            </w:tcBorders>
            <w:shd w:val="clear" w:color="auto" w:fill="auto"/>
            <w:hideMark/>
          </w:tcPr>
          <w:p w14:paraId="4EFF443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0,0%</w:t>
            </w:r>
          </w:p>
        </w:tc>
        <w:tc>
          <w:tcPr>
            <w:tcW w:w="2855" w:type="pct"/>
            <w:tcBorders>
              <w:top w:val="single" w:sz="4" w:space="0" w:color="auto"/>
              <w:left w:val="single" w:sz="4" w:space="0" w:color="auto"/>
              <w:bottom w:val="single" w:sz="4" w:space="0" w:color="auto"/>
              <w:right w:val="nil"/>
            </w:tcBorders>
            <w:shd w:val="clear" w:color="auto" w:fill="auto"/>
            <w:hideMark/>
          </w:tcPr>
          <w:p w14:paraId="31E85C1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Соответствует</w:t>
            </w:r>
          </w:p>
        </w:tc>
      </w:tr>
      <w:tr w:rsidR="003F4CFF" w:rsidRPr="001127D6" w14:paraId="36B330EB" w14:textId="77777777" w:rsidTr="008F6ED4">
        <w:trPr>
          <w:trHeight w:val="261"/>
          <w:jc w:val="center"/>
        </w:trPr>
        <w:tc>
          <w:tcPr>
            <w:tcW w:w="918" w:type="pct"/>
            <w:tcBorders>
              <w:top w:val="single" w:sz="4" w:space="0" w:color="auto"/>
              <w:left w:val="nil"/>
              <w:bottom w:val="single" w:sz="4" w:space="0" w:color="auto"/>
              <w:right w:val="single" w:sz="4" w:space="0" w:color="auto"/>
            </w:tcBorders>
            <w:shd w:val="clear" w:color="auto" w:fill="auto"/>
            <w:hideMark/>
          </w:tcPr>
          <w:p w14:paraId="4BA9E3C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Июль</w:t>
            </w:r>
          </w:p>
        </w:tc>
        <w:tc>
          <w:tcPr>
            <w:tcW w:w="1227" w:type="pct"/>
            <w:tcBorders>
              <w:top w:val="single" w:sz="4" w:space="0" w:color="auto"/>
              <w:left w:val="single" w:sz="4" w:space="0" w:color="auto"/>
              <w:bottom w:val="single" w:sz="4" w:space="0" w:color="auto"/>
              <w:right w:val="single" w:sz="4" w:space="0" w:color="auto"/>
            </w:tcBorders>
            <w:shd w:val="clear" w:color="auto" w:fill="auto"/>
            <w:hideMark/>
          </w:tcPr>
          <w:p w14:paraId="4F94286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3,2%</w:t>
            </w:r>
          </w:p>
        </w:tc>
        <w:tc>
          <w:tcPr>
            <w:tcW w:w="2855" w:type="pct"/>
            <w:tcBorders>
              <w:top w:val="single" w:sz="4" w:space="0" w:color="auto"/>
              <w:left w:val="single" w:sz="4" w:space="0" w:color="auto"/>
              <w:bottom w:val="single" w:sz="4" w:space="0" w:color="auto"/>
              <w:right w:val="nil"/>
            </w:tcBorders>
            <w:shd w:val="clear" w:color="auto" w:fill="auto"/>
            <w:hideMark/>
          </w:tcPr>
          <w:p w14:paraId="01DDD7F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Соответствует</w:t>
            </w:r>
          </w:p>
        </w:tc>
      </w:tr>
      <w:tr w:rsidR="003F4CFF" w:rsidRPr="001127D6" w14:paraId="0C9D9DD1" w14:textId="77777777" w:rsidTr="008F6ED4">
        <w:trPr>
          <w:trHeight w:val="261"/>
          <w:jc w:val="center"/>
        </w:trPr>
        <w:tc>
          <w:tcPr>
            <w:tcW w:w="918" w:type="pct"/>
            <w:tcBorders>
              <w:top w:val="single" w:sz="4" w:space="0" w:color="auto"/>
              <w:left w:val="nil"/>
              <w:bottom w:val="single" w:sz="4" w:space="0" w:color="auto"/>
              <w:right w:val="single" w:sz="4" w:space="0" w:color="auto"/>
            </w:tcBorders>
            <w:shd w:val="clear" w:color="auto" w:fill="auto"/>
            <w:hideMark/>
          </w:tcPr>
          <w:p w14:paraId="1368697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Август</w:t>
            </w:r>
          </w:p>
        </w:tc>
        <w:tc>
          <w:tcPr>
            <w:tcW w:w="1227" w:type="pct"/>
            <w:tcBorders>
              <w:top w:val="single" w:sz="4" w:space="0" w:color="auto"/>
              <w:left w:val="single" w:sz="4" w:space="0" w:color="auto"/>
              <w:bottom w:val="single" w:sz="4" w:space="0" w:color="auto"/>
              <w:right w:val="single" w:sz="4" w:space="0" w:color="auto"/>
            </w:tcBorders>
            <w:shd w:val="clear" w:color="auto" w:fill="auto"/>
            <w:hideMark/>
          </w:tcPr>
          <w:p w14:paraId="27A2A64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3,2%</w:t>
            </w:r>
          </w:p>
        </w:tc>
        <w:tc>
          <w:tcPr>
            <w:tcW w:w="2855" w:type="pct"/>
            <w:tcBorders>
              <w:top w:val="single" w:sz="4" w:space="0" w:color="auto"/>
              <w:left w:val="single" w:sz="4" w:space="0" w:color="auto"/>
              <w:bottom w:val="single" w:sz="4" w:space="0" w:color="auto"/>
              <w:right w:val="nil"/>
            </w:tcBorders>
            <w:shd w:val="clear" w:color="auto" w:fill="auto"/>
            <w:hideMark/>
          </w:tcPr>
          <w:p w14:paraId="25D2373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Соответствует</w:t>
            </w:r>
          </w:p>
        </w:tc>
      </w:tr>
    </w:tbl>
    <w:p w14:paraId="15BC0410" w14:textId="77777777" w:rsidR="003F4CFF" w:rsidRPr="003B3E01" w:rsidRDefault="003F4CFF" w:rsidP="003F4CFF">
      <w:pPr>
        <w:spacing w:line="259" w:lineRule="auto"/>
        <w:rPr>
          <w:rFonts w:ascii="Times New Roman" w:hAnsi="Times New Roman" w:cs="Times New Roman"/>
          <w:sz w:val="28"/>
          <w:szCs w:val="28"/>
        </w:rPr>
      </w:pPr>
    </w:p>
    <w:p w14:paraId="68F4A8EF" w14:textId="18B044B0" w:rsidR="003F4CFF" w:rsidRPr="001127D6" w:rsidRDefault="003F4CFF" w:rsidP="003F4CFF">
      <w:pPr>
        <w:ind w:firstLine="567"/>
        <w:jc w:val="both"/>
        <w:rPr>
          <w:rFonts w:ascii="Times New Roman" w:hAnsi="Times New Roman" w:cs="Times New Roman"/>
          <w:b/>
          <w:sz w:val="28"/>
          <w:szCs w:val="28"/>
        </w:rPr>
      </w:pPr>
      <w:r w:rsidRPr="001127D6">
        <w:rPr>
          <w:rFonts w:ascii="Times New Roman" w:hAnsi="Times New Roman" w:cs="Times New Roman"/>
          <w:b/>
          <w:sz w:val="28"/>
          <w:szCs w:val="28"/>
        </w:rPr>
        <w:t xml:space="preserve">Динамика тарифов на услуги естественных монополий </w:t>
      </w:r>
      <w:r w:rsidRPr="003B3E01">
        <w:rPr>
          <w:rFonts w:ascii="Times New Roman" w:hAnsi="Times New Roman" w:cs="Times New Roman"/>
          <w:sz w:val="28"/>
          <w:szCs w:val="28"/>
        </w:rPr>
        <w:t>( таблиц</w:t>
      </w:r>
      <w:r w:rsidR="00F34D87">
        <w:rPr>
          <w:rFonts w:ascii="Times New Roman" w:hAnsi="Times New Roman" w:cs="Times New Roman"/>
          <w:sz w:val="28"/>
          <w:szCs w:val="28"/>
        </w:rPr>
        <w:t>а</w:t>
      </w:r>
      <w:r w:rsidRPr="003B3E01">
        <w:rPr>
          <w:rFonts w:ascii="Times New Roman" w:hAnsi="Times New Roman" w:cs="Times New Roman"/>
          <w:sz w:val="28"/>
          <w:szCs w:val="28"/>
        </w:rPr>
        <w:t> 20)</w:t>
      </w:r>
      <w:r w:rsidRPr="003B3E01">
        <w:rPr>
          <w:rFonts w:ascii="Times New Roman" w:hAnsi="Times New Roman" w:cs="Times New Roman"/>
          <w:b/>
          <w:sz w:val="28"/>
          <w:szCs w:val="28"/>
        </w:rPr>
        <w:t>:</w:t>
      </w:r>
    </w:p>
    <w:p w14:paraId="0D01D1D6" w14:textId="77777777" w:rsidR="003F4CFF" w:rsidRPr="001127D6" w:rsidRDefault="003F4CFF" w:rsidP="003F4CFF">
      <w:pPr>
        <w:ind w:firstLine="567"/>
        <w:jc w:val="both"/>
        <w:rPr>
          <w:rFonts w:ascii="Times New Roman" w:hAnsi="Times New Roman" w:cs="Times New Roman"/>
          <w:sz w:val="28"/>
          <w:szCs w:val="28"/>
        </w:rPr>
      </w:pPr>
    </w:p>
    <w:p w14:paraId="19DBBFA2" w14:textId="77777777" w:rsidR="003F4CFF" w:rsidRPr="003B3E01" w:rsidRDefault="003F4CFF" w:rsidP="003F4CFF">
      <w:pPr>
        <w:jc w:val="both"/>
        <w:rPr>
          <w:rFonts w:ascii="Times New Roman" w:hAnsi="Times New Roman" w:cs="Times New Roman"/>
          <w:sz w:val="28"/>
          <w:szCs w:val="28"/>
        </w:rPr>
      </w:pPr>
      <w:r w:rsidRPr="003B3E01">
        <w:rPr>
          <w:rFonts w:ascii="Times New Roman" w:hAnsi="Times New Roman" w:cs="Times New Roman"/>
          <w:sz w:val="28"/>
          <w:szCs w:val="28"/>
        </w:rPr>
        <w:t>Таблица 20– Уровень тарифов (цен) за отчетный и предшествующий отчетному периоды (годы), установленных региональным органом по регулированию тарифов на рынках присутствия субъектов естественных монополий на территории Новосибирской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
        <w:gridCol w:w="2000"/>
        <w:gridCol w:w="7459"/>
      </w:tblGrid>
      <w:tr w:rsidR="003F4CFF" w:rsidRPr="001127D6" w14:paraId="66DBED77" w14:textId="77777777" w:rsidTr="008F6ED4">
        <w:trPr>
          <w:trHeight w:val="20"/>
          <w:tblHeader/>
        </w:trPr>
        <w:tc>
          <w:tcPr>
            <w:tcW w:w="228" w:type="pct"/>
            <w:shd w:val="clear" w:color="auto" w:fill="auto"/>
            <w:vAlign w:val="center"/>
            <w:hideMark/>
          </w:tcPr>
          <w:p w14:paraId="1E5368D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w:t>
            </w:r>
          </w:p>
        </w:tc>
        <w:tc>
          <w:tcPr>
            <w:tcW w:w="1009" w:type="pct"/>
            <w:shd w:val="clear" w:color="auto" w:fill="auto"/>
            <w:vAlign w:val="center"/>
            <w:hideMark/>
          </w:tcPr>
          <w:p w14:paraId="00EADD4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Наименование рынка</w:t>
            </w:r>
          </w:p>
        </w:tc>
        <w:tc>
          <w:tcPr>
            <w:tcW w:w="3763" w:type="pct"/>
            <w:shd w:val="clear" w:color="auto" w:fill="auto"/>
            <w:vAlign w:val="center"/>
            <w:hideMark/>
          </w:tcPr>
          <w:p w14:paraId="4D378AF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Анализ данных об уровнях тарифов</w:t>
            </w:r>
          </w:p>
        </w:tc>
      </w:tr>
      <w:tr w:rsidR="003F4CFF" w:rsidRPr="001127D6" w14:paraId="4E9DB67A" w14:textId="77777777" w:rsidTr="008F6ED4">
        <w:trPr>
          <w:trHeight w:val="20"/>
        </w:trPr>
        <w:tc>
          <w:tcPr>
            <w:tcW w:w="228" w:type="pct"/>
            <w:hideMark/>
          </w:tcPr>
          <w:p w14:paraId="1E31E69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w:t>
            </w:r>
          </w:p>
        </w:tc>
        <w:tc>
          <w:tcPr>
            <w:tcW w:w="1009" w:type="pct"/>
            <w:hideMark/>
          </w:tcPr>
          <w:p w14:paraId="7B67179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Услуги по передаче электрической энергии</w:t>
            </w:r>
          </w:p>
        </w:tc>
        <w:tc>
          <w:tcPr>
            <w:tcW w:w="3763" w:type="pct"/>
            <w:hideMark/>
          </w:tcPr>
          <w:p w14:paraId="3D00468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Рост тарифов на электроэнергию для населения и приравненных к нему категорий потребителей во втором полугодии 2019 года составил 103,1% для городского населения и 102,9% для сельского населения, что не превышает индекса изменения размера вносимой гражданами платы за коммунальные услуги в среднем по субъекту Российской Федерации на 2019 год (3,2%). В зависимости от диапазонов напряжения, рост единых (котловых) двуставочных тарифов для потребителей, не относящихся к населению и приравненных к нему категориям потребителей («прочие потребители»), во II полугодии 2019 года составляет: по ставке за содержание электрических сетей – 104%, по ставке на оплату технологического расхода (потерь) в электрических сетях – 98,4% для различных диапазонов напряжения. Рост одноставочных тарифов во II полугодии 2019 года составил от 102,4% до 103,3%.</w:t>
            </w:r>
          </w:p>
        </w:tc>
      </w:tr>
      <w:tr w:rsidR="003F4CFF" w:rsidRPr="001127D6" w14:paraId="641C1F76" w14:textId="77777777" w:rsidTr="008F6ED4">
        <w:trPr>
          <w:trHeight w:val="20"/>
        </w:trPr>
        <w:tc>
          <w:tcPr>
            <w:tcW w:w="228" w:type="pct"/>
            <w:hideMark/>
          </w:tcPr>
          <w:p w14:paraId="136E4A9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1009" w:type="pct"/>
            <w:hideMark/>
          </w:tcPr>
          <w:p w14:paraId="092FC49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Услуги по передаче тепловой энергии</w:t>
            </w:r>
          </w:p>
        </w:tc>
        <w:tc>
          <w:tcPr>
            <w:tcW w:w="3763" w:type="pct"/>
            <w:hideMark/>
          </w:tcPr>
          <w:p w14:paraId="0895B0D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Рост средневзвешенных тарифов (по полугодиям), установленных департаментом на тепловую энергию АО «СИБЭКО» и остальных поставщиков тепловой энергии, ведущих деятельность на территории Новосибирской области, с 1 января 2019 года по 30 июня 2019 года составил 101,7%; с 1 июля 2019 года по 31 декабря 2019 года – 103,2 %, что не превышает индекс изменения размера вносимой гражданами платы за коммунальные услуги в среднем по Новосибирской области в I полугодии 2019 г. – 1,7%, во II полугодии 2019 г. – 3,2%, установленный распоряжением Правительства Российской Федерации от 15.11.2018 № 2490-р.</w:t>
            </w:r>
          </w:p>
          <w:p w14:paraId="71AF109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xml:space="preserve">Тариф на тепловую энергию в горячей воде для потребителей АО «СИБЭКО», оплачивающих производство и передачу тепловой энергии, без учета НДС составил в </w:t>
            </w:r>
            <w:r w:rsidR="00584796">
              <w:rPr>
                <w:rFonts w:ascii="Times New Roman" w:hAnsi="Times New Roman" w:cs="Times New Roman"/>
              </w:rPr>
              <w:t>I полугодии 2019 г. 1075,07 рублей</w:t>
            </w:r>
            <w:r w:rsidRPr="001127D6">
              <w:rPr>
                <w:rFonts w:ascii="Times New Roman" w:hAnsi="Times New Roman" w:cs="Times New Roman"/>
              </w:rPr>
              <w:t xml:space="preserve">/Гкал – на уровне тарифа II полугодия 2018 г., во II </w:t>
            </w:r>
            <w:r w:rsidR="00584796">
              <w:rPr>
                <w:rFonts w:ascii="Times New Roman" w:hAnsi="Times New Roman" w:cs="Times New Roman"/>
              </w:rPr>
              <w:t>полугодии 2019 г. – 1109,46 рублей</w:t>
            </w:r>
            <w:r w:rsidRPr="001127D6">
              <w:rPr>
                <w:rFonts w:ascii="Times New Roman" w:hAnsi="Times New Roman" w:cs="Times New Roman"/>
              </w:rPr>
              <w:t>/Гкал с ростом относительно уровня I полугодия 2019 г. на 103,2%.</w:t>
            </w:r>
          </w:p>
        </w:tc>
      </w:tr>
      <w:tr w:rsidR="003F4CFF" w:rsidRPr="001127D6" w14:paraId="7C1C2E3C" w14:textId="77777777" w:rsidTr="008F6ED4">
        <w:trPr>
          <w:trHeight w:val="20"/>
        </w:trPr>
        <w:tc>
          <w:tcPr>
            <w:tcW w:w="228" w:type="pct"/>
            <w:hideMark/>
          </w:tcPr>
          <w:p w14:paraId="25EFCB1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xml:space="preserve">3. </w:t>
            </w:r>
          </w:p>
        </w:tc>
        <w:tc>
          <w:tcPr>
            <w:tcW w:w="1009" w:type="pct"/>
            <w:hideMark/>
          </w:tcPr>
          <w:p w14:paraId="7B4FB17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xml:space="preserve">Услуги водоснабжения и водоотведения с </w:t>
            </w:r>
            <w:r w:rsidRPr="001127D6">
              <w:rPr>
                <w:rFonts w:ascii="Times New Roman" w:hAnsi="Times New Roman" w:cs="Times New Roman"/>
              </w:rPr>
              <w:lastRenderedPageBreak/>
              <w:t>использованием централизованных систем, систем коммунальной инфраструктуры</w:t>
            </w:r>
          </w:p>
        </w:tc>
        <w:tc>
          <w:tcPr>
            <w:tcW w:w="3763" w:type="pct"/>
          </w:tcPr>
          <w:p w14:paraId="3B57CFD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lastRenderedPageBreak/>
              <w:t>Рост тарифов, установленных организациям в сфере водоснабжения и водоотведения по Новосибирской области с 01.07.2019, в среднем по Новосибирской области составил:</w:t>
            </w:r>
          </w:p>
          <w:p w14:paraId="32CE1C9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lastRenderedPageBreak/>
              <w:t>- холодное водоснабжение 103,08%;</w:t>
            </w:r>
          </w:p>
          <w:p w14:paraId="282B956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горячее водоснабжение 103,10%;</w:t>
            </w:r>
          </w:p>
          <w:p w14:paraId="2B0ECA3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водоотведение 103,18%.</w:t>
            </w:r>
          </w:p>
          <w:p w14:paraId="71704BE3" w14:textId="77777777" w:rsidR="003F4CFF" w:rsidRPr="001127D6" w:rsidRDefault="003F4CFF" w:rsidP="003F4CFF">
            <w:pPr>
              <w:rPr>
                <w:rFonts w:ascii="Times New Roman" w:hAnsi="Times New Roman" w:cs="Times New Roman"/>
              </w:rPr>
            </w:pPr>
          </w:p>
        </w:tc>
      </w:tr>
      <w:tr w:rsidR="003F4CFF" w:rsidRPr="001127D6" w14:paraId="2F6378DE" w14:textId="77777777" w:rsidTr="008F6ED4">
        <w:trPr>
          <w:trHeight w:val="20"/>
        </w:trPr>
        <w:tc>
          <w:tcPr>
            <w:tcW w:w="228" w:type="pct"/>
            <w:hideMark/>
          </w:tcPr>
          <w:p w14:paraId="6026ADD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lastRenderedPageBreak/>
              <w:t>4.</w:t>
            </w:r>
          </w:p>
        </w:tc>
        <w:tc>
          <w:tcPr>
            <w:tcW w:w="1009" w:type="pct"/>
            <w:hideMark/>
          </w:tcPr>
          <w:p w14:paraId="46E8805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Транспортировка газа по трубопроводам в Новосибирской области</w:t>
            </w:r>
          </w:p>
        </w:tc>
        <w:tc>
          <w:tcPr>
            <w:tcW w:w="3763" w:type="pct"/>
            <w:hideMark/>
          </w:tcPr>
          <w:p w14:paraId="6090D5B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Рост тарифов на услуги транспортировки газа по трубопроводам в отчетный период не превышает индекс изменения размера вносимой гражданами платы за коммунальные услуги в среднем по Новосибирской области на 2018 год (103,0%) и составляет 102,99–103,0%. По сравнению с 2017 г. темп роста тарифов замедлился (в 2017 г. – 103,94%). В I полугодии 2019 г. тариф для населения вырос на 101,7%, во II полугодии 2019 г. – на 103,2%.</w:t>
            </w:r>
          </w:p>
        </w:tc>
      </w:tr>
      <w:tr w:rsidR="003F4CFF" w:rsidRPr="001127D6" w14:paraId="1EB84DDE" w14:textId="77777777" w:rsidTr="008F6ED4">
        <w:trPr>
          <w:trHeight w:val="20"/>
        </w:trPr>
        <w:tc>
          <w:tcPr>
            <w:tcW w:w="228" w:type="pct"/>
            <w:hideMark/>
          </w:tcPr>
          <w:p w14:paraId="162096A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w:t>
            </w:r>
          </w:p>
        </w:tc>
        <w:tc>
          <w:tcPr>
            <w:tcW w:w="1009" w:type="pct"/>
            <w:hideMark/>
          </w:tcPr>
          <w:p w14:paraId="7B40020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Железнодорожные перевозки (перевозки пассажиров в пригородном сообщении)</w:t>
            </w:r>
          </w:p>
        </w:tc>
        <w:tc>
          <w:tcPr>
            <w:tcW w:w="3763" w:type="pct"/>
            <w:hideMark/>
          </w:tcPr>
          <w:p w14:paraId="619B527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xml:space="preserve">Тарифы для населения в 2017 и 2018 гг. не менялись, они сохранились на уровне 2015 года; динамика тарифов на полный билет в среднем по всем зонам в 2019 г. в сравнении с 2018 г. составила 108,8%, на детский билет – 110,7%. </w:t>
            </w:r>
          </w:p>
        </w:tc>
      </w:tr>
    </w:tbl>
    <w:p w14:paraId="1F9009EE" w14:textId="77777777" w:rsidR="003F4CFF" w:rsidRDefault="003F4CFF" w:rsidP="003F4CFF">
      <w:pPr>
        <w:ind w:firstLine="567"/>
        <w:jc w:val="both"/>
        <w:rPr>
          <w:rFonts w:ascii="Times New Roman" w:hAnsi="Times New Roman" w:cs="Times New Roman"/>
          <w:b/>
          <w:sz w:val="28"/>
          <w:szCs w:val="28"/>
        </w:rPr>
      </w:pPr>
      <w:bookmarkStart w:id="83" w:name="_Toc25065420"/>
      <w:bookmarkStart w:id="84" w:name="_Toc23860754"/>
    </w:p>
    <w:p w14:paraId="73D99F7D" w14:textId="77777777" w:rsidR="003F4CFF" w:rsidRPr="001127D6" w:rsidRDefault="003F4CFF" w:rsidP="003F4CFF">
      <w:pPr>
        <w:ind w:firstLine="567"/>
        <w:jc w:val="both"/>
        <w:rPr>
          <w:rFonts w:ascii="Times New Roman" w:hAnsi="Times New Roman" w:cs="Times New Roman"/>
          <w:b/>
          <w:sz w:val="28"/>
          <w:szCs w:val="28"/>
        </w:rPr>
      </w:pPr>
      <w:r w:rsidRPr="001127D6">
        <w:rPr>
          <w:rFonts w:ascii="Times New Roman" w:hAnsi="Times New Roman" w:cs="Times New Roman"/>
          <w:b/>
          <w:sz w:val="28"/>
          <w:szCs w:val="28"/>
        </w:rPr>
        <w:t>Количество нарушений субъектами естественных монополий установленных тарифов в сфере электроэнергетики, теплоснабжения, водоснабжения и водоотведения, газоснабжения, с учетом тарифов на технологическое присоединение к указанным видам инфраструктуры</w:t>
      </w:r>
      <w:bookmarkEnd w:id="83"/>
      <w:bookmarkEnd w:id="84"/>
    </w:p>
    <w:p w14:paraId="7EC868CE"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По итогам 2018 г. выявлено 4 нарушения субъектами естественных монополий установленных тарифов в сфере электроэнергетики, теплоснабжения, водоснабжения и водоотведения, газоснабжения, с учетом тарифов на технологическое присоединение к указанным видам инфраструктуры. В том числе при подключении к сетям:</w:t>
      </w:r>
    </w:p>
    <w:p w14:paraId="6969A457"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теплоснабжения – 2 нарушения</w:t>
      </w:r>
      <w:r>
        <w:rPr>
          <w:rFonts w:ascii="Times New Roman" w:hAnsi="Times New Roman" w:cs="Times New Roman"/>
          <w:sz w:val="28"/>
          <w:szCs w:val="28"/>
        </w:rPr>
        <w:t>;</w:t>
      </w:r>
    </w:p>
    <w:p w14:paraId="14D2810A"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холодного водоснабжения и водоотведения – 1 нарушение</w:t>
      </w:r>
      <w:r>
        <w:rPr>
          <w:rFonts w:ascii="Times New Roman" w:hAnsi="Times New Roman" w:cs="Times New Roman"/>
          <w:sz w:val="28"/>
          <w:szCs w:val="28"/>
        </w:rPr>
        <w:t>;</w:t>
      </w:r>
    </w:p>
    <w:p w14:paraId="6AAD1188"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электрическим сетям – 1 нарушение.</w:t>
      </w:r>
    </w:p>
    <w:p w14:paraId="0C867164"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За период с 01.01.2019 по 05.11.2019 выявлено 2 нарушения субъектами естественных монополий установленных тарифов в сфере электроэнергетики, теплоснабжения, водоснабжения и водоотведения, газоснабжения, с учетом тарифов на технологическое присоединение к указанным видам инфраструктуры. В том числе, при подключении к сетям:</w:t>
      </w:r>
    </w:p>
    <w:p w14:paraId="1CB8BAC9"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теплоснабжения – 1 нарушение,</w:t>
      </w:r>
    </w:p>
    <w:p w14:paraId="75E25FFF" w14:textId="77777777" w:rsidR="003F4CFF"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холодного водоснабжения и водоотведения – 1 нарушение.</w:t>
      </w:r>
    </w:p>
    <w:p w14:paraId="0889B592" w14:textId="77777777" w:rsidR="003F4CFF" w:rsidRPr="001127D6" w:rsidRDefault="003F4CFF" w:rsidP="003F4CFF">
      <w:pPr>
        <w:ind w:firstLine="567"/>
        <w:jc w:val="both"/>
        <w:rPr>
          <w:rFonts w:ascii="Times New Roman" w:hAnsi="Times New Roman" w:cs="Times New Roman"/>
          <w:sz w:val="28"/>
          <w:szCs w:val="28"/>
        </w:rPr>
      </w:pPr>
    </w:p>
    <w:p w14:paraId="2607664D" w14:textId="77777777" w:rsidR="003F4CFF" w:rsidRPr="00065E66" w:rsidRDefault="003F4CFF" w:rsidP="003F4CFF">
      <w:pPr>
        <w:pStyle w:val="ac"/>
        <w:ind w:firstLine="567"/>
        <w:jc w:val="both"/>
        <w:outlineLvl w:val="2"/>
        <w:rPr>
          <w:rFonts w:ascii="Times New Roman" w:hAnsi="Times New Roman"/>
          <w:b/>
        </w:rPr>
      </w:pPr>
      <w:bookmarkStart w:id="85" w:name="_Toc31983979"/>
      <w:bookmarkStart w:id="86" w:name="_Toc32240319"/>
      <w:bookmarkStart w:id="87" w:name="_Toc32421904"/>
      <w:bookmarkStart w:id="88" w:name="_Toc34129183"/>
      <w:r w:rsidRPr="00065E66">
        <w:rPr>
          <w:rFonts w:ascii="Times New Roman" w:hAnsi="Times New Roman"/>
          <w:b/>
        </w:rPr>
        <w:t>2.3.6. Результаты мониторинга деятельности хозяйствующих субъектов, доля участия субъекта Российской Федерации или муниципального образования в которых с</w:t>
      </w:r>
      <w:r>
        <w:rPr>
          <w:rFonts w:ascii="Times New Roman" w:hAnsi="Times New Roman"/>
          <w:b/>
        </w:rPr>
        <w:t>оставляет 50 и более процентов</w:t>
      </w:r>
      <w:bookmarkEnd w:id="85"/>
      <w:bookmarkEnd w:id="86"/>
      <w:bookmarkEnd w:id="87"/>
      <w:bookmarkEnd w:id="88"/>
    </w:p>
    <w:p w14:paraId="04EC5DA9" w14:textId="4718BE76" w:rsidR="003F4CFF"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Суммарное количество хозяйствующих субъектов, доля собственности региональных или </w:t>
      </w:r>
      <w:r w:rsidR="00E636ED" w:rsidRPr="001127D6">
        <w:rPr>
          <w:rFonts w:ascii="Times New Roman" w:hAnsi="Times New Roman" w:cs="Times New Roman"/>
          <w:sz w:val="28"/>
          <w:szCs w:val="28"/>
        </w:rPr>
        <w:t>муниципальных органов власти,</w:t>
      </w:r>
      <w:r w:rsidRPr="001127D6">
        <w:rPr>
          <w:rFonts w:ascii="Times New Roman" w:hAnsi="Times New Roman" w:cs="Times New Roman"/>
          <w:sz w:val="28"/>
          <w:szCs w:val="28"/>
        </w:rPr>
        <w:t xml:space="preserve"> в которых 50% и более, составляет 2950 организаций (по результатам мониторинга 2017 г. – 3018, по результатам мониторинга 2018 г. – 2982 организаций). Из общего числа хозяйствующих субъектов 287 принадлежат региональным органам власти (9,7% от общего числа) и 2663 – муниципальным органам власти (90,3%).</w:t>
      </w:r>
      <w:r w:rsidR="00E77388">
        <w:rPr>
          <w:rFonts w:ascii="Times New Roman" w:hAnsi="Times New Roman" w:cs="Times New Roman"/>
          <w:sz w:val="28"/>
          <w:szCs w:val="28"/>
        </w:rPr>
        <w:t xml:space="preserve"> Реестр хозяйствующих субъектов, доля участия Новосибирской области или </w:t>
      </w:r>
      <w:r w:rsidR="00E77388">
        <w:rPr>
          <w:rFonts w:ascii="Times New Roman" w:hAnsi="Times New Roman" w:cs="Times New Roman"/>
          <w:sz w:val="28"/>
          <w:szCs w:val="28"/>
        </w:rPr>
        <w:lastRenderedPageBreak/>
        <w:t>муниципальных образований Новосибирской области представлен в Приложении 18.</w:t>
      </w:r>
    </w:p>
    <w:p w14:paraId="7AD1CD05" w14:textId="77777777" w:rsidR="003F4CFF" w:rsidRPr="001127D6" w:rsidRDefault="003F4CFF" w:rsidP="003F4CFF">
      <w:pPr>
        <w:ind w:firstLine="567"/>
        <w:jc w:val="both"/>
        <w:rPr>
          <w:rFonts w:ascii="Times New Roman" w:hAnsi="Times New Roman" w:cs="Times New Roman"/>
          <w:sz w:val="28"/>
          <w:szCs w:val="28"/>
        </w:rPr>
      </w:pPr>
    </w:p>
    <w:p w14:paraId="5DB33499" w14:textId="77777777" w:rsidR="003F4CFF" w:rsidRPr="00A304D6" w:rsidRDefault="003F4CFF" w:rsidP="003F4CFF">
      <w:pPr>
        <w:jc w:val="both"/>
        <w:rPr>
          <w:rFonts w:ascii="Times New Roman" w:hAnsi="Times New Roman" w:cs="Times New Roman"/>
          <w:sz w:val="28"/>
          <w:szCs w:val="28"/>
        </w:rPr>
      </w:pPr>
      <w:r w:rsidRPr="003B3E01">
        <w:rPr>
          <w:rFonts w:ascii="Times New Roman" w:hAnsi="Times New Roman" w:cs="Times New Roman"/>
          <w:sz w:val="28"/>
          <w:szCs w:val="28"/>
        </w:rPr>
        <w:t>Таблица 2</w:t>
      </w:r>
      <w:r>
        <w:rPr>
          <w:rFonts w:ascii="Times New Roman" w:hAnsi="Times New Roman" w:cs="Times New Roman"/>
          <w:sz w:val="28"/>
          <w:szCs w:val="28"/>
        </w:rPr>
        <w:t>1– </w:t>
      </w:r>
      <w:r w:rsidRPr="00A304D6">
        <w:rPr>
          <w:rFonts w:ascii="Times New Roman" w:hAnsi="Times New Roman" w:cs="Times New Roman"/>
          <w:sz w:val="28"/>
          <w:szCs w:val="28"/>
        </w:rPr>
        <w:t>Распределение предприятий с долей государственной/муниципальной собственности 50 % и более по принадлежности (муниципальные или региональные)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8"/>
        <w:gridCol w:w="2280"/>
        <w:gridCol w:w="1429"/>
        <w:gridCol w:w="1429"/>
        <w:gridCol w:w="1425"/>
      </w:tblGrid>
      <w:tr w:rsidR="003F4CFF" w:rsidRPr="001127D6" w14:paraId="4FA53C15" w14:textId="77777777" w:rsidTr="00124BC6">
        <w:trPr>
          <w:trHeight w:val="227"/>
        </w:trPr>
        <w:tc>
          <w:tcPr>
            <w:tcW w:w="1689" w:type="pct"/>
            <w:vMerge w:val="restart"/>
            <w:shd w:val="clear" w:color="auto" w:fill="auto"/>
            <w:noWrap/>
            <w:hideMark/>
          </w:tcPr>
          <w:p w14:paraId="3EF5AE1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Принадлежность</w:t>
            </w:r>
          </w:p>
        </w:tc>
        <w:tc>
          <w:tcPr>
            <w:tcW w:w="1871" w:type="pct"/>
            <w:gridSpan w:val="2"/>
            <w:shd w:val="clear" w:color="auto" w:fill="auto"/>
            <w:noWrap/>
            <w:hideMark/>
          </w:tcPr>
          <w:p w14:paraId="72259B3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2018 г.</w:t>
            </w:r>
          </w:p>
        </w:tc>
        <w:tc>
          <w:tcPr>
            <w:tcW w:w="1440" w:type="pct"/>
            <w:gridSpan w:val="2"/>
            <w:shd w:val="clear" w:color="auto" w:fill="auto"/>
            <w:hideMark/>
          </w:tcPr>
          <w:p w14:paraId="27C1C4B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2019 г.</w:t>
            </w:r>
          </w:p>
        </w:tc>
      </w:tr>
      <w:tr w:rsidR="003F4CFF" w:rsidRPr="001127D6" w14:paraId="4A7CA9AE" w14:textId="77777777" w:rsidTr="00124BC6">
        <w:trPr>
          <w:trHeight w:val="227"/>
        </w:trPr>
        <w:tc>
          <w:tcPr>
            <w:tcW w:w="1689" w:type="pct"/>
            <w:vMerge/>
            <w:shd w:val="clear" w:color="auto" w:fill="auto"/>
            <w:hideMark/>
          </w:tcPr>
          <w:p w14:paraId="10FEDF07" w14:textId="77777777" w:rsidR="003F4CFF" w:rsidRPr="001127D6" w:rsidRDefault="003F4CFF" w:rsidP="003F4CFF">
            <w:pPr>
              <w:rPr>
                <w:rFonts w:ascii="Times New Roman" w:hAnsi="Times New Roman" w:cs="Times New Roman"/>
                <w:lang w:eastAsia="en-US"/>
              </w:rPr>
            </w:pPr>
          </w:p>
        </w:tc>
        <w:tc>
          <w:tcPr>
            <w:tcW w:w="1150" w:type="pct"/>
            <w:shd w:val="clear" w:color="auto" w:fill="auto"/>
            <w:noWrap/>
            <w:hideMark/>
          </w:tcPr>
          <w:p w14:paraId="1CBECA8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Кол-во организаций</w:t>
            </w:r>
          </w:p>
        </w:tc>
        <w:tc>
          <w:tcPr>
            <w:tcW w:w="721" w:type="pct"/>
            <w:shd w:val="clear" w:color="auto" w:fill="auto"/>
            <w:hideMark/>
          </w:tcPr>
          <w:p w14:paraId="5E6BDB8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от числа организаций</w:t>
            </w:r>
          </w:p>
        </w:tc>
        <w:tc>
          <w:tcPr>
            <w:tcW w:w="721" w:type="pct"/>
            <w:shd w:val="clear" w:color="auto" w:fill="auto"/>
            <w:hideMark/>
          </w:tcPr>
          <w:p w14:paraId="6AD2B9D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Кол-во организаций</w:t>
            </w:r>
          </w:p>
        </w:tc>
        <w:tc>
          <w:tcPr>
            <w:tcW w:w="719" w:type="pct"/>
            <w:shd w:val="clear" w:color="auto" w:fill="auto"/>
            <w:hideMark/>
          </w:tcPr>
          <w:p w14:paraId="313146F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от числа организаций</w:t>
            </w:r>
          </w:p>
        </w:tc>
      </w:tr>
      <w:tr w:rsidR="003F4CFF" w:rsidRPr="001127D6" w14:paraId="6805CB80" w14:textId="77777777" w:rsidTr="00124BC6">
        <w:trPr>
          <w:trHeight w:val="227"/>
        </w:trPr>
        <w:tc>
          <w:tcPr>
            <w:tcW w:w="1689" w:type="pct"/>
            <w:shd w:val="clear" w:color="auto" w:fill="auto"/>
            <w:noWrap/>
            <w:hideMark/>
          </w:tcPr>
          <w:p w14:paraId="2B864F4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Новосибирская область</w:t>
            </w:r>
          </w:p>
        </w:tc>
        <w:tc>
          <w:tcPr>
            <w:tcW w:w="1150" w:type="pct"/>
            <w:shd w:val="clear" w:color="auto" w:fill="auto"/>
            <w:noWrap/>
            <w:hideMark/>
          </w:tcPr>
          <w:p w14:paraId="5A9C332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320</w:t>
            </w:r>
          </w:p>
        </w:tc>
        <w:tc>
          <w:tcPr>
            <w:tcW w:w="721" w:type="pct"/>
            <w:shd w:val="clear" w:color="auto" w:fill="auto"/>
            <w:hideMark/>
          </w:tcPr>
          <w:p w14:paraId="3564442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10,7%</w:t>
            </w:r>
          </w:p>
        </w:tc>
        <w:tc>
          <w:tcPr>
            <w:tcW w:w="721" w:type="pct"/>
            <w:shd w:val="clear" w:color="auto" w:fill="auto"/>
            <w:hideMark/>
          </w:tcPr>
          <w:p w14:paraId="6296665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287</w:t>
            </w:r>
          </w:p>
        </w:tc>
        <w:tc>
          <w:tcPr>
            <w:tcW w:w="719" w:type="pct"/>
            <w:shd w:val="clear" w:color="auto" w:fill="auto"/>
            <w:hideMark/>
          </w:tcPr>
          <w:p w14:paraId="3EE165A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9,7%</w:t>
            </w:r>
          </w:p>
        </w:tc>
      </w:tr>
      <w:tr w:rsidR="003F4CFF" w:rsidRPr="001127D6" w14:paraId="2BDED57E" w14:textId="77777777" w:rsidTr="00124BC6">
        <w:trPr>
          <w:trHeight w:val="227"/>
        </w:trPr>
        <w:tc>
          <w:tcPr>
            <w:tcW w:w="1689" w:type="pct"/>
            <w:shd w:val="clear" w:color="auto" w:fill="auto"/>
            <w:noWrap/>
            <w:hideMark/>
          </w:tcPr>
          <w:p w14:paraId="415CD5C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Муниципальные образования</w:t>
            </w:r>
          </w:p>
        </w:tc>
        <w:tc>
          <w:tcPr>
            <w:tcW w:w="1150" w:type="pct"/>
            <w:shd w:val="clear" w:color="auto" w:fill="auto"/>
            <w:noWrap/>
            <w:hideMark/>
          </w:tcPr>
          <w:p w14:paraId="2182ED5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2662</w:t>
            </w:r>
          </w:p>
        </w:tc>
        <w:tc>
          <w:tcPr>
            <w:tcW w:w="721" w:type="pct"/>
            <w:shd w:val="clear" w:color="auto" w:fill="auto"/>
            <w:hideMark/>
          </w:tcPr>
          <w:p w14:paraId="36D7201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89,3%</w:t>
            </w:r>
          </w:p>
        </w:tc>
        <w:tc>
          <w:tcPr>
            <w:tcW w:w="721" w:type="pct"/>
            <w:shd w:val="clear" w:color="auto" w:fill="auto"/>
            <w:hideMark/>
          </w:tcPr>
          <w:p w14:paraId="75F68F6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2663</w:t>
            </w:r>
          </w:p>
        </w:tc>
        <w:tc>
          <w:tcPr>
            <w:tcW w:w="719" w:type="pct"/>
            <w:shd w:val="clear" w:color="auto" w:fill="auto"/>
            <w:hideMark/>
          </w:tcPr>
          <w:p w14:paraId="0EE96BF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90,3%</w:t>
            </w:r>
          </w:p>
        </w:tc>
      </w:tr>
      <w:tr w:rsidR="003F4CFF" w:rsidRPr="001127D6" w14:paraId="4FC23628" w14:textId="77777777" w:rsidTr="00124BC6">
        <w:trPr>
          <w:trHeight w:val="227"/>
        </w:trPr>
        <w:tc>
          <w:tcPr>
            <w:tcW w:w="1689" w:type="pct"/>
            <w:shd w:val="clear" w:color="auto" w:fill="auto"/>
            <w:noWrap/>
            <w:hideMark/>
          </w:tcPr>
          <w:p w14:paraId="1EB10D8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ВСЕГО</w:t>
            </w:r>
          </w:p>
        </w:tc>
        <w:tc>
          <w:tcPr>
            <w:tcW w:w="1150" w:type="pct"/>
            <w:shd w:val="clear" w:color="auto" w:fill="auto"/>
            <w:noWrap/>
            <w:hideMark/>
          </w:tcPr>
          <w:p w14:paraId="0961BEB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2982</w:t>
            </w:r>
          </w:p>
        </w:tc>
        <w:tc>
          <w:tcPr>
            <w:tcW w:w="721" w:type="pct"/>
            <w:shd w:val="clear" w:color="auto" w:fill="auto"/>
            <w:hideMark/>
          </w:tcPr>
          <w:p w14:paraId="05DDC92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100,0%</w:t>
            </w:r>
          </w:p>
        </w:tc>
        <w:tc>
          <w:tcPr>
            <w:tcW w:w="721" w:type="pct"/>
            <w:shd w:val="clear" w:color="auto" w:fill="auto"/>
            <w:hideMark/>
          </w:tcPr>
          <w:p w14:paraId="287979E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2950</w:t>
            </w:r>
          </w:p>
        </w:tc>
        <w:tc>
          <w:tcPr>
            <w:tcW w:w="719" w:type="pct"/>
            <w:shd w:val="clear" w:color="auto" w:fill="auto"/>
            <w:hideMark/>
          </w:tcPr>
          <w:p w14:paraId="5746BCB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100,0%</w:t>
            </w:r>
          </w:p>
        </w:tc>
      </w:tr>
    </w:tbl>
    <w:p w14:paraId="68A48488" w14:textId="77777777" w:rsidR="003F4CFF" w:rsidRDefault="003F4CFF" w:rsidP="003F4CFF">
      <w:pPr>
        <w:ind w:firstLine="567"/>
        <w:jc w:val="both"/>
        <w:rPr>
          <w:rFonts w:ascii="Times New Roman" w:hAnsi="Times New Roman" w:cs="Times New Roman"/>
          <w:sz w:val="28"/>
          <w:szCs w:val="28"/>
        </w:rPr>
      </w:pPr>
    </w:p>
    <w:p w14:paraId="0A7D33BF"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Наибольшее количество организаций с долей региональной или муниципальной собственности 50% и более размещено в г. Новосибирске (738 организаций, или 25,0% от общего количества), на втором месте – Новосибирский район (131 организаций, или 4,4%), на третьем месте – Искитимский район (110 организаций, или 3,7%). В каждом из остальных муниципальных образований численность организаций с долей государственной/муниципальной собственности более 50% монотонно снижается с 92 (Краснозерск</w:t>
      </w:r>
      <w:r w:rsidR="00124BC6">
        <w:rPr>
          <w:rFonts w:ascii="Times New Roman" w:hAnsi="Times New Roman" w:cs="Times New Roman"/>
          <w:sz w:val="28"/>
          <w:szCs w:val="28"/>
        </w:rPr>
        <w:t>ий район) до 18 организаций (г. </w:t>
      </w:r>
      <w:r w:rsidRPr="001127D6">
        <w:rPr>
          <w:rFonts w:ascii="Times New Roman" w:hAnsi="Times New Roman" w:cs="Times New Roman"/>
          <w:sz w:val="28"/>
          <w:szCs w:val="28"/>
        </w:rPr>
        <w:t>Обь).</w:t>
      </w:r>
    </w:p>
    <w:p w14:paraId="0036CDCE" w14:textId="77777777" w:rsidR="003F4CFF"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Доля организаций с участием ОМСУ колеблется от 77,8% (г.</w:t>
      </w:r>
      <w:r>
        <w:rPr>
          <w:rFonts w:ascii="Times New Roman" w:hAnsi="Times New Roman" w:cs="Times New Roman"/>
          <w:sz w:val="28"/>
          <w:szCs w:val="28"/>
        </w:rPr>
        <w:t> </w:t>
      </w:r>
      <w:r w:rsidRPr="001127D6">
        <w:rPr>
          <w:rFonts w:ascii="Times New Roman" w:hAnsi="Times New Roman" w:cs="Times New Roman"/>
          <w:sz w:val="28"/>
          <w:szCs w:val="28"/>
        </w:rPr>
        <w:t>Новосибирск) до 98,5% (Коченевский и Чистоозерный районы). Территории, в которых сравнительно больше организаций с участием НСО, чем в других, – г. Новосибирск (22,2%), Тогучинский район (11,0%), г. Обь (11,1%), Чулымский район (10,9%), г. Бердск (10,4%). В остальных территориях доля организаций с участием НСО составляет от 1,5% (Коченевский и Чист</w:t>
      </w:r>
      <w:r w:rsidR="00531BCC">
        <w:rPr>
          <w:rFonts w:ascii="Times New Roman" w:hAnsi="Times New Roman" w:cs="Times New Roman"/>
          <w:sz w:val="28"/>
          <w:szCs w:val="28"/>
        </w:rPr>
        <w:t>оозерный районы) до 9,5% (р. п. </w:t>
      </w:r>
      <w:r w:rsidRPr="001127D6">
        <w:rPr>
          <w:rFonts w:ascii="Times New Roman" w:hAnsi="Times New Roman" w:cs="Times New Roman"/>
          <w:sz w:val="28"/>
          <w:szCs w:val="28"/>
        </w:rPr>
        <w:t>Кольцово).</w:t>
      </w:r>
    </w:p>
    <w:p w14:paraId="5181F9C7" w14:textId="77777777" w:rsidR="003F4CFF" w:rsidRDefault="003F4CFF" w:rsidP="003F4CFF">
      <w:pPr>
        <w:spacing w:after="160" w:line="259" w:lineRule="auto"/>
        <w:rPr>
          <w:rFonts w:ascii="Times New Roman" w:hAnsi="Times New Roman" w:cs="Times New Roman"/>
          <w:sz w:val="28"/>
          <w:szCs w:val="28"/>
        </w:rPr>
        <w:sectPr w:rsidR="003F4CFF" w:rsidSect="00B64457">
          <w:pgSz w:w="11906" w:h="16838" w:code="9"/>
          <w:pgMar w:top="1134" w:right="567" w:bottom="1134" w:left="1418" w:header="709" w:footer="709" w:gutter="0"/>
          <w:cols w:space="720"/>
          <w:docGrid w:linePitch="272"/>
        </w:sectPr>
      </w:pPr>
    </w:p>
    <w:p w14:paraId="02582C01" w14:textId="77777777" w:rsidR="003F4CFF" w:rsidRPr="003B3E01" w:rsidRDefault="003F4CFF" w:rsidP="00531BCC">
      <w:pPr>
        <w:spacing w:line="259" w:lineRule="auto"/>
        <w:jc w:val="both"/>
        <w:rPr>
          <w:rFonts w:ascii="Times New Roman" w:hAnsi="Times New Roman" w:cs="Times New Roman"/>
          <w:sz w:val="28"/>
          <w:szCs w:val="28"/>
        </w:rPr>
      </w:pPr>
      <w:r w:rsidRPr="003B3E01">
        <w:rPr>
          <w:rFonts w:ascii="Times New Roman" w:hAnsi="Times New Roman" w:cs="Times New Roman"/>
          <w:sz w:val="28"/>
          <w:szCs w:val="28"/>
        </w:rPr>
        <w:lastRenderedPageBreak/>
        <w:t>Таблица 22 – Распределение предприятий с долей государственной/муниципальной собственности 50 % и более по муниципальным образованиям</w:t>
      </w:r>
    </w:p>
    <w:tbl>
      <w:tblPr>
        <w:tblW w:w="5000" w:type="pct"/>
        <w:tblLayout w:type="fixed"/>
        <w:tblCellMar>
          <w:left w:w="0" w:type="dxa"/>
          <w:right w:w="0" w:type="dxa"/>
        </w:tblCellMar>
        <w:tblLook w:val="04A0" w:firstRow="1" w:lastRow="0" w:firstColumn="1" w:lastColumn="0" w:noHBand="0" w:noVBand="1"/>
      </w:tblPr>
      <w:tblGrid>
        <w:gridCol w:w="423"/>
        <w:gridCol w:w="1416"/>
        <w:gridCol w:w="708"/>
        <w:gridCol w:w="568"/>
        <w:gridCol w:w="565"/>
        <w:gridCol w:w="708"/>
        <w:gridCol w:w="708"/>
        <w:gridCol w:w="993"/>
        <w:gridCol w:w="1275"/>
        <w:gridCol w:w="1299"/>
        <w:gridCol w:w="970"/>
        <w:gridCol w:w="711"/>
        <w:gridCol w:w="990"/>
        <w:gridCol w:w="1278"/>
        <w:gridCol w:w="850"/>
        <w:gridCol w:w="1098"/>
      </w:tblGrid>
      <w:tr w:rsidR="003F4CFF" w:rsidRPr="001127D6" w14:paraId="42F4CD4B" w14:textId="77777777" w:rsidTr="00BD1EFA">
        <w:trPr>
          <w:trHeight w:val="20"/>
          <w:tblHeader/>
        </w:trPr>
        <w:tc>
          <w:tcPr>
            <w:tcW w:w="145"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B9CC2A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w:t>
            </w:r>
          </w:p>
          <w:p w14:paraId="17E48BE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п/п</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5D760A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Муниципальное образование</w:t>
            </w:r>
          </w:p>
        </w:tc>
        <w:tc>
          <w:tcPr>
            <w:tcW w:w="24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2A4493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Кол-во организаций,</w:t>
            </w:r>
          </w:p>
          <w:p w14:paraId="139990E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2016 г.</w:t>
            </w:r>
          </w:p>
        </w:tc>
        <w:tc>
          <w:tcPr>
            <w:tcW w:w="19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558EA8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Кол-во организаций,</w:t>
            </w:r>
          </w:p>
          <w:p w14:paraId="3F29F32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2017 г.</w:t>
            </w:r>
          </w:p>
        </w:tc>
        <w:tc>
          <w:tcPr>
            <w:tcW w:w="1905" w:type="pct"/>
            <w:gridSpan w:val="6"/>
            <w:tcBorders>
              <w:top w:val="single" w:sz="4" w:space="0" w:color="auto"/>
              <w:left w:val="nil"/>
              <w:bottom w:val="single" w:sz="4" w:space="0" w:color="auto"/>
              <w:right w:val="single" w:sz="4" w:space="0" w:color="auto"/>
            </w:tcBorders>
            <w:shd w:val="clear" w:color="auto" w:fill="auto"/>
            <w:hideMark/>
          </w:tcPr>
          <w:p w14:paraId="47618B7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Количество организаций, 2018 г.</w:t>
            </w:r>
          </w:p>
        </w:tc>
        <w:tc>
          <w:tcPr>
            <w:tcW w:w="2025" w:type="pct"/>
            <w:gridSpan w:val="6"/>
            <w:tcBorders>
              <w:top w:val="single" w:sz="4" w:space="0" w:color="auto"/>
              <w:left w:val="nil"/>
              <w:bottom w:val="single" w:sz="4" w:space="0" w:color="auto"/>
              <w:right w:val="single" w:sz="4" w:space="0" w:color="auto"/>
            </w:tcBorders>
            <w:shd w:val="clear" w:color="auto" w:fill="auto"/>
            <w:hideMark/>
          </w:tcPr>
          <w:p w14:paraId="0430107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Количество организаций, 2019 г.</w:t>
            </w:r>
          </w:p>
        </w:tc>
      </w:tr>
      <w:tr w:rsidR="00BD1EFA" w:rsidRPr="001127D6" w14:paraId="4AB1968F" w14:textId="77777777" w:rsidTr="00BD1EFA">
        <w:trPr>
          <w:trHeight w:val="20"/>
          <w:tblHeader/>
        </w:trPr>
        <w:tc>
          <w:tcPr>
            <w:tcW w:w="145" w:type="pct"/>
            <w:vMerge/>
            <w:tcBorders>
              <w:top w:val="single" w:sz="4" w:space="0" w:color="auto"/>
              <w:left w:val="single" w:sz="4" w:space="0" w:color="auto"/>
              <w:bottom w:val="single" w:sz="4" w:space="0" w:color="auto"/>
              <w:right w:val="single" w:sz="4" w:space="0" w:color="auto"/>
            </w:tcBorders>
            <w:shd w:val="clear" w:color="auto" w:fill="auto"/>
            <w:hideMark/>
          </w:tcPr>
          <w:p w14:paraId="4474A032" w14:textId="77777777" w:rsidR="003F4CFF" w:rsidRPr="001127D6" w:rsidRDefault="003F4CFF" w:rsidP="003F4CFF">
            <w:pPr>
              <w:rPr>
                <w:rFonts w:ascii="Times New Roman" w:hAnsi="Times New Roman" w:cs="Times New Roman"/>
              </w:rPr>
            </w:pPr>
          </w:p>
        </w:tc>
        <w:tc>
          <w:tcPr>
            <w:tcW w:w="486" w:type="pct"/>
            <w:vMerge/>
            <w:tcBorders>
              <w:top w:val="single" w:sz="4" w:space="0" w:color="auto"/>
              <w:left w:val="single" w:sz="4" w:space="0" w:color="auto"/>
              <w:bottom w:val="single" w:sz="4" w:space="0" w:color="auto"/>
              <w:right w:val="single" w:sz="4" w:space="0" w:color="auto"/>
            </w:tcBorders>
            <w:shd w:val="clear" w:color="auto" w:fill="auto"/>
            <w:hideMark/>
          </w:tcPr>
          <w:p w14:paraId="493271DC" w14:textId="77777777" w:rsidR="003F4CFF" w:rsidRPr="001127D6" w:rsidRDefault="003F4CFF" w:rsidP="003F4CFF">
            <w:pPr>
              <w:rPr>
                <w:rFonts w:ascii="Times New Roman" w:hAnsi="Times New Roman" w:cs="Times New Roman"/>
              </w:rPr>
            </w:pPr>
          </w:p>
        </w:tc>
        <w:tc>
          <w:tcPr>
            <w:tcW w:w="243" w:type="pct"/>
            <w:vMerge/>
            <w:tcBorders>
              <w:top w:val="single" w:sz="4" w:space="0" w:color="auto"/>
              <w:left w:val="single" w:sz="4" w:space="0" w:color="auto"/>
              <w:bottom w:val="single" w:sz="4" w:space="0" w:color="auto"/>
              <w:right w:val="single" w:sz="4" w:space="0" w:color="auto"/>
            </w:tcBorders>
            <w:shd w:val="clear" w:color="auto" w:fill="auto"/>
            <w:hideMark/>
          </w:tcPr>
          <w:p w14:paraId="2F46DAA4" w14:textId="77777777" w:rsidR="003F4CFF" w:rsidRPr="001127D6" w:rsidRDefault="003F4CFF" w:rsidP="003F4CFF">
            <w:pPr>
              <w:rPr>
                <w:rFonts w:ascii="Times New Roman" w:hAnsi="Times New Roman" w:cs="Times New Roman"/>
              </w:rPr>
            </w:pPr>
          </w:p>
        </w:tc>
        <w:tc>
          <w:tcPr>
            <w:tcW w:w="195" w:type="pct"/>
            <w:vMerge/>
            <w:tcBorders>
              <w:top w:val="single" w:sz="4" w:space="0" w:color="auto"/>
              <w:left w:val="single" w:sz="4" w:space="0" w:color="auto"/>
              <w:bottom w:val="single" w:sz="4" w:space="0" w:color="auto"/>
              <w:right w:val="single" w:sz="4" w:space="0" w:color="auto"/>
            </w:tcBorders>
            <w:shd w:val="clear" w:color="auto" w:fill="auto"/>
            <w:hideMark/>
          </w:tcPr>
          <w:p w14:paraId="4C3E97A0" w14:textId="77777777" w:rsidR="003F4CFF" w:rsidRPr="001127D6" w:rsidRDefault="003F4CFF" w:rsidP="003F4CFF">
            <w:pPr>
              <w:rPr>
                <w:rFonts w:ascii="Times New Roman" w:hAnsi="Times New Roman" w:cs="Times New Roman"/>
              </w:rPr>
            </w:pPr>
          </w:p>
        </w:tc>
        <w:tc>
          <w:tcPr>
            <w:tcW w:w="194" w:type="pct"/>
            <w:tcBorders>
              <w:top w:val="nil"/>
              <w:left w:val="nil"/>
              <w:bottom w:val="single" w:sz="4" w:space="0" w:color="auto"/>
              <w:right w:val="single" w:sz="4" w:space="0" w:color="auto"/>
            </w:tcBorders>
            <w:shd w:val="clear" w:color="auto" w:fill="auto"/>
            <w:hideMark/>
          </w:tcPr>
          <w:p w14:paraId="184BAAF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В т. ч. с участием НСО</w:t>
            </w:r>
          </w:p>
        </w:tc>
        <w:tc>
          <w:tcPr>
            <w:tcW w:w="243" w:type="pct"/>
            <w:tcBorders>
              <w:top w:val="nil"/>
              <w:left w:val="nil"/>
              <w:bottom w:val="single" w:sz="4" w:space="0" w:color="auto"/>
              <w:right w:val="single" w:sz="4" w:space="0" w:color="auto"/>
            </w:tcBorders>
            <w:shd w:val="clear" w:color="auto" w:fill="auto"/>
            <w:hideMark/>
          </w:tcPr>
          <w:p w14:paraId="29EBB24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В т. ч. с участием ОМСУ</w:t>
            </w:r>
          </w:p>
        </w:tc>
        <w:tc>
          <w:tcPr>
            <w:tcW w:w="243" w:type="pct"/>
            <w:tcBorders>
              <w:top w:val="nil"/>
              <w:left w:val="nil"/>
              <w:bottom w:val="single" w:sz="4" w:space="0" w:color="auto"/>
              <w:right w:val="single" w:sz="4" w:space="0" w:color="auto"/>
            </w:tcBorders>
            <w:shd w:val="clear" w:color="auto" w:fill="auto"/>
            <w:hideMark/>
          </w:tcPr>
          <w:p w14:paraId="52225B9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Всего</w:t>
            </w:r>
          </w:p>
        </w:tc>
        <w:tc>
          <w:tcPr>
            <w:tcW w:w="341" w:type="pct"/>
            <w:tcBorders>
              <w:top w:val="nil"/>
              <w:left w:val="nil"/>
              <w:bottom w:val="single" w:sz="4" w:space="0" w:color="auto"/>
              <w:right w:val="single" w:sz="4" w:space="0" w:color="auto"/>
            </w:tcBorders>
            <w:shd w:val="clear" w:color="auto" w:fill="auto"/>
            <w:hideMark/>
          </w:tcPr>
          <w:p w14:paraId="0B2103A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организаций с участием НСО от итога по МО</w:t>
            </w:r>
          </w:p>
        </w:tc>
        <w:tc>
          <w:tcPr>
            <w:tcW w:w="438" w:type="pct"/>
            <w:tcBorders>
              <w:top w:val="nil"/>
              <w:left w:val="nil"/>
              <w:bottom w:val="single" w:sz="4" w:space="0" w:color="auto"/>
              <w:right w:val="single" w:sz="4" w:space="0" w:color="auto"/>
            </w:tcBorders>
            <w:shd w:val="clear" w:color="auto" w:fill="auto"/>
            <w:hideMark/>
          </w:tcPr>
          <w:p w14:paraId="0C96F0C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организаций с участием ОМСУ от итога по МО</w:t>
            </w:r>
          </w:p>
        </w:tc>
        <w:tc>
          <w:tcPr>
            <w:tcW w:w="446" w:type="pct"/>
            <w:tcBorders>
              <w:top w:val="nil"/>
              <w:left w:val="nil"/>
              <w:bottom w:val="single" w:sz="4" w:space="0" w:color="auto"/>
              <w:right w:val="single" w:sz="4" w:space="0" w:color="auto"/>
            </w:tcBorders>
            <w:shd w:val="clear" w:color="auto" w:fill="auto"/>
            <w:noWrap/>
            <w:hideMark/>
          </w:tcPr>
          <w:p w14:paraId="15A079A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к итогу от общего числа организаций по всем территориям</w:t>
            </w:r>
          </w:p>
        </w:tc>
        <w:tc>
          <w:tcPr>
            <w:tcW w:w="333" w:type="pct"/>
            <w:tcBorders>
              <w:top w:val="nil"/>
              <w:left w:val="nil"/>
              <w:bottom w:val="single" w:sz="4" w:space="0" w:color="auto"/>
              <w:right w:val="single" w:sz="4" w:space="0" w:color="auto"/>
            </w:tcBorders>
            <w:shd w:val="clear" w:color="auto" w:fill="auto"/>
            <w:hideMark/>
          </w:tcPr>
          <w:p w14:paraId="4867062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В т. ч. с участием НСО</w:t>
            </w:r>
          </w:p>
        </w:tc>
        <w:tc>
          <w:tcPr>
            <w:tcW w:w="244" w:type="pct"/>
            <w:tcBorders>
              <w:top w:val="nil"/>
              <w:left w:val="nil"/>
              <w:bottom w:val="single" w:sz="4" w:space="0" w:color="auto"/>
              <w:right w:val="single" w:sz="4" w:space="0" w:color="auto"/>
            </w:tcBorders>
            <w:shd w:val="clear" w:color="auto" w:fill="auto"/>
            <w:hideMark/>
          </w:tcPr>
          <w:p w14:paraId="3364F3B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В т. ч. с участием ОМСУ</w:t>
            </w:r>
          </w:p>
        </w:tc>
        <w:tc>
          <w:tcPr>
            <w:tcW w:w="340" w:type="pct"/>
            <w:tcBorders>
              <w:top w:val="nil"/>
              <w:left w:val="nil"/>
              <w:bottom w:val="single" w:sz="4" w:space="0" w:color="auto"/>
              <w:right w:val="single" w:sz="4" w:space="0" w:color="auto"/>
            </w:tcBorders>
            <w:shd w:val="clear" w:color="auto" w:fill="auto"/>
            <w:hideMark/>
          </w:tcPr>
          <w:p w14:paraId="42E7A27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Всего</w:t>
            </w:r>
          </w:p>
        </w:tc>
        <w:tc>
          <w:tcPr>
            <w:tcW w:w="439" w:type="pct"/>
            <w:tcBorders>
              <w:top w:val="nil"/>
              <w:left w:val="nil"/>
              <w:bottom w:val="single" w:sz="4" w:space="0" w:color="auto"/>
              <w:right w:val="single" w:sz="4" w:space="0" w:color="auto"/>
            </w:tcBorders>
            <w:shd w:val="clear" w:color="auto" w:fill="auto"/>
            <w:hideMark/>
          </w:tcPr>
          <w:p w14:paraId="4B51161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организаций с участием НСО от итога по МО</w:t>
            </w:r>
          </w:p>
        </w:tc>
        <w:tc>
          <w:tcPr>
            <w:tcW w:w="292" w:type="pct"/>
            <w:tcBorders>
              <w:top w:val="nil"/>
              <w:left w:val="nil"/>
              <w:bottom w:val="single" w:sz="4" w:space="0" w:color="auto"/>
              <w:right w:val="single" w:sz="4" w:space="0" w:color="auto"/>
            </w:tcBorders>
            <w:shd w:val="clear" w:color="auto" w:fill="auto"/>
            <w:hideMark/>
          </w:tcPr>
          <w:p w14:paraId="00C915D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организаций с участием ОМСУ от итога по МО</w:t>
            </w:r>
          </w:p>
        </w:tc>
        <w:tc>
          <w:tcPr>
            <w:tcW w:w="377" w:type="pct"/>
            <w:tcBorders>
              <w:top w:val="nil"/>
              <w:left w:val="nil"/>
              <w:bottom w:val="single" w:sz="4" w:space="0" w:color="auto"/>
              <w:right w:val="single" w:sz="4" w:space="0" w:color="auto"/>
            </w:tcBorders>
            <w:shd w:val="clear" w:color="auto" w:fill="auto"/>
            <w:noWrap/>
            <w:hideMark/>
          </w:tcPr>
          <w:p w14:paraId="3D56EC3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 к итогу от общего числа организаций по всем территориям</w:t>
            </w:r>
          </w:p>
        </w:tc>
      </w:tr>
      <w:tr w:rsidR="00BD1EFA" w:rsidRPr="001127D6" w14:paraId="404E65C3"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19E9CC4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w:t>
            </w:r>
          </w:p>
        </w:tc>
        <w:tc>
          <w:tcPr>
            <w:tcW w:w="486" w:type="pct"/>
            <w:tcBorders>
              <w:top w:val="nil"/>
              <w:left w:val="nil"/>
              <w:bottom w:val="single" w:sz="4" w:space="0" w:color="auto"/>
              <w:right w:val="single" w:sz="4" w:space="0" w:color="auto"/>
            </w:tcBorders>
            <w:noWrap/>
            <w:hideMark/>
          </w:tcPr>
          <w:p w14:paraId="394FBCC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г. Новосибирск</w:t>
            </w:r>
          </w:p>
        </w:tc>
        <w:tc>
          <w:tcPr>
            <w:tcW w:w="243" w:type="pct"/>
            <w:tcBorders>
              <w:top w:val="nil"/>
              <w:left w:val="nil"/>
              <w:bottom w:val="single" w:sz="4" w:space="0" w:color="auto"/>
              <w:right w:val="single" w:sz="4" w:space="0" w:color="auto"/>
            </w:tcBorders>
            <w:noWrap/>
            <w:hideMark/>
          </w:tcPr>
          <w:p w14:paraId="430AF6F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671</w:t>
            </w:r>
          </w:p>
        </w:tc>
        <w:tc>
          <w:tcPr>
            <w:tcW w:w="195" w:type="pct"/>
            <w:tcBorders>
              <w:top w:val="nil"/>
              <w:left w:val="nil"/>
              <w:bottom w:val="single" w:sz="4" w:space="0" w:color="auto"/>
              <w:right w:val="single" w:sz="4" w:space="0" w:color="auto"/>
            </w:tcBorders>
            <w:noWrap/>
            <w:hideMark/>
          </w:tcPr>
          <w:p w14:paraId="16B12A3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802</w:t>
            </w:r>
          </w:p>
        </w:tc>
        <w:tc>
          <w:tcPr>
            <w:tcW w:w="194" w:type="pct"/>
            <w:tcBorders>
              <w:top w:val="nil"/>
              <w:left w:val="nil"/>
              <w:bottom w:val="single" w:sz="4" w:space="0" w:color="auto"/>
              <w:right w:val="single" w:sz="4" w:space="0" w:color="auto"/>
            </w:tcBorders>
            <w:noWrap/>
            <w:hideMark/>
          </w:tcPr>
          <w:p w14:paraId="25AC3FB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183</w:t>
            </w:r>
          </w:p>
        </w:tc>
        <w:tc>
          <w:tcPr>
            <w:tcW w:w="243" w:type="pct"/>
            <w:tcBorders>
              <w:top w:val="nil"/>
              <w:left w:val="nil"/>
              <w:bottom w:val="single" w:sz="4" w:space="0" w:color="auto"/>
              <w:right w:val="single" w:sz="4" w:space="0" w:color="auto"/>
            </w:tcBorders>
            <w:hideMark/>
          </w:tcPr>
          <w:p w14:paraId="5C1525D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572</w:t>
            </w:r>
          </w:p>
        </w:tc>
        <w:tc>
          <w:tcPr>
            <w:tcW w:w="243" w:type="pct"/>
            <w:tcBorders>
              <w:top w:val="nil"/>
              <w:left w:val="nil"/>
              <w:bottom w:val="single" w:sz="4" w:space="0" w:color="auto"/>
              <w:right w:val="single" w:sz="4" w:space="0" w:color="auto"/>
            </w:tcBorders>
            <w:hideMark/>
          </w:tcPr>
          <w:p w14:paraId="325AC66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755</w:t>
            </w:r>
          </w:p>
        </w:tc>
        <w:tc>
          <w:tcPr>
            <w:tcW w:w="341" w:type="pct"/>
            <w:tcBorders>
              <w:top w:val="nil"/>
              <w:left w:val="nil"/>
              <w:bottom w:val="single" w:sz="4" w:space="0" w:color="auto"/>
              <w:right w:val="single" w:sz="4" w:space="0" w:color="auto"/>
            </w:tcBorders>
            <w:hideMark/>
          </w:tcPr>
          <w:p w14:paraId="5F7A814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24,2%</w:t>
            </w:r>
          </w:p>
        </w:tc>
        <w:tc>
          <w:tcPr>
            <w:tcW w:w="438" w:type="pct"/>
            <w:tcBorders>
              <w:top w:val="nil"/>
              <w:left w:val="nil"/>
              <w:bottom w:val="single" w:sz="4" w:space="0" w:color="auto"/>
              <w:right w:val="single" w:sz="4" w:space="0" w:color="auto"/>
            </w:tcBorders>
            <w:hideMark/>
          </w:tcPr>
          <w:p w14:paraId="79BEB0D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75,8%</w:t>
            </w:r>
          </w:p>
        </w:tc>
        <w:tc>
          <w:tcPr>
            <w:tcW w:w="446" w:type="pct"/>
            <w:tcBorders>
              <w:top w:val="nil"/>
              <w:left w:val="nil"/>
              <w:bottom w:val="single" w:sz="4" w:space="0" w:color="auto"/>
              <w:right w:val="single" w:sz="4" w:space="0" w:color="auto"/>
            </w:tcBorders>
            <w:noWrap/>
            <w:hideMark/>
          </w:tcPr>
          <w:p w14:paraId="239455A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25,3%</w:t>
            </w:r>
          </w:p>
        </w:tc>
        <w:tc>
          <w:tcPr>
            <w:tcW w:w="333" w:type="pct"/>
            <w:tcBorders>
              <w:top w:val="nil"/>
              <w:left w:val="nil"/>
              <w:bottom w:val="single" w:sz="4" w:space="0" w:color="auto"/>
              <w:right w:val="single" w:sz="4" w:space="0" w:color="auto"/>
            </w:tcBorders>
            <w:noWrap/>
            <w:hideMark/>
          </w:tcPr>
          <w:p w14:paraId="0CA7684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164</w:t>
            </w:r>
          </w:p>
        </w:tc>
        <w:tc>
          <w:tcPr>
            <w:tcW w:w="244" w:type="pct"/>
            <w:tcBorders>
              <w:top w:val="nil"/>
              <w:left w:val="nil"/>
              <w:bottom w:val="single" w:sz="4" w:space="0" w:color="auto"/>
              <w:right w:val="single" w:sz="4" w:space="0" w:color="auto"/>
            </w:tcBorders>
            <w:hideMark/>
          </w:tcPr>
          <w:p w14:paraId="0D590A0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574</w:t>
            </w:r>
          </w:p>
        </w:tc>
        <w:tc>
          <w:tcPr>
            <w:tcW w:w="340" w:type="pct"/>
            <w:tcBorders>
              <w:top w:val="nil"/>
              <w:left w:val="nil"/>
              <w:bottom w:val="single" w:sz="4" w:space="0" w:color="auto"/>
              <w:right w:val="single" w:sz="4" w:space="0" w:color="auto"/>
            </w:tcBorders>
            <w:hideMark/>
          </w:tcPr>
          <w:p w14:paraId="2BE2369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738</w:t>
            </w:r>
          </w:p>
        </w:tc>
        <w:tc>
          <w:tcPr>
            <w:tcW w:w="439" w:type="pct"/>
            <w:tcBorders>
              <w:top w:val="nil"/>
              <w:left w:val="nil"/>
              <w:bottom w:val="single" w:sz="4" w:space="0" w:color="auto"/>
              <w:right w:val="single" w:sz="4" w:space="0" w:color="auto"/>
            </w:tcBorders>
            <w:hideMark/>
          </w:tcPr>
          <w:p w14:paraId="2053F68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22,2%</w:t>
            </w:r>
          </w:p>
        </w:tc>
        <w:tc>
          <w:tcPr>
            <w:tcW w:w="292" w:type="pct"/>
            <w:tcBorders>
              <w:top w:val="nil"/>
              <w:left w:val="nil"/>
              <w:bottom w:val="single" w:sz="4" w:space="0" w:color="auto"/>
              <w:right w:val="single" w:sz="4" w:space="0" w:color="auto"/>
            </w:tcBorders>
            <w:hideMark/>
          </w:tcPr>
          <w:p w14:paraId="50244B3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77,8%</w:t>
            </w:r>
          </w:p>
        </w:tc>
        <w:tc>
          <w:tcPr>
            <w:tcW w:w="377" w:type="pct"/>
            <w:tcBorders>
              <w:top w:val="nil"/>
              <w:left w:val="nil"/>
              <w:bottom w:val="single" w:sz="4" w:space="0" w:color="auto"/>
              <w:right w:val="single" w:sz="4" w:space="0" w:color="auto"/>
            </w:tcBorders>
            <w:noWrap/>
            <w:hideMark/>
          </w:tcPr>
          <w:p w14:paraId="1B66581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25,0%</w:t>
            </w:r>
          </w:p>
        </w:tc>
      </w:tr>
      <w:tr w:rsidR="00BD1EFA" w:rsidRPr="001127D6" w14:paraId="50DFBA30"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1AA2C9E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486" w:type="pct"/>
            <w:tcBorders>
              <w:top w:val="nil"/>
              <w:left w:val="nil"/>
              <w:bottom w:val="single" w:sz="4" w:space="0" w:color="auto"/>
              <w:right w:val="single" w:sz="4" w:space="0" w:color="auto"/>
            </w:tcBorders>
            <w:noWrap/>
            <w:hideMark/>
          </w:tcPr>
          <w:p w14:paraId="7228512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Новосибирский район</w:t>
            </w:r>
          </w:p>
        </w:tc>
        <w:tc>
          <w:tcPr>
            <w:tcW w:w="243" w:type="pct"/>
            <w:tcBorders>
              <w:top w:val="nil"/>
              <w:left w:val="nil"/>
              <w:bottom w:val="single" w:sz="4" w:space="0" w:color="auto"/>
              <w:right w:val="single" w:sz="4" w:space="0" w:color="auto"/>
            </w:tcBorders>
            <w:noWrap/>
            <w:hideMark/>
          </w:tcPr>
          <w:p w14:paraId="0FBDFB6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121</w:t>
            </w:r>
          </w:p>
        </w:tc>
        <w:tc>
          <w:tcPr>
            <w:tcW w:w="195" w:type="pct"/>
            <w:tcBorders>
              <w:top w:val="nil"/>
              <w:left w:val="nil"/>
              <w:bottom w:val="single" w:sz="4" w:space="0" w:color="auto"/>
              <w:right w:val="single" w:sz="4" w:space="0" w:color="auto"/>
            </w:tcBorders>
            <w:noWrap/>
            <w:hideMark/>
          </w:tcPr>
          <w:p w14:paraId="0662FED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129</w:t>
            </w:r>
          </w:p>
        </w:tc>
        <w:tc>
          <w:tcPr>
            <w:tcW w:w="194" w:type="pct"/>
            <w:tcBorders>
              <w:top w:val="nil"/>
              <w:left w:val="nil"/>
              <w:bottom w:val="single" w:sz="4" w:space="0" w:color="auto"/>
              <w:right w:val="single" w:sz="4" w:space="0" w:color="auto"/>
            </w:tcBorders>
            <w:noWrap/>
            <w:hideMark/>
          </w:tcPr>
          <w:p w14:paraId="1ED6E56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w:t>
            </w:r>
          </w:p>
        </w:tc>
        <w:tc>
          <w:tcPr>
            <w:tcW w:w="243" w:type="pct"/>
            <w:tcBorders>
              <w:top w:val="nil"/>
              <w:left w:val="nil"/>
              <w:bottom w:val="single" w:sz="4" w:space="0" w:color="auto"/>
              <w:right w:val="single" w:sz="4" w:space="0" w:color="auto"/>
            </w:tcBorders>
            <w:hideMark/>
          </w:tcPr>
          <w:p w14:paraId="352A965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122</w:t>
            </w:r>
          </w:p>
        </w:tc>
        <w:tc>
          <w:tcPr>
            <w:tcW w:w="243" w:type="pct"/>
            <w:tcBorders>
              <w:top w:val="nil"/>
              <w:left w:val="nil"/>
              <w:bottom w:val="single" w:sz="4" w:space="0" w:color="auto"/>
              <w:right w:val="single" w:sz="4" w:space="0" w:color="auto"/>
            </w:tcBorders>
            <w:noWrap/>
            <w:hideMark/>
          </w:tcPr>
          <w:p w14:paraId="3DD5D10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130</w:t>
            </w:r>
          </w:p>
        </w:tc>
        <w:tc>
          <w:tcPr>
            <w:tcW w:w="341" w:type="pct"/>
            <w:tcBorders>
              <w:top w:val="nil"/>
              <w:left w:val="nil"/>
              <w:bottom w:val="single" w:sz="4" w:space="0" w:color="auto"/>
              <w:right w:val="single" w:sz="4" w:space="0" w:color="auto"/>
            </w:tcBorders>
            <w:hideMark/>
          </w:tcPr>
          <w:p w14:paraId="4EC1FD4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6,2%</w:t>
            </w:r>
          </w:p>
        </w:tc>
        <w:tc>
          <w:tcPr>
            <w:tcW w:w="438" w:type="pct"/>
            <w:tcBorders>
              <w:top w:val="nil"/>
              <w:left w:val="nil"/>
              <w:bottom w:val="single" w:sz="4" w:space="0" w:color="auto"/>
              <w:right w:val="single" w:sz="4" w:space="0" w:color="auto"/>
            </w:tcBorders>
            <w:hideMark/>
          </w:tcPr>
          <w:p w14:paraId="031F261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93,8%</w:t>
            </w:r>
          </w:p>
        </w:tc>
        <w:tc>
          <w:tcPr>
            <w:tcW w:w="446" w:type="pct"/>
            <w:tcBorders>
              <w:top w:val="nil"/>
              <w:left w:val="nil"/>
              <w:bottom w:val="single" w:sz="4" w:space="0" w:color="auto"/>
              <w:right w:val="single" w:sz="4" w:space="0" w:color="auto"/>
            </w:tcBorders>
            <w:noWrap/>
            <w:hideMark/>
          </w:tcPr>
          <w:p w14:paraId="5D047C1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4,4%</w:t>
            </w:r>
          </w:p>
        </w:tc>
        <w:tc>
          <w:tcPr>
            <w:tcW w:w="333" w:type="pct"/>
            <w:tcBorders>
              <w:top w:val="nil"/>
              <w:left w:val="nil"/>
              <w:bottom w:val="single" w:sz="4" w:space="0" w:color="auto"/>
              <w:right w:val="single" w:sz="4" w:space="0" w:color="auto"/>
            </w:tcBorders>
            <w:noWrap/>
            <w:hideMark/>
          </w:tcPr>
          <w:p w14:paraId="101992B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w:t>
            </w:r>
          </w:p>
        </w:tc>
        <w:tc>
          <w:tcPr>
            <w:tcW w:w="244" w:type="pct"/>
            <w:tcBorders>
              <w:top w:val="nil"/>
              <w:left w:val="nil"/>
              <w:bottom w:val="single" w:sz="4" w:space="0" w:color="auto"/>
              <w:right w:val="single" w:sz="4" w:space="0" w:color="auto"/>
            </w:tcBorders>
            <w:hideMark/>
          </w:tcPr>
          <w:p w14:paraId="401E59D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126</w:t>
            </w:r>
          </w:p>
        </w:tc>
        <w:tc>
          <w:tcPr>
            <w:tcW w:w="340" w:type="pct"/>
            <w:tcBorders>
              <w:top w:val="nil"/>
              <w:left w:val="nil"/>
              <w:bottom w:val="single" w:sz="4" w:space="0" w:color="auto"/>
              <w:right w:val="single" w:sz="4" w:space="0" w:color="auto"/>
            </w:tcBorders>
            <w:hideMark/>
          </w:tcPr>
          <w:p w14:paraId="67693B0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131</w:t>
            </w:r>
          </w:p>
        </w:tc>
        <w:tc>
          <w:tcPr>
            <w:tcW w:w="439" w:type="pct"/>
            <w:tcBorders>
              <w:top w:val="nil"/>
              <w:left w:val="nil"/>
              <w:bottom w:val="single" w:sz="4" w:space="0" w:color="auto"/>
              <w:right w:val="single" w:sz="4" w:space="0" w:color="auto"/>
            </w:tcBorders>
            <w:hideMark/>
          </w:tcPr>
          <w:p w14:paraId="4B0AAF5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3,8%</w:t>
            </w:r>
          </w:p>
        </w:tc>
        <w:tc>
          <w:tcPr>
            <w:tcW w:w="292" w:type="pct"/>
            <w:tcBorders>
              <w:top w:val="nil"/>
              <w:left w:val="nil"/>
              <w:bottom w:val="single" w:sz="4" w:space="0" w:color="auto"/>
              <w:right w:val="single" w:sz="4" w:space="0" w:color="auto"/>
            </w:tcBorders>
            <w:hideMark/>
          </w:tcPr>
          <w:p w14:paraId="73F6A6F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96,2%</w:t>
            </w:r>
          </w:p>
        </w:tc>
        <w:tc>
          <w:tcPr>
            <w:tcW w:w="377" w:type="pct"/>
            <w:tcBorders>
              <w:top w:val="nil"/>
              <w:left w:val="nil"/>
              <w:bottom w:val="single" w:sz="4" w:space="0" w:color="auto"/>
              <w:right w:val="single" w:sz="4" w:space="0" w:color="auto"/>
            </w:tcBorders>
            <w:noWrap/>
            <w:hideMark/>
          </w:tcPr>
          <w:p w14:paraId="586FB78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4,4%</w:t>
            </w:r>
          </w:p>
        </w:tc>
      </w:tr>
      <w:tr w:rsidR="00BD1EFA" w:rsidRPr="001127D6" w14:paraId="506D2C7E"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31F6939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w:t>
            </w:r>
          </w:p>
        </w:tc>
        <w:tc>
          <w:tcPr>
            <w:tcW w:w="486" w:type="pct"/>
            <w:tcBorders>
              <w:top w:val="nil"/>
              <w:left w:val="nil"/>
              <w:bottom w:val="single" w:sz="4" w:space="0" w:color="auto"/>
              <w:right w:val="single" w:sz="4" w:space="0" w:color="auto"/>
            </w:tcBorders>
            <w:noWrap/>
            <w:hideMark/>
          </w:tcPr>
          <w:p w14:paraId="5B89AF2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Искитимский район</w:t>
            </w:r>
          </w:p>
        </w:tc>
        <w:tc>
          <w:tcPr>
            <w:tcW w:w="243" w:type="pct"/>
            <w:tcBorders>
              <w:top w:val="nil"/>
              <w:left w:val="nil"/>
              <w:bottom w:val="single" w:sz="4" w:space="0" w:color="auto"/>
              <w:right w:val="single" w:sz="4" w:space="0" w:color="auto"/>
            </w:tcBorders>
            <w:noWrap/>
            <w:hideMark/>
          </w:tcPr>
          <w:p w14:paraId="4C1118B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114</w:t>
            </w:r>
          </w:p>
        </w:tc>
        <w:tc>
          <w:tcPr>
            <w:tcW w:w="195" w:type="pct"/>
            <w:tcBorders>
              <w:top w:val="nil"/>
              <w:left w:val="nil"/>
              <w:bottom w:val="single" w:sz="4" w:space="0" w:color="auto"/>
              <w:right w:val="single" w:sz="4" w:space="0" w:color="auto"/>
            </w:tcBorders>
            <w:noWrap/>
            <w:hideMark/>
          </w:tcPr>
          <w:p w14:paraId="46EE5BD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102</w:t>
            </w:r>
          </w:p>
        </w:tc>
        <w:tc>
          <w:tcPr>
            <w:tcW w:w="194" w:type="pct"/>
            <w:tcBorders>
              <w:top w:val="nil"/>
              <w:left w:val="nil"/>
              <w:bottom w:val="single" w:sz="4" w:space="0" w:color="auto"/>
              <w:right w:val="single" w:sz="4" w:space="0" w:color="auto"/>
            </w:tcBorders>
            <w:noWrap/>
            <w:hideMark/>
          </w:tcPr>
          <w:p w14:paraId="4145C01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w:t>
            </w:r>
          </w:p>
        </w:tc>
        <w:tc>
          <w:tcPr>
            <w:tcW w:w="243" w:type="pct"/>
            <w:tcBorders>
              <w:top w:val="nil"/>
              <w:left w:val="nil"/>
              <w:bottom w:val="single" w:sz="4" w:space="0" w:color="auto"/>
              <w:right w:val="single" w:sz="4" w:space="0" w:color="auto"/>
            </w:tcBorders>
            <w:hideMark/>
          </w:tcPr>
          <w:p w14:paraId="2BE5FCC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109</w:t>
            </w:r>
          </w:p>
        </w:tc>
        <w:tc>
          <w:tcPr>
            <w:tcW w:w="243" w:type="pct"/>
            <w:tcBorders>
              <w:top w:val="nil"/>
              <w:left w:val="nil"/>
              <w:bottom w:val="single" w:sz="4" w:space="0" w:color="auto"/>
              <w:right w:val="single" w:sz="4" w:space="0" w:color="auto"/>
            </w:tcBorders>
            <w:hideMark/>
          </w:tcPr>
          <w:p w14:paraId="3120404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116</w:t>
            </w:r>
          </w:p>
        </w:tc>
        <w:tc>
          <w:tcPr>
            <w:tcW w:w="341" w:type="pct"/>
            <w:tcBorders>
              <w:top w:val="nil"/>
              <w:left w:val="nil"/>
              <w:bottom w:val="single" w:sz="4" w:space="0" w:color="auto"/>
              <w:right w:val="single" w:sz="4" w:space="0" w:color="auto"/>
            </w:tcBorders>
            <w:hideMark/>
          </w:tcPr>
          <w:p w14:paraId="3D4DDA2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6,0%</w:t>
            </w:r>
          </w:p>
        </w:tc>
        <w:tc>
          <w:tcPr>
            <w:tcW w:w="438" w:type="pct"/>
            <w:tcBorders>
              <w:top w:val="nil"/>
              <w:left w:val="nil"/>
              <w:bottom w:val="single" w:sz="4" w:space="0" w:color="auto"/>
              <w:right w:val="single" w:sz="4" w:space="0" w:color="auto"/>
            </w:tcBorders>
            <w:hideMark/>
          </w:tcPr>
          <w:p w14:paraId="6EB6CA2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94,0%</w:t>
            </w:r>
          </w:p>
        </w:tc>
        <w:tc>
          <w:tcPr>
            <w:tcW w:w="446" w:type="pct"/>
            <w:tcBorders>
              <w:top w:val="nil"/>
              <w:left w:val="nil"/>
              <w:bottom w:val="single" w:sz="4" w:space="0" w:color="auto"/>
              <w:right w:val="single" w:sz="4" w:space="0" w:color="auto"/>
            </w:tcBorders>
            <w:noWrap/>
            <w:hideMark/>
          </w:tcPr>
          <w:p w14:paraId="75763F0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3,9%</w:t>
            </w:r>
          </w:p>
        </w:tc>
        <w:tc>
          <w:tcPr>
            <w:tcW w:w="333" w:type="pct"/>
            <w:tcBorders>
              <w:top w:val="nil"/>
              <w:left w:val="nil"/>
              <w:bottom w:val="single" w:sz="4" w:space="0" w:color="auto"/>
              <w:right w:val="single" w:sz="4" w:space="0" w:color="auto"/>
            </w:tcBorders>
            <w:noWrap/>
            <w:hideMark/>
          </w:tcPr>
          <w:p w14:paraId="545C583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w:t>
            </w:r>
          </w:p>
        </w:tc>
        <w:tc>
          <w:tcPr>
            <w:tcW w:w="244" w:type="pct"/>
            <w:tcBorders>
              <w:top w:val="nil"/>
              <w:left w:val="nil"/>
              <w:bottom w:val="single" w:sz="4" w:space="0" w:color="auto"/>
              <w:right w:val="single" w:sz="4" w:space="0" w:color="auto"/>
            </w:tcBorders>
            <w:hideMark/>
          </w:tcPr>
          <w:p w14:paraId="75B209A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105</w:t>
            </w:r>
          </w:p>
        </w:tc>
        <w:tc>
          <w:tcPr>
            <w:tcW w:w="340" w:type="pct"/>
            <w:tcBorders>
              <w:top w:val="nil"/>
              <w:left w:val="nil"/>
              <w:bottom w:val="single" w:sz="4" w:space="0" w:color="auto"/>
              <w:right w:val="single" w:sz="4" w:space="0" w:color="auto"/>
            </w:tcBorders>
            <w:hideMark/>
          </w:tcPr>
          <w:p w14:paraId="4A284DC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110</w:t>
            </w:r>
          </w:p>
        </w:tc>
        <w:tc>
          <w:tcPr>
            <w:tcW w:w="439" w:type="pct"/>
            <w:tcBorders>
              <w:top w:val="nil"/>
              <w:left w:val="nil"/>
              <w:bottom w:val="single" w:sz="4" w:space="0" w:color="auto"/>
              <w:right w:val="single" w:sz="4" w:space="0" w:color="auto"/>
            </w:tcBorders>
            <w:hideMark/>
          </w:tcPr>
          <w:p w14:paraId="073D123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4,5%</w:t>
            </w:r>
          </w:p>
        </w:tc>
        <w:tc>
          <w:tcPr>
            <w:tcW w:w="292" w:type="pct"/>
            <w:tcBorders>
              <w:top w:val="nil"/>
              <w:left w:val="nil"/>
              <w:bottom w:val="single" w:sz="4" w:space="0" w:color="auto"/>
              <w:right w:val="single" w:sz="4" w:space="0" w:color="auto"/>
            </w:tcBorders>
            <w:hideMark/>
          </w:tcPr>
          <w:p w14:paraId="4CF11EB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95,5%</w:t>
            </w:r>
          </w:p>
        </w:tc>
        <w:tc>
          <w:tcPr>
            <w:tcW w:w="377" w:type="pct"/>
            <w:tcBorders>
              <w:top w:val="nil"/>
              <w:left w:val="nil"/>
              <w:bottom w:val="single" w:sz="4" w:space="0" w:color="auto"/>
              <w:right w:val="single" w:sz="4" w:space="0" w:color="auto"/>
            </w:tcBorders>
            <w:noWrap/>
            <w:hideMark/>
          </w:tcPr>
          <w:p w14:paraId="59348F6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3,7%</w:t>
            </w:r>
          </w:p>
        </w:tc>
      </w:tr>
      <w:tr w:rsidR="00BD1EFA" w:rsidRPr="001127D6" w14:paraId="77655B62"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0750B6B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486" w:type="pct"/>
            <w:tcBorders>
              <w:top w:val="nil"/>
              <w:left w:val="nil"/>
              <w:bottom w:val="single" w:sz="4" w:space="0" w:color="auto"/>
              <w:right w:val="single" w:sz="4" w:space="0" w:color="auto"/>
            </w:tcBorders>
            <w:noWrap/>
            <w:hideMark/>
          </w:tcPr>
          <w:p w14:paraId="3E7E554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Краснозерский район</w:t>
            </w:r>
          </w:p>
        </w:tc>
        <w:tc>
          <w:tcPr>
            <w:tcW w:w="243" w:type="pct"/>
            <w:tcBorders>
              <w:top w:val="nil"/>
              <w:left w:val="nil"/>
              <w:bottom w:val="single" w:sz="4" w:space="0" w:color="auto"/>
              <w:right w:val="single" w:sz="4" w:space="0" w:color="auto"/>
            </w:tcBorders>
            <w:noWrap/>
            <w:hideMark/>
          </w:tcPr>
          <w:p w14:paraId="0F99A97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97</w:t>
            </w:r>
          </w:p>
        </w:tc>
        <w:tc>
          <w:tcPr>
            <w:tcW w:w="195" w:type="pct"/>
            <w:tcBorders>
              <w:top w:val="nil"/>
              <w:left w:val="nil"/>
              <w:bottom w:val="single" w:sz="4" w:space="0" w:color="auto"/>
              <w:right w:val="single" w:sz="4" w:space="0" w:color="auto"/>
            </w:tcBorders>
            <w:noWrap/>
            <w:hideMark/>
          </w:tcPr>
          <w:p w14:paraId="1506B73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95</w:t>
            </w:r>
          </w:p>
        </w:tc>
        <w:tc>
          <w:tcPr>
            <w:tcW w:w="194" w:type="pct"/>
            <w:tcBorders>
              <w:top w:val="nil"/>
              <w:left w:val="nil"/>
              <w:bottom w:val="single" w:sz="4" w:space="0" w:color="auto"/>
              <w:right w:val="single" w:sz="4" w:space="0" w:color="auto"/>
            </w:tcBorders>
            <w:noWrap/>
            <w:hideMark/>
          </w:tcPr>
          <w:p w14:paraId="3DB0487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w:t>
            </w:r>
          </w:p>
        </w:tc>
        <w:tc>
          <w:tcPr>
            <w:tcW w:w="243" w:type="pct"/>
            <w:tcBorders>
              <w:top w:val="nil"/>
              <w:left w:val="nil"/>
              <w:bottom w:val="single" w:sz="4" w:space="0" w:color="auto"/>
              <w:right w:val="single" w:sz="4" w:space="0" w:color="auto"/>
            </w:tcBorders>
            <w:hideMark/>
          </w:tcPr>
          <w:p w14:paraId="2ED81A7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89</w:t>
            </w:r>
          </w:p>
        </w:tc>
        <w:tc>
          <w:tcPr>
            <w:tcW w:w="243" w:type="pct"/>
            <w:tcBorders>
              <w:top w:val="nil"/>
              <w:left w:val="nil"/>
              <w:bottom w:val="single" w:sz="4" w:space="0" w:color="auto"/>
              <w:right w:val="single" w:sz="4" w:space="0" w:color="auto"/>
            </w:tcBorders>
            <w:hideMark/>
          </w:tcPr>
          <w:p w14:paraId="337C84B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92</w:t>
            </w:r>
          </w:p>
        </w:tc>
        <w:tc>
          <w:tcPr>
            <w:tcW w:w="341" w:type="pct"/>
            <w:tcBorders>
              <w:top w:val="nil"/>
              <w:left w:val="nil"/>
              <w:bottom w:val="single" w:sz="4" w:space="0" w:color="auto"/>
              <w:right w:val="single" w:sz="4" w:space="0" w:color="auto"/>
            </w:tcBorders>
            <w:hideMark/>
          </w:tcPr>
          <w:p w14:paraId="4AFC953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3,3%</w:t>
            </w:r>
          </w:p>
        </w:tc>
        <w:tc>
          <w:tcPr>
            <w:tcW w:w="438" w:type="pct"/>
            <w:tcBorders>
              <w:top w:val="nil"/>
              <w:left w:val="nil"/>
              <w:bottom w:val="single" w:sz="4" w:space="0" w:color="auto"/>
              <w:right w:val="single" w:sz="4" w:space="0" w:color="auto"/>
            </w:tcBorders>
            <w:hideMark/>
          </w:tcPr>
          <w:p w14:paraId="56F4F09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96,7%</w:t>
            </w:r>
          </w:p>
        </w:tc>
        <w:tc>
          <w:tcPr>
            <w:tcW w:w="446" w:type="pct"/>
            <w:tcBorders>
              <w:top w:val="nil"/>
              <w:left w:val="nil"/>
              <w:bottom w:val="single" w:sz="4" w:space="0" w:color="auto"/>
              <w:right w:val="single" w:sz="4" w:space="0" w:color="auto"/>
            </w:tcBorders>
            <w:noWrap/>
            <w:hideMark/>
          </w:tcPr>
          <w:p w14:paraId="0DBE9EA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3,1%</w:t>
            </w:r>
          </w:p>
        </w:tc>
        <w:tc>
          <w:tcPr>
            <w:tcW w:w="333" w:type="pct"/>
            <w:tcBorders>
              <w:top w:val="nil"/>
              <w:left w:val="nil"/>
              <w:bottom w:val="single" w:sz="4" w:space="0" w:color="auto"/>
              <w:right w:val="single" w:sz="4" w:space="0" w:color="auto"/>
            </w:tcBorders>
            <w:noWrap/>
            <w:hideMark/>
          </w:tcPr>
          <w:p w14:paraId="64D8752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4" w:type="pct"/>
            <w:tcBorders>
              <w:top w:val="nil"/>
              <w:left w:val="nil"/>
              <w:bottom w:val="single" w:sz="4" w:space="0" w:color="auto"/>
              <w:right w:val="single" w:sz="4" w:space="0" w:color="auto"/>
            </w:tcBorders>
            <w:hideMark/>
          </w:tcPr>
          <w:p w14:paraId="5F13643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90</w:t>
            </w:r>
          </w:p>
        </w:tc>
        <w:tc>
          <w:tcPr>
            <w:tcW w:w="340" w:type="pct"/>
            <w:tcBorders>
              <w:top w:val="nil"/>
              <w:left w:val="nil"/>
              <w:bottom w:val="single" w:sz="4" w:space="0" w:color="auto"/>
              <w:right w:val="single" w:sz="4" w:space="0" w:color="auto"/>
            </w:tcBorders>
            <w:hideMark/>
          </w:tcPr>
          <w:p w14:paraId="05F9306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92</w:t>
            </w:r>
          </w:p>
        </w:tc>
        <w:tc>
          <w:tcPr>
            <w:tcW w:w="439" w:type="pct"/>
            <w:tcBorders>
              <w:top w:val="nil"/>
              <w:left w:val="nil"/>
              <w:bottom w:val="single" w:sz="4" w:space="0" w:color="auto"/>
              <w:right w:val="single" w:sz="4" w:space="0" w:color="auto"/>
            </w:tcBorders>
            <w:hideMark/>
          </w:tcPr>
          <w:p w14:paraId="43C3D59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2,2%</w:t>
            </w:r>
          </w:p>
        </w:tc>
        <w:tc>
          <w:tcPr>
            <w:tcW w:w="292" w:type="pct"/>
            <w:tcBorders>
              <w:top w:val="nil"/>
              <w:left w:val="nil"/>
              <w:bottom w:val="single" w:sz="4" w:space="0" w:color="auto"/>
              <w:right w:val="single" w:sz="4" w:space="0" w:color="auto"/>
            </w:tcBorders>
            <w:hideMark/>
          </w:tcPr>
          <w:p w14:paraId="4AE69FD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97,8%</w:t>
            </w:r>
          </w:p>
        </w:tc>
        <w:tc>
          <w:tcPr>
            <w:tcW w:w="377" w:type="pct"/>
            <w:tcBorders>
              <w:top w:val="nil"/>
              <w:left w:val="nil"/>
              <w:bottom w:val="single" w:sz="4" w:space="0" w:color="auto"/>
              <w:right w:val="single" w:sz="4" w:space="0" w:color="auto"/>
            </w:tcBorders>
            <w:noWrap/>
            <w:hideMark/>
          </w:tcPr>
          <w:p w14:paraId="0C8F7AC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3,1%</w:t>
            </w:r>
          </w:p>
        </w:tc>
      </w:tr>
      <w:tr w:rsidR="00BD1EFA" w:rsidRPr="001127D6" w14:paraId="72FA2C27"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066FC8E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w:t>
            </w:r>
          </w:p>
        </w:tc>
        <w:tc>
          <w:tcPr>
            <w:tcW w:w="486" w:type="pct"/>
            <w:tcBorders>
              <w:top w:val="nil"/>
              <w:left w:val="nil"/>
              <w:bottom w:val="single" w:sz="4" w:space="0" w:color="auto"/>
              <w:right w:val="single" w:sz="4" w:space="0" w:color="auto"/>
            </w:tcBorders>
            <w:noWrap/>
            <w:hideMark/>
          </w:tcPr>
          <w:p w14:paraId="097BC53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Татарский район</w:t>
            </w:r>
          </w:p>
        </w:tc>
        <w:tc>
          <w:tcPr>
            <w:tcW w:w="243" w:type="pct"/>
            <w:tcBorders>
              <w:top w:val="nil"/>
              <w:left w:val="nil"/>
              <w:bottom w:val="single" w:sz="4" w:space="0" w:color="auto"/>
              <w:right w:val="single" w:sz="4" w:space="0" w:color="auto"/>
            </w:tcBorders>
            <w:noWrap/>
            <w:hideMark/>
          </w:tcPr>
          <w:p w14:paraId="6C49099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86</w:t>
            </w:r>
          </w:p>
        </w:tc>
        <w:tc>
          <w:tcPr>
            <w:tcW w:w="195" w:type="pct"/>
            <w:tcBorders>
              <w:top w:val="nil"/>
              <w:left w:val="nil"/>
              <w:bottom w:val="single" w:sz="4" w:space="0" w:color="auto"/>
              <w:right w:val="single" w:sz="4" w:space="0" w:color="auto"/>
            </w:tcBorders>
            <w:noWrap/>
            <w:hideMark/>
          </w:tcPr>
          <w:p w14:paraId="490204C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96</w:t>
            </w:r>
          </w:p>
        </w:tc>
        <w:tc>
          <w:tcPr>
            <w:tcW w:w="194" w:type="pct"/>
            <w:tcBorders>
              <w:top w:val="nil"/>
              <w:left w:val="nil"/>
              <w:bottom w:val="single" w:sz="4" w:space="0" w:color="auto"/>
              <w:right w:val="single" w:sz="4" w:space="0" w:color="auto"/>
            </w:tcBorders>
            <w:noWrap/>
            <w:hideMark/>
          </w:tcPr>
          <w:p w14:paraId="6D7E2A2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w:t>
            </w:r>
          </w:p>
        </w:tc>
        <w:tc>
          <w:tcPr>
            <w:tcW w:w="243" w:type="pct"/>
            <w:tcBorders>
              <w:top w:val="nil"/>
              <w:left w:val="nil"/>
              <w:bottom w:val="single" w:sz="4" w:space="0" w:color="auto"/>
              <w:right w:val="single" w:sz="4" w:space="0" w:color="auto"/>
            </w:tcBorders>
            <w:hideMark/>
          </w:tcPr>
          <w:p w14:paraId="1C24B8B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84</w:t>
            </w:r>
          </w:p>
        </w:tc>
        <w:tc>
          <w:tcPr>
            <w:tcW w:w="243" w:type="pct"/>
            <w:tcBorders>
              <w:top w:val="nil"/>
              <w:left w:val="nil"/>
              <w:bottom w:val="single" w:sz="4" w:space="0" w:color="auto"/>
              <w:right w:val="single" w:sz="4" w:space="0" w:color="auto"/>
            </w:tcBorders>
            <w:hideMark/>
          </w:tcPr>
          <w:p w14:paraId="47CE4EE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90</w:t>
            </w:r>
          </w:p>
        </w:tc>
        <w:tc>
          <w:tcPr>
            <w:tcW w:w="341" w:type="pct"/>
            <w:tcBorders>
              <w:top w:val="nil"/>
              <w:left w:val="nil"/>
              <w:bottom w:val="single" w:sz="4" w:space="0" w:color="auto"/>
              <w:right w:val="single" w:sz="4" w:space="0" w:color="auto"/>
            </w:tcBorders>
            <w:hideMark/>
          </w:tcPr>
          <w:p w14:paraId="50B6676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6,7%</w:t>
            </w:r>
          </w:p>
        </w:tc>
        <w:tc>
          <w:tcPr>
            <w:tcW w:w="438" w:type="pct"/>
            <w:tcBorders>
              <w:top w:val="nil"/>
              <w:left w:val="nil"/>
              <w:bottom w:val="single" w:sz="4" w:space="0" w:color="auto"/>
              <w:right w:val="single" w:sz="4" w:space="0" w:color="auto"/>
            </w:tcBorders>
            <w:hideMark/>
          </w:tcPr>
          <w:p w14:paraId="00AAF3E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93,3%</w:t>
            </w:r>
          </w:p>
        </w:tc>
        <w:tc>
          <w:tcPr>
            <w:tcW w:w="446" w:type="pct"/>
            <w:tcBorders>
              <w:top w:val="nil"/>
              <w:left w:val="nil"/>
              <w:bottom w:val="single" w:sz="4" w:space="0" w:color="auto"/>
              <w:right w:val="single" w:sz="4" w:space="0" w:color="auto"/>
            </w:tcBorders>
            <w:noWrap/>
            <w:hideMark/>
          </w:tcPr>
          <w:p w14:paraId="395BB1F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3,0%</w:t>
            </w:r>
          </w:p>
        </w:tc>
        <w:tc>
          <w:tcPr>
            <w:tcW w:w="333" w:type="pct"/>
            <w:tcBorders>
              <w:top w:val="nil"/>
              <w:left w:val="nil"/>
              <w:bottom w:val="single" w:sz="4" w:space="0" w:color="auto"/>
              <w:right w:val="single" w:sz="4" w:space="0" w:color="auto"/>
            </w:tcBorders>
            <w:noWrap/>
            <w:hideMark/>
          </w:tcPr>
          <w:p w14:paraId="0DC6604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w:t>
            </w:r>
          </w:p>
        </w:tc>
        <w:tc>
          <w:tcPr>
            <w:tcW w:w="244" w:type="pct"/>
            <w:tcBorders>
              <w:top w:val="nil"/>
              <w:left w:val="nil"/>
              <w:bottom w:val="single" w:sz="4" w:space="0" w:color="auto"/>
              <w:right w:val="single" w:sz="4" w:space="0" w:color="auto"/>
            </w:tcBorders>
            <w:hideMark/>
          </w:tcPr>
          <w:p w14:paraId="0E67DD5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80</w:t>
            </w:r>
          </w:p>
        </w:tc>
        <w:tc>
          <w:tcPr>
            <w:tcW w:w="340" w:type="pct"/>
            <w:tcBorders>
              <w:top w:val="nil"/>
              <w:left w:val="nil"/>
              <w:bottom w:val="single" w:sz="4" w:space="0" w:color="auto"/>
              <w:right w:val="single" w:sz="4" w:space="0" w:color="auto"/>
            </w:tcBorders>
            <w:hideMark/>
          </w:tcPr>
          <w:p w14:paraId="41A3BEE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88</w:t>
            </w:r>
          </w:p>
        </w:tc>
        <w:tc>
          <w:tcPr>
            <w:tcW w:w="439" w:type="pct"/>
            <w:tcBorders>
              <w:top w:val="nil"/>
              <w:left w:val="nil"/>
              <w:bottom w:val="single" w:sz="4" w:space="0" w:color="auto"/>
              <w:right w:val="single" w:sz="4" w:space="0" w:color="auto"/>
            </w:tcBorders>
            <w:hideMark/>
          </w:tcPr>
          <w:p w14:paraId="41E0864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9,1%</w:t>
            </w:r>
          </w:p>
        </w:tc>
        <w:tc>
          <w:tcPr>
            <w:tcW w:w="292" w:type="pct"/>
            <w:tcBorders>
              <w:top w:val="nil"/>
              <w:left w:val="nil"/>
              <w:bottom w:val="single" w:sz="4" w:space="0" w:color="auto"/>
              <w:right w:val="single" w:sz="4" w:space="0" w:color="auto"/>
            </w:tcBorders>
            <w:hideMark/>
          </w:tcPr>
          <w:p w14:paraId="5D8B44A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90,9%</w:t>
            </w:r>
          </w:p>
        </w:tc>
        <w:tc>
          <w:tcPr>
            <w:tcW w:w="377" w:type="pct"/>
            <w:tcBorders>
              <w:top w:val="nil"/>
              <w:left w:val="nil"/>
              <w:bottom w:val="single" w:sz="4" w:space="0" w:color="auto"/>
              <w:right w:val="single" w:sz="4" w:space="0" w:color="auto"/>
            </w:tcBorders>
            <w:noWrap/>
            <w:hideMark/>
          </w:tcPr>
          <w:p w14:paraId="42D4A63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3,0%</w:t>
            </w:r>
          </w:p>
        </w:tc>
      </w:tr>
      <w:tr w:rsidR="00BD1EFA" w:rsidRPr="001127D6" w14:paraId="74006A70"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027CC4A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w:t>
            </w:r>
          </w:p>
        </w:tc>
        <w:tc>
          <w:tcPr>
            <w:tcW w:w="486" w:type="pct"/>
            <w:tcBorders>
              <w:top w:val="nil"/>
              <w:left w:val="nil"/>
              <w:bottom w:val="single" w:sz="4" w:space="0" w:color="auto"/>
              <w:right w:val="single" w:sz="4" w:space="0" w:color="auto"/>
            </w:tcBorders>
            <w:noWrap/>
            <w:hideMark/>
          </w:tcPr>
          <w:p w14:paraId="07906D6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Купинский район</w:t>
            </w:r>
          </w:p>
        </w:tc>
        <w:tc>
          <w:tcPr>
            <w:tcW w:w="243" w:type="pct"/>
            <w:tcBorders>
              <w:top w:val="nil"/>
              <w:left w:val="nil"/>
              <w:bottom w:val="single" w:sz="4" w:space="0" w:color="auto"/>
              <w:right w:val="single" w:sz="4" w:space="0" w:color="auto"/>
            </w:tcBorders>
            <w:noWrap/>
            <w:hideMark/>
          </w:tcPr>
          <w:p w14:paraId="4AC2714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90</w:t>
            </w:r>
          </w:p>
        </w:tc>
        <w:tc>
          <w:tcPr>
            <w:tcW w:w="195" w:type="pct"/>
            <w:tcBorders>
              <w:top w:val="nil"/>
              <w:left w:val="nil"/>
              <w:bottom w:val="single" w:sz="4" w:space="0" w:color="auto"/>
              <w:right w:val="single" w:sz="4" w:space="0" w:color="auto"/>
            </w:tcBorders>
            <w:noWrap/>
            <w:hideMark/>
          </w:tcPr>
          <w:p w14:paraId="20814FC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91</w:t>
            </w:r>
          </w:p>
        </w:tc>
        <w:tc>
          <w:tcPr>
            <w:tcW w:w="194" w:type="pct"/>
            <w:tcBorders>
              <w:top w:val="nil"/>
              <w:left w:val="nil"/>
              <w:bottom w:val="single" w:sz="4" w:space="0" w:color="auto"/>
              <w:right w:val="single" w:sz="4" w:space="0" w:color="auto"/>
            </w:tcBorders>
            <w:noWrap/>
            <w:hideMark/>
          </w:tcPr>
          <w:p w14:paraId="1BDDAA4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w:t>
            </w:r>
          </w:p>
        </w:tc>
        <w:tc>
          <w:tcPr>
            <w:tcW w:w="243" w:type="pct"/>
            <w:tcBorders>
              <w:top w:val="nil"/>
              <w:left w:val="nil"/>
              <w:bottom w:val="single" w:sz="4" w:space="0" w:color="auto"/>
              <w:right w:val="single" w:sz="4" w:space="0" w:color="auto"/>
            </w:tcBorders>
            <w:hideMark/>
          </w:tcPr>
          <w:p w14:paraId="21D9653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85</w:t>
            </w:r>
          </w:p>
        </w:tc>
        <w:tc>
          <w:tcPr>
            <w:tcW w:w="243" w:type="pct"/>
            <w:tcBorders>
              <w:top w:val="nil"/>
              <w:left w:val="nil"/>
              <w:bottom w:val="single" w:sz="4" w:space="0" w:color="auto"/>
              <w:right w:val="single" w:sz="4" w:space="0" w:color="auto"/>
            </w:tcBorders>
            <w:hideMark/>
          </w:tcPr>
          <w:p w14:paraId="2C0CD48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88</w:t>
            </w:r>
          </w:p>
        </w:tc>
        <w:tc>
          <w:tcPr>
            <w:tcW w:w="341" w:type="pct"/>
            <w:tcBorders>
              <w:top w:val="nil"/>
              <w:left w:val="nil"/>
              <w:bottom w:val="single" w:sz="4" w:space="0" w:color="auto"/>
              <w:right w:val="single" w:sz="4" w:space="0" w:color="auto"/>
            </w:tcBorders>
            <w:hideMark/>
          </w:tcPr>
          <w:p w14:paraId="03415DC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3,4%</w:t>
            </w:r>
          </w:p>
        </w:tc>
        <w:tc>
          <w:tcPr>
            <w:tcW w:w="438" w:type="pct"/>
            <w:tcBorders>
              <w:top w:val="nil"/>
              <w:left w:val="nil"/>
              <w:bottom w:val="single" w:sz="4" w:space="0" w:color="auto"/>
              <w:right w:val="single" w:sz="4" w:space="0" w:color="auto"/>
            </w:tcBorders>
            <w:hideMark/>
          </w:tcPr>
          <w:p w14:paraId="7DB7CAB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96,6%</w:t>
            </w:r>
          </w:p>
        </w:tc>
        <w:tc>
          <w:tcPr>
            <w:tcW w:w="446" w:type="pct"/>
            <w:tcBorders>
              <w:top w:val="nil"/>
              <w:left w:val="nil"/>
              <w:bottom w:val="single" w:sz="4" w:space="0" w:color="auto"/>
              <w:right w:val="single" w:sz="4" w:space="0" w:color="auto"/>
            </w:tcBorders>
            <w:noWrap/>
            <w:hideMark/>
          </w:tcPr>
          <w:p w14:paraId="0EE8175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3,0%</w:t>
            </w:r>
          </w:p>
        </w:tc>
        <w:tc>
          <w:tcPr>
            <w:tcW w:w="333" w:type="pct"/>
            <w:tcBorders>
              <w:top w:val="nil"/>
              <w:left w:val="nil"/>
              <w:bottom w:val="single" w:sz="4" w:space="0" w:color="auto"/>
              <w:right w:val="single" w:sz="4" w:space="0" w:color="auto"/>
            </w:tcBorders>
            <w:noWrap/>
            <w:hideMark/>
          </w:tcPr>
          <w:p w14:paraId="78D414C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244" w:type="pct"/>
            <w:tcBorders>
              <w:top w:val="nil"/>
              <w:left w:val="nil"/>
              <w:bottom w:val="single" w:sz="4" w:space="0" w:color="auto"/>
              <w:right w:val="single" w:sz="4" w:space="0" w:color="auto"/>
            </w:tcBorders>
            <w:hideMark/>
          </w:tcPr>
          <w:p w14:paraId="7B2E34F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84</w:t>
            </w:r>
          </w:p>
        </w:tc>
        <w:tc>
          <w:tcPr>
            <w:tcW w:w="340" w:type="pct"/>
            <w:tcBorders>
              <w:top w:val="nil"/>
              <w:left w:val="nil"/>
              <w:bottom w:val="single" w:sz="4" w:space="0" w:color="auto"/>
              <w:right w:val="single" w:sz="4" w:space="0" w:color="auto"/>
            </w:tcBorders>
            <w:hideMark/>
          </w:tcPr>
          <w:p w14:paraId="36B3C35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88</w:t>
            </w:r>
          </w:p>
        </w:tc>
        <w:tc>
          <w:tcPr>
            <w:tcW w:w="439" w:type="pct"/>
            <w:tcBorders>
              <w:top w:val="nil"/>
              <w:left w:val="nil"/>
              <w:bottom w:val="single" w:sz="4" w:space="0" w:color="auto"/>
              <w:right w:val="single" w:sz="4" w:space="0" w:color="auto"/>
            </w:tcBorders>
            <w:hideMark/>
          </w:tcPr>
          <w:p w14:paraId="295912E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4,5%</w:t>
            </w:r>
          </w:p>
        </w:tc>
        <w:tc>
          <w:tcPr>
            <w:tcW w:w="292" w:type="pct"/>
            <w:tcBorders>
              <w:top w:val="nil"/>
              <w:left w:val="nil"/>
              <w:bottom w:val="single" w:sz="4" w:space="0" w:color="auto"/>
              <w:right w:val="single" w:sz="4" w:space="0" w:color="auto"/>
            </w:tcBorders>
            <w:hideMark/>
          </w:tcPr>
          <w:p w14:paraId="59371A4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95,5%</w:t>
            </w:r>
          </w:p>
        </w:tc>
        <w:tc>
          <w:tcPr>
            <w:tcW w:w="377" w:type="pct"/>
            <w:tcBorders>
              <w:top w:val="nil"/>
              <w:left w:val="nil"/>
              <w:bottom w:val="single" w:sz="4" w:space="0" w:color="auto"/>
              <w:right w:val="single" w:sz="4" w:space="0" w:color="auto"/>
            </w:tcBorders>
            <w:noWrap/>
            <w:hideMark/>
          </w:tcPr>
          <w:p w14:paraId="31F736D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3,0%</w:t>
            </w:r>
          </w:p>
        </w:tc>
      </w:tr>
      <w:tr w:rsidR="00BD1EFA" w:rsidRPr="001127D6" w14:paraId="2616AC42"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4F0046B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w:t>
            </w:r>
          </w:p>
        </w:tc>
        <w:tc>
          <w:tcPr>
            <w:tcW w:w="486" w:type="pct"/>
            <w:tcBorders>
              <w:top w:val="nil"/>
              <w:left w:val="nil"/>
              <w:bottom w:val="single" w:sz="4" w:space="0" w:color="auto"/>
              <w:right w:val="single" w:sz="4" w:space="0" w:color="auto"/>
            </w:tcBorders>
            <w:noWrap/>
            <w:hideMark/>
          </w:tcPr>
          <w:p w14:paraId="58A4E5D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Куйбышевский район</w:t>
            </w:r>
          </w:p>
        </w:tc>
        <w:tc>
          <w:tcPr>
            <w:tcW w:w="243" w:type="pct"/>
            <w:tcBorders>
              <w:top w:val="nil"/>
              <w:left w:val="nil"/>
              <w:bottom w:val="single" w:sz="4" w:space="0" w:color="auto"/>
              <w:right w:val="single" w:sz="4" w:space="0" w:color="auto"/>
            </w:tcBorders>
            <w:noWrap/>
            <w:hideMark/>
          </w:tcPr>
          <w:p w14:paraId="491163E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93</w:t>
            </w:r>
          </w:p>
        </w:tc>
        <w:tc>
          <w:tcPr>
            <w:tcW w:w="195" w:type="pct"/>
            <w:tcBorders>
              <w:top w:val="nil"/>
              <w:left w:val="nil"/>
              <w:bottom w:val="single" w:sz="4" w:space="0" w:color="auto"/>
              <w:right w:val="single" w:sz="4" w:space="0" w:color="auto"/>
            </w:tcBorders>
            <w:noWrap/>
            <w:hideMark/>
          </w:tcPr>
          <w:p w14:paraId="3B31B09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96</w:t>
            </w:r>
          </w:p>
        </w:tc>
        <w:tc>
          <w:tcPr>
            <w:tcW w:w="194" w:type="pct"/>
            <w:tcBorders>
              <w:top w:val="nil"/>
              <w:left w:val="nil"/>
              <w:bottom w:val="single" w:sz="4" w:space="0" w:color="auto"/>
              <w:right w:val="single" w:sz="4" w:space="0" w:color="auto"/>
            </w:tcBorders>
            <w:noWrap/>
            <w:hideMark/>
          </w:tcPr>
          <w:p w14:paraId="7C50626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w:t>
            </w:r>
          </w:p>
        </w:tc>
        <w:tc>
          <w:tcPr>
            <w:tcW w:w="243" w:type="pct"/>
            <w:tcBorders>
              <w:top w:val="nil"/>
              <w:left w:val="nil"/>
              <w:bottom w:val="single" w:sz="4" w:space="0" w:color="auto"/>
              <w:right w:val="single" w:sz="4" w:space="0" w:color="auto"/>
            </w:tcBorders>
            <w:hideMark/>
          </w:tcPr>
          <w:p w14:paraId="32DAEEB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72</w:t>
            </w:r>
          </w:p>
        </w:tc>
        <w:tc>
          <w:tcPr>
            <w:tcW w:w="243" w:type="pct"/>
            <w:tcBorders>
              <w:top w:val="nil"/>
              <w:left w:val="nil"/>
              <w:bottom w:val="single" w:sz="4" w:space="0" w:color="auto"/>
              <w:right w:val="single" w:sz="4" w:space="0" w:color="auto"/>
            </w:tcBorders>
            <w:hideMark/>
          </w:tcPr>
          <w:p w14:paraId="1403D2D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78</w:t>
            </w:r>
          </w:p>
        </w:tc>
        <w:tc>
          <w:tcPr>
            <w:tcW w:w="341" w:type="pct"/>
            <w:tcBorders>
              <w:top w:val="nil"/>
              <w:left w:val="nil"/>
              <w:bottom w:val="single" w:sz="4" w:space="0" w:color="auto"/>
              <w:right w:val="single" w:sz="4" w:space="0" w:color="auto"/>
            </w:tcBorders>
            <w:hideMark/>
          </w:tcPr>
          <w:p w14:paraId="71BC7A7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7,7%</w:t>
            </w:r>
          </w:p>
        </w:tc>
        <w:tc>
          <w:tcPr>
            <w:tcW w:w="438" w:type="pct"/>
            <w:tcBorders>
              <w:top w:val="nil"/>
              <w:left w:val="nil"/>
              <w:bottom w:val="single" w:sz="4" w:space="0" w:color="auto"/>
              <w:right w:val="single" w:sz="4" w:space="0" w:color="auto"/>
            </w:tcBorders>
            <w:hideMark/>
          </w:tcPr>
          <w:p w14:paraId="66B20FF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92,3%</w:t>
            </w:r>
          </w:p>
        </w:tc>
        <w:tc>
          <w:tcPr>
            <w:tcW w:w="446" w:type="pct"/>
            <w:tcBorders>
              <w:top w:val="nil"/>
              <w:left w:val="nil"/>
              <w:bottom w:val="single" w:sz="4" w:space="0" w:color="auto"/>
              <w:right w:val="single" w:sz="4" w:space="0" w:color="auto"/>
            </w:tcBorders>
            <w:noWrap/>
            <w:hideMark/>
          </w:tcPr>
          <w:p w14:paraId="581AC17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2,6%</w:t>
            </w:r>
          </w:p>
        </w:tc>
        <w:tc>
          <w:tcPr>
            <w:tcW w:w="333" w:type="pct"/>
            <w:tcBorders>
              <w:top w:val="nil"/>
              <w:left w:val="nil"/>
              <w:bottom w:val="single" w:sz="4" w:space="0" w:color="auto"/>
              <w:right w:val="single" w:sz="4" w:space="0" w:color="auto"/>
            </w:tcBorders>
            <w:noWrap/>
            <w:hideMark/>
          </w:tcPr>
          <w:p w14:paraId="157C79B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w:t>
            </w:r>
          </w:p>
        </w:tc>
        <w:tc>
          <w:tcPr>
            <w:tcW w:w="244" w:type="pct"/>
            <w:tcBorders>
              <w:top w:val="nil"/>
              <w:left w:val="nil"/>
              <w:bottom w:val="single" w:sz="4" w:space="0" w:color="auto"/>
              <w:right w:val="single" w:sz="4" w:space="0" w:color="auto"/>
            </w:tcBorders>
            <w:hideMark/>
          </w:tcPr>
          <w:p w14:paraId="63568E5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79</w:t>
            </w:r>
          </w:p>
        </w:tc>
        <w:tc>
          <w:tcPr>
            <w:tcW w:w="340" w:type="pct"/>
            <w:tcBorders>
              <w:top w:val="nil"/>
              <w:left w:val="nil"/>
              <w:bottom w:val="single" w:sz="4" w:space="0" w:color="auto"/>
              <w:right w:val="single" w:sz="4" w:space="0" w:color="auto"/>
            </w:tcBorders>
            <w:hideMark/>
          </w:tcPr>
          <w:p w14:paraId="0A9F7B2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85</w:t>
            </w:r>
          </w:p>
        </w:tc>
        <w:tc>
          <w:tcPr>
            <w:tcW w:w="439" w:type="pct"/>
            <w:tcBorders>
              <w:top w:val="nil"/>
              <w:left w:val="nil"/>
              <w:bottom w:val="single" w:sz="4" w:space="0" w:color="auto"/>
              <w:right w:val="single" w:sz="4" w:space="0" w:color="auto"/>
            </w:tcBorders>
            <w:hideMark/>
          </w:tcPr>
          <w:p w14:paraId="2344F91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7,1%</w:t>
            </w:r>
          </w:p>
        </w:tc>
        <w:tc>
          <w:tcPr>
            <w:tcW w:w="292" w:type="pct"/>
            <w:tcBorders>
              <w:top w:val="nil"/>
              <w:left w:val="nil"/>
              <w:bottom w:val="single" w:sz="4" w:space="0" w:color="auto"/>
              <w:right w:val="single" w:sz="4" w:space="0" w:color="auto"/>
            </w:tcBorders>
            <w:hideMark/>
          </w:tcPr>
          <w:p w14:paraId="281594D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92,9%</w:t>
            </w:r>
          </w:p>
        </w:tc>
        <w:tc>
          <w:tcPr>
            <w:tcW w:w="377" w:type="pct"/>
            <w:tcBorders>
              <w:top w:val="nil"/>
              <w:left w:val="nil"/>
              <w:bottom w:val="single" w:sz="4" w:space="0" w:color="auto"/>
              <w:right w:val="single" w:sz="4" w:space="0" w:color="auto"/>
            </w:tcBorders>
            <w:noWrap/>
            <w:hideMark/>
          </w:tcPr>
          <w:p w14:paraId="5EFCDF7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2,9%</w:t>
            </w:r>
          </w:p>
        </w:tc>
      </w:tr>
      <w:tr w:rsidR="00BD1EFA" w:rsidRPr="001127D6" w14:paraId="434C0E52"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4EDB1E6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w:t>
            </w:r>
          </w:p>
        </w:tc>
        <w:tc>
          <w:tcPr>
            <w:tcW w:w="486" w:type="pct"/>
            <w:tcBorders>
              <w:top w:val="nil"/>
              <w:left w:val="nil"/>
              <w:bottom w:val="single" w:sz="4" w:space="0" w:color="auto"/>
              <w:right w:val="single" w:sz="4" w:space="0" w:color="auto"/>
            </w:tcBorders>
            <w:noWrap/>
            <w:hideMark/>
          </w:tcPr>
          <w:p w14:paraId="4729C7E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Тогучинский район</w:t>
            </w:r>
          </w:p>
        </w:tc>
        <w:tc>
          <w:tcPr>
            <w:tcW w:w="243" w:type="pct"/>
            <w:tcBorders>
              <w:top w:val="nil"/>
              <w:left w:val="nil"/>
              <w:bottom w:val="single" w:sz="4" w:space="0" w:color="auto"/>
              <w:right w:val="single" w:sz="4" w:space="0" w:color="auto"/>
            </w:tcBorders>
            <w:noWrap/>
            <w:hideMark/>
          </w:tcPr>
          <w:p w14:paraId="28E7DAF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103</w:t>
            </w:r>
          </w:p>
        </w:tc>
        <w:tc>
          <w:tcPr>
            <w:tcW w:w="195" w:type="pct"/>
            <w:tcBorders>
              <w:top w:val="nil"/>
              <w:left w:val="nil"/>
              <w:bottom w:val="single" w:sz="4" w:space="0" w:color="auto"/>
              <w:right w:val="single" w:sz="4" w:space="0" w:color="auto"/>
            </w:tcBorders>
            <w:noWrap/>
            <w:hideMark/>
          </w:tcPr>
          <w:p w14:paraId="61C8FA7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101</w:t>
            </w:r>
          </w:p>
        </w:tc>
        <w:tc>
          <w:tcPr>
            <w:tcW w:w="194" w:type="pct"/>
            <w:tcBorders>
              <w:top w:val="nil"/>
              <w:left w:val="nil"/>
              <w:bottom w:val="single" w:sz="4" w:space="0" w:color="auto"/>
              <w:right w:val="single" w:sz="4" w:space="0" w:color="auto"/>
            </w:tcBorders>
            <w:noWrap/>
            <w:hideMark/>
          </w:tcPr>
          <w:p w14:paraId="763DB04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w:t>
            </w:r>
          </w:p>
        </w:tc>
        <w:tc>
          <w:tcPr>
            <w:tcW w:w="243" w:type="pct"/>
            <w:tcBorders>
              <w:top w:val="nil"/>
              <w:left w:val="nil"/>
              <w:bottom w:val="single" w:sz="4" w:space="0" w:color="auto"/>
              <w:right w:val="single" w:sz="4" w:space="0" w:color="auto"/>
            </w:tcBorders>
            <w:hideMark/>
          </w:tcPr>
          <w:p w14:paraId="37A04FB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97</w:t>
            </w:r>
          </w:p>
        </w:tc>
        <w:tc>
          <w:tcPr>
            <w:tcW w:w="243" w:type="pct"/>
            <w:tcBorders>
              <w:top w:val="nil"/>
              <w:left w:val="nil"/>
              <w:bottom w:val="single" w:sz="4" w:space="0" w:color="auto"/>
              <w:right w:val="single" w:sz="4" w:space="0" w:color="auto"/>
            </w:tcBorders>
            <w:hideMark/>
          </w:tcPr>
          <w:p w14:paraId="1C1FC52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105</w:t>
            </w:r>
          </w:p>
        </w:tc>
        <w:tc>
          <w:tcPr>
            <w:tcW w:w="341" w:type="pct"/>
            <w:tcBorders>
              <w:top w:val="nil"/>
              <w:left w:val="nil"/>
              <w:bottom w:val="single" w:sz="4" w:space="0" w:color="auto"/>
              <w:right w:val="single" w:sz="4" w:space="0" w:color="auto"/>
            </w:tcBorders>
            <w:hideMark/>
          </w:tcPr>
          <w:p w14:paraId="09DA30B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7,6%</w:t>
            </w:r>
          </w:p>
        </w:tc>
        <w:tc>
          <w:tcPr>
            <w:tcW w:w="438" w:type="pct"/>
            <w:tcBorders>
              <w:top w:val="nil"/>
              <w:left w:val="nil"/>
              <w:bottom w:val="single" w:sz="4" w:space="0" w:color="auto"/>
              <w:right w:val="single" w:sz="4" w:space="0" w:color="auto"/>
            </w:tcBorders>
            <w:hideMark/>
          </w:tcPr>
          <w:p w14:paraId="128AEED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92,4%</w:t>
            </w:r>
          </w:p>
        </w:tc>
        <w:tc>
          <w:tcPr>
            <w:tcW w:w="446" w:type="pct"/>
            <w:tcBorders>
              <w:top w:val="nil"/>
              <w:left w:val="nil"/>
              <w:bottom w:val="single" w:sz="4" w:space="0" w:color="auto"/>
              <w:right w:val="single" w:sz="4" w:space="0" w:color="auto"/>
            </w:tcBorders>
            <w:noWrap/>
            <w:hideMark/>
          </w:tcPr>
          <w:p w14:paraId="76FA51B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3,5%</w:t>
            </w:r>
          </w:p>
        </w:tc>
        <w:tc>
          <w:tcPr>
            <w:tcW w:w="333" w:type="pct"/>
            <w:tcBorders>
              <w:top w:val="nil"/>
              <w:left w:val="nil"/>
              <w:bottom w:val="single" w:sz="4" w:space="0" w:color="auto"/>
              <w:right w:val="single" w:sz="4" w:space="0" w:color="auto"/>
            </w:tcBorders>
            <w:noWrap/>
            <w:hideMark/>
          </w:tcPr>
          <w:p w14:paraId="7C1E244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w:t>
            </w:r>
          </w:p>
        </w:tc>
        <w:tc>
          <w:tcPr>
            <w:tcW w:w="244" w:type="pct"/>
            <w:tcBorders>
              <w:top w:val="nil"/>
              <w:left w:val="nil"/>
              <w:bottom w:val="single" w:sz="4" w:space="0" w:color="auto"/>
              <w:right w:val="single" w:sz="4" w:space="0" w:color="auto"/>
            </w:tcBorders>
            <w:hideMark/>
          </w:tcPr>
          <w:p w14:paraId="2B63DF8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73</w:t>
            </w:r>
          </w:p>
        </w:tc>
        <w:tc>
          <w:tcPr>
            <w:tcW w:w="340" w:type="pct"/>
            <w:tcBorders>
              <w:top w:val="nil"/>
              <w:left w:val="nil"/>
              <w:bottom w:val="single" w:sz="4" w:space="0" w:color="auto"/>
              <w:right w:val="single" w:sz="4" w:space="0" w:color="auto"/>
            </w:tcBorders>
            <w:hideMark/>
          </w:tcPr>
          <w:p w14:paraId="3182855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82</w:t>
            </w:r>
          </w:p>
        </w:tc>
        <w:tc>
          <w:tcPr>
            <w:tcW w:w="439" w:type="pct"/>
            <w:tcBorders>
              <w:top w:val="nil"/>
              <w:left w:val="nil"/>
              <w:bottom w:val="single" w:sz="4" w:space="0" w:color="auto"/>
              <w:right w:val="single" w:sz="4" w:space="0" w:color="auto"/>
            </w:tcBorders>
            <w:hideMark/>
          </w:tcPr>
          <w:p w14:paraId="774187B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11,0%</w:t>
            </w:r>
          </w:p>
        </w:tc>
        <w:tc>
          <w:tcPr>
            <w:tcW w:w="292" w:type="pct"/>
            <w:tcBorders>
              <w:top w:val="nil"/>
              <w:left w:val="nil"/>
              <w:bottom w:val="single" w:sz="4" w:space="0" w:color="auto"/>
              <w:right w:val="single" w:sz="4" w:space="0" w:color="auto"/>
            </w:tcBorders>
            <w:hideMark/>
          </w:tcPr>
          <w:p w14:paraId="2801152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89,0%</w:t>
            </w:r>
          </w:p>
        </w:tc>
        <w:tc>
          <w:tcPr>
            <w:tcW w:w="377" w:type="pct"/>
            <w:tcBorders>
              <w:top w:val="nil"/>
              <w:left w:val="nil"/>
              <w:bottom w:val="single" w:sz="4" w:space="0" w:color="auto"/>
              <w:right w:val="single" w:sz="4" w:space="0" w:color="auto"/>
            </w:tcBorders>
            <w:noWrap/>
            <w:hideMark/>
          </w:tcPr>
          <w:p w14:paraId="4C96767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2,8%</w:t>
            </w:r>
          </w:p>
        </w:tc>
      </w:tr>
      <w:tr w:rsidR="00BD1EFA" w:rsidRPr="001127D6" w14:paraId="0BC05C18"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57CE3E1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w:t>
            </w:r>
          </w:p>
        </w:tc>
        <w:tc>
          <w:tcPr>
            <w:tcW w:w="486" w:type="pct"/>
            <w:tcBorders>
              <w:top w:val="nil"/>
              <w:left w:val="nil"/>
              <w:bottom w:val="single" w:sz="4" w:space="0" w:color="auto"/>
              <w:right w:val="single" w:sz="4" w:space="0" w:color="auto"/>
            </w:tcBorders>
            <w:noWrap/>
            <w:hideMark/>
          </w:tcPr>
          <w:p w14:paraId="1E321F6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Мошковский район</w:t>
            </w:r>
          </w:p>
        </w:tc>
        <w:tc>
          <w:tcPr>
            <w:tcW w:w="243" w:type="pct"/>
            <w:tcBorders>
              <w:top w:val="nil"/>
              <w:left w:val="nil"/>
              <w:bottom w:val="single" w:sz="4" w:space="0" w:color="auto"/>
              <w:right w:val="single" w:sz="4" w:space="0" w:color="auto"/>
            </w:tcBorders>
            <w:noWrap/>
            <w:hideMark/>
          </w:tcPr>
          <w:p w14:paraId="03EB7AB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73</w:t>
            </w:r>
          </w:p>
        </w:tc>
        <w:tc>
          <w:tcPr>
            <w:tcW w:w="195" w:type="pct"/>
            <w:tcBorders>
              <w:top w:val="nil"/>
              <w:left w:val="nil"/>
              <w:bottom w:val="single" w:sz="4" w:space="0" w:color="auto"/>
              <w:right w:val="single" w:sz="4" w:space="0" w:color="auto"/>
            </w:tcBorders>
            <w:noWrap/>
            <w:hideMark/>
          </w:tcPr>
          <w:p w14:paraId="7BCFEFE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75</w:t>
            </w:r>
          </w:p>
        </w:tc>
        <w:tc>
          <w:tcPr>
            <w:tcW w:w="194" w:type="pct"/>
            <w:tcBorders>
              <w:top w:val="nil"/>
              <w:left w:val="nil"/>
              <w:bottom w:val="single" w:sz="4" w:space="0" w:color="auto"/>
              <w:right w:val="single" w:sz="4" w:space="0" w:color="auto"/>
            </w:tcBorders>
            <w:noWrap/>
            <w:hideMark/>
          </w:tcPr>
          <w:p w14:paraId="73339C4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w:t>
            </w:r>
          </w:p>
        </w:tc>
        <w:tc>
          <w:tcPr>
            <w:tcW w:w="243" w:type="pct"/>
            <w:tcBorders>
              <w:top w:val="nil"/>
              <w:left w:val="nil"/>
              <w:bottom w:val="single" w:sz="4" w:space="0" w:color="auto"/>
              <w:right w:val="single" w:sz="4" w:space="0" w:color="auto"/>
            </w:tcBorders>
            <w:hideMark/>
          </w:tcPr>
          <w:p w14:paraId="1DFF398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75</w:t>
            </w:r>
          </w:p>
        </w:tc>
        <w:tc>
          <w:tcPr>
            <w:tcW w:w="243" w:type="pct"/>
            <w:tcBorders>
              <w:top w:val="nil"/>
              <w:left w:val="nil"/>
              <w:bottom w:val="single" w:sz="4" w:space="0" w:color="auto"/>
              <w:right w:val="single" w:sz="4" w:space="0" w:color="auto"/>
            </w:tcBorders>
            <w:hideMark/>
          </w:tcPr>
          <w:p w14:paraId="634E622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81</w:t>
            </w:r>
          </w:p>
        </w:tc>
        <w:tc>
          <w:tcPr>
            <w:tcW w:w="341" w:type="pct"/>
            <w:tcBorders>
              <w:top w:val="nil"/>
              <w:left w:val="nil"/>
              <w:bottom w:val="single" w:sz="4" w:space="0" w:color="auto"/>
              <w:right w:val="single" w:sz="4" w:space="0" w:color="auto"/>
            </w:tcBorders>
            <w:hideMark/>
          </w:tcPr>
          <w:p w14:paraId="511967C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7,4%</w:t>
            </w:r>
          </w:p>
        </w:tc>
        <w:tc>
          <w:tcPr>
            <w:tcW w:w="438" w:type="pct"/>
            <w:tcBorders>
              <w:top w:val="nil"/>
              <w:left w:val="nil"/>
              <w:bottom w:val="single" w:sz="4" w:space="0" w:color="auto"/>
              <w:right w:val="single" w:sz="4" w:space="0" w:color="auto"/>
            </w:tcBorders>
            <w:hideMark/>
          </w:tcPr>
          <w:p w14:paraId="56AE70A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92,6%</w:t>
            </w:r>
          </w:p>
        </w:tc>
        <w:tc>
          <w:tcPr>
            <w:tcW w:w="446" w:type="pct"/>
            <w:tcBorders>
              <w:top w:val="nil"/>
              <w:left w:val="nil"/>
              <w:bottom w:val="single" w:sz="4" w:space="0" w:color="auto"/>
              <w:right w:val="single" w:sz="4" w:space="0" w:color="auto"/>
            </w:tcBorders>
            <w:noWrap/>
            <w:hideMark/>
          </w:tcPr>
          <w:p w14:paraId="7D24246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2,7%</w:t>
            </w:r>
          </w:p>
        </w:tc>
        <w:tc>
          <w:tcPr>
            <w:tcW w:w="333" w:type="pct"/>
            <w:tcBorders>
              <w:top w:val="nil"/>
              <w:left w:val="nil"/>
              <w:bottom w:val="single" w:sz="4" w:space="0" w:color="auto"/>
              <w:right w:val="single" w:sz="4" w:space="0" w:color="auto"/>
            </w:tcBorders>
            <w:noWrap/>
            <w:hideMark/>
          </w:tcPr>
          <w:p w14:paraId="6E94B78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244" w:type="pct"/>
            <w:tcBorders>
              <w:top w:val="nil"/>
              <w:left w:val="nil"/>
              <w:bottom w:val="single" w:sz="4" w:space="0" w:color="auto"/>
              <w:right w:val="single" w:sz="4" w:space="0" w:color="auto"/>
            </w:tcBorders>
            <w:hideMark/>
          </w:tcPr>
          <w:p w14:paraId="5A511CC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77</w:t>
            </w:r>
          </w:p>
        </w:tc>
        <w:tc>
          <w:tcPr>
            <w:tcW w:w="340" w:type="pct"/>
            <w:tcBorders>
              <w:top w:val="nil"/>
              <w:left w:val="nil"/>
              <w:bottom w:val="single" w:sz="4" w:space="0" w:color="auto"/>
              <w:right w:val="single" w:sz="4" w:space="0" w:color="auto"/>
            </w:tcBorders>
            <w:hideMark/>
          </w:tcPr>
          <w:p w14:paraId="74CA697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81</w:t>
            </w:r>
          </w:p>
        </w:tc>
        <w:tc>
          <w:tcPr>
            <w:tcW w:w="439" w:type="pct"/>
            <w:tcBorders>
              <w:top w:val="nil"/>
              <w:left w:val="nil"/>
              <w:bottom w:val="single" w:sz="4" w:space="0" w:color="auto"/>
              <w:right w:val="single" w:sz="4" w:space="0" w:color="auto"/>
            </w:tcBorders>
            <w:hideMark/>
          </w:tcPr>
          <w:p w14:paraId="143DE72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4,9%</w:t>
            </w:r>
          </w:p>
        </w:tc>
        <w:tc>
          <w:tcPr>
            <w:tcW w:w="292" w:type="pct"/>
            <w:tcBorders>
              <w:top w:val="nil"/>
              <w:left w:val="nil"/>
              <w:bottom w:val="single" w:sz="4" w:space="0" w:color="auto"/>
              <w:right w:val="single" w:sz="4" w:space="0" w:color="auto"/>
            </w:tcBorders>
            <w:hideMark/>
          </w:tcPr>
          <w:p w14:paraId="25D8CD9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95,1%</w:t>
            </w:r>
          </w:p>
        </w:tc>
        <w:tc>
          <w:tcPr>
            <w:tcW w:w="377" w:type="pct"/>
            <w:tcBorders>
              <w:top w:val="nil"/>
              <w:left w:val="nil"/>
              <w:bottom w:val="single" w:sz="4" w:space="0" w:color="auto"/>
              <w:right w:val="single" w:sz="4" w:space="0" w:color="auto"/>
            </w:tcBorders>
            <w:noWrap/>
            <w:hideMark/>
          </w:tcPr>
          <w:p w14:paraId="09548D6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2,7%</w:t>
            </w:r>
          </w:p>
        </w:tc>
      </w:tr>
      <w:tr w:rsidR="00BD1EFA" w:rsidRPr="001127D6" w14:paraId="4F8F7505"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6D99AB6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w:t>
            </w:r>
          </w:p>
        </w:tc>
        <w:tc>
          <w:tcPr>
            <w:tcW w:w="486" w:type="pct"/>
            <w:tcBorders>
              <w:top w:val="nil"/>
              <w:left w:val="nil"/>
              <w:bottom w:val="single" w:sz="4" w:space="0" w:color="auto"/>
              <w:right w:val="single" w:sz="4" w:space="0" w:color="auto"/>
            </w:tcBorders>
            <w:noWrap/>
            <w:hideMark/>
          </w:tcPr>
          <w:p w14:paraId="3B509DF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Барабинский район</w:t>
            </w:r>
          </w:p>
        </w:tc>
        <w:tc>
          <w:tcPr>
            <w:tcW w:w="243" w:type="pct"/>
            <w:tcBorders>
              <w:top w:val="nil"/>
              <w:left w:val="nil"/>
              <w:bottom w:val="single" w:sz="4" w:space="0" w:color="auto"/>
              <w:right w:val="single" w:sz="4" w:space="0" w:color="auto"/>
            </w:tcBorders>
            <w:noWrap/>
            <w:hideMark/>
          </w:tcPr>
          <w:p w14:paraId="1EC85AE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82</w:t>
            </w:r>
          </w:p>
        </w:tc>
        <w:tc>
          <w:tcPr>
            <w:tcW w:w="195" w:type="pct"/>
            <w:tcBorders>
              <w:top w:val="nil"/>
              <w:left w:val="nil"/>
              <w:bottom w:val="single" w:sz="4" w:space="0" w:color="auto"/>
              <w:right w:val="single" w:sz="4" w:space="0" w:color="auto"/>
            </w:tcBorders>
            <w:noWrap/>
            <w:hideMark/>
          </w:tcPr>
          <w:p w14:paraId="075431C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85</w:t>
            </w:r>
          </w:p>
        </w:tc>
        <w:tc>
          <w:tcPr>
            <w:tcW w:w="194" w:type="pct"/>
            <w:tcBorders>
              <w:top w:val="nil"/>
              <w:left w:val="nil"/>
              <w:bottom w:val="single" w:sz="4" w:space="0" w:color="auto"/>
              <w:right w:val="single" w:sz="4" w:space="0" w:color="auto"/>
            </w:tcBorders>
            <w:noWrap/>
            <w:hideMark/>
          </w:tcPr>
          <w:p w14:paraId="44065B5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243" w:type="pct"/>
            <w:tcBorders>
              <w:top w:val="nil"/>
              <w:left w:val="nil"/>
              <w:bottom w:val="single" w:sz="4" w:space="0" w:color="auto"/>
              <w:right w:val="single" w:sz="4" w:space="0" w:color="auto"/>
            </w:tcBorders>
            <w:hideMark/>
          </w:tcPr>
          <w:p w14:paraId="42E9D27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73</w:t>
            </w:r>
          </w:p>
        </w:tc>
        <w:tc>
          <w:tcPr>
            <w:tcW w:w="243" w:type="pct"/>
            <w:tcBorders>
              <w:top w:val="nil"/>
              <w:left w:val="nil"/>
              <w:bottom w:val="single" w:sz="4" w:space="0" w:color="auto"/>
              <w:right w:val="single" w:sz="4" w:space="0" w:color="auto"/>
            </w:tcBorders>
            <w:hideMark/>
          </w:tcPr>
          <w:p w14:paraId="1F3D221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77</w:t>
            </w:r>
          </w:p>
        </w:tc>
        <w:tc>
          <w:tcPr>
            <w:tcW w:w="341" w:type="pct"/>
            <w:tcBorders>
              <w:top w:val="nil"/>
              <w:left w:val="nil"/>
              <w:bottom w:val="single" w:sz="4" w:space="0" w:color="auto"/>
              <w:right w:val="single" w:sz="4" w:space="0" w:color="auto"/>
            </w:tcBorders>
            <w:hideMark/>
          </w:tcPr>
          <w:p w14:paraId="0751789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5,2%</w:t>
            </w:r>
          </w:p>
        </w:tc>
        <w:tc>
          <w:tcPr>
            <w:tcW w:w="438" w:type="pct"/>
            <w:tcBorders>
              <w:top w:val="nil"/>
              <w:left w:val="nil"/>
              <w:bottom w:val="single" w:sz="4" w:space="0" w:color="auto"/>
              <w:right w:val="single" w:sz="4" w:space="0" w:color="auto"/>
            </w:tcBorders>
            <w:hideMark/>
          </w:tcPr>
          <w:p w14:paraId="5B8B0C9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94,8%</w:t>
            </w:r>
          </w:p>
        </w:tc>
        <w:tc>
          <w:tcPr>
            <w:tcW w:w="446" w:type="pct"/>
            <w:tcBorders>
              <w:top w:val="nil"/>
              <w:left w:val="nil"/>
              <w:bottom w:val="single" w:sz="4" w:space="0" w:color="auto"/>
              <w:right w:val="single" w:sz="4" w:space="0" w:color="auto"/>
            </w:tcBorders>
            <w:noWrap/>
            <w:hideMark/>
          </w:tcPr>
          <w:p w14:paraId="006F0CB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2,6%</w:t>
            </w:r>
          </w:p>
        </w:tc>
        <w:tc>
          <w:tcPr>
            <w:tcW w:w="333" w:type="pct"/>
            <w:tcBorders>
              <w:top w:val="nil"/>
              <w:left w:val="nil"/>
              <w:bottom w:val="single" w:sz="4" w:space="0" w:color="auto"/>
              <w:right w:val="single" w:sz="4" w:space="0" w:color="auto"/>
            </w:tcBorders>
            <w:noWrap/>
            <w:hideMark/>
          </w:tcPr>
          <w:p w14:paraId="3F47BF1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w:t>
            </w:r>
          </w:p>
        </w:tc>
        <w:tc>
          <w:tcPr>
            <w:tcW w:w="244" w:type="pct"/>
            <w:tcBorders>
              <w:top w:val="nil"/>
              <w:left w:val="nil"/>
              <w:bottom w:val="single" w:sz="4" w:space="0" w:color="auto"/>
              <w:right w:val="single" w:sz="4" w:space="0" w:color="auto"/>
            </w:tcBorders>
            <w:hideMark/>
          </w:tcPr>
          <w:p w14:paraId="3E7AC3C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75</w:t>
            </w:r>
          </w:p>
        </w:tc>
        <w:tc>
          <w:tcPr>
            <w:tcW w:w="340" w:type="pct"/>
            <w:tcBorders>
              <w:top w:val="nil"/>
              <w:left w:val="nil"/>
              <w:bottom w:val="single" w:sz="4" w:space="0" w:color="auto"/>
              <w:right w:val="single" w:sz="4" w:space="0" w:color="auto"/>
            </w:tcBorders>
            <w:hideMark/>
          </w:tcPr>
          <w:p w14:paraId="06B66AB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81</w:t>
            </w:r>
          </w:p>
        </w:tc>
        <w:tc>
          <w:tcPr>
            <w:tcW w:w="439" w:type="pct"/>
            <w:tcBorders>
              <w:top w:val="nil"/>
              <w:left w:val="nil"/>
              <w:bottom w:val="single" w:sz="4" w:space="0" w:color="auto"/>
              <w:right w:val="single" w:sz="4" w:space="0" w:color="auto"/>
            </w:tcBorders>
            <w:hideMark/>
          </w:tcPr>
          <w:p w14:paraId="1F29914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7,4%</w:t>
            </w:r>
          </w:p>
        </w:tc>
        <w:tc>
          <w:tcPr>
            <w:tcW w:w="292" w:type="pct"/>
            <w:tcBorders>
              <w:top w:val="nil"/>
              <w:left w:val="nil"/>
              <w:bottom w:val="single" w:sz="4" w:space="0" w:color="auto"/>
              <w:right w:val="single" w:sz="4" w:space="0" w:color="auto"/>
            </w:tcBorders>
            <w:hideMark/>
          </w:tcPr>
          <w:p w14:paraId="18B7289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92,6%</w:t>
            </w:r>
          </w:p>
        </w:tc>
        <w:tc>
          <w:tcPr>
            <w:tcW w:w="377" w:type="pct"/>
            <w:tcBorders>
              <w:top w:val="nil"/>
              <w:left w:val="nil"/>
              <w:bottom w:val="single" w:sz="4" w:space="0" w:color="auto"/>
              <w:right w:val="single" w:sz="4" w:space="0" w:color="auto"/>
            </w:tcBorders>
            <w:noWrap/>
            <w:hideMark/>
          </w:tcPr>
          <w:p w14:paraId="459DBE0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2,7%</w:t>
            </w:r>
          </w:p>
        </w:tc>
      </w:tr>
      <w:tr w:rsidR="00BD1EFA" w:rsidRPr="001127D6" w14:paraId="2027506D"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4D892B4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11</w:t>
            </w:r>
          </w:p>
        </w:tc>
        <w:tc>
          <w:tcPr>
            <w:tcW w:w="486" w:type="pct"/>
            <w:tcBorders>
              <w:top w:val="nil"/>
              <w:left w:val="nil"/>
              <w:bottom w:val="single" w:sz="4" w:space="0" w:color="auto"/>
              <w:right w:val="single" w:sz="4" w:space="0" w:color="auto"/>
            </w:tcBorders>
            <w:noWrap/>
            <w:hideMark/>
          </w:tcPr>
          <w:p w14:paraId="224E93F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Венгеровский район</w:t>
            </w:r>
          </w:p>
        </w:tc>
        <w:tc>
          <w:tcPr>
            <w:tcW w:w="243" w:type="pct"/>
            <w:tcBorders>
              <w:top w:val="nil"/>
              <w:left w:val="nil"/>
              <w:bottom w:val="single" w:sz="4" w:space="0" w:color="auto"/>
              <w:right w:val="single" w:sz="4" w:space="0" w:color="auto"/>
            </w:tcBorders>
            <w:noWrap/>
            <w:hideMark/>
          </w:tcPr>
          <w:p w14:paraId="3B90568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62</w:t>
            </w:r>
          </w:p>
        </w:tc>
        <w:tc>
          <w:tcPr>
            <w:tcW w:w="195" w:type="pct"/>
            <w:tcBorders>
              <w:top w:val="nil"/>
              <w:left w:val="nil"/>
              <w:bottom w:val="single" w:sz="4" w:space="0" w:color="auto"/>
              <w:right w:val="single" w:sz="4" w:space="0" w:color="auto"/>
            </w:tcBorders>
            <w:noWrap/>
            <w:hideMark/>
          </w:tcPr>
          <w:p w14:paraId="2B538DE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75</w:t>
            </w:r>
          </w:p>
        </w:tc>
        <w:tc>
          <w:tcPr>
            <w:tcW w:w="194" w:type="pct"/>
            <w:tcBorders>
              <w:top w:val="nil"/>
              <w:left w:val="nil"/>
              <w:bottom w:val="single" w:sz="4" w:space="0" w:color="auto"/>
              <w:right w:val="single" w:sz="4" w:space="0" w:color="auto"/>
            </w:tcBorders>
            <w:noWrap/>
            <w:hideMark/>
          </w:tcPr>
          <w:p w14:paraId="3F776DC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243" w:type="pct"/>
            <w:tcBorders>
              <w:top w:val="nil"/>
              <w:left w:val="nil"/>
              <w:bottom w:val="single" w:sz="4" w:space="0" w:color="auto"/>
              <w:right w:val="single" w:sz="4" w:space="0" w:color="auto"/>
            </w:tcBorders>
            <w:hideMark/>
          </w:tcPr>
          <w:p w14:paraId="63BB07C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73</w:t>
            </w:r>
          </w:p>
        </w:tc>
        <w:tc>
          <w:tcPr>
            <w:tcW w:w="243" w:type="pct"/>
            <w:tcBorders>
              <w:top w:val="nil"/>
              <w:left w:val="nil"/>
              <w:bottom w:val="single" w:sz="4" w:space="0" w:color="auto"/>
              <w:right w:val="single" w:sz="4" w:space="0" w:color="auto"/>
            </w:tcBorders>
            <w:hideMark/>
          </w:tcPr>
          <w:p w14:paraId="1925C4F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77</w:t>
            </w:r>
          </w:p>
        </w:tc>
        <w:tc>
          <w:tcPr>
            <w:tcW w:w="341" w:type="pct"/>
            <w:tcBorders>
              <w:top w:val="nil"/>
              <w:left w:val="nil"/>
              <w:bottom w:val="single" w:sz="4" w:space="0" w:color="auto"/>
              <w:right w:val="single" w:sz="4" w:space="0" w:color="auto"/>
            </w:tcBorders>
            <w:hideMark/>
          </w:tcPr>
          <w:p w14:paraId="59012A1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5,2%</w:t>
            </w:r>
          </w:p>
        </w:tc>
        <w:tc>
          <w:tcPr>
            <w:tcW w:w="438" w:type="pct"/>
            <w:tcBorders>
              <w:top w:val="nil"/>
              <w:left w:val="nil"/>
              <w:bottom w:val="single" w:sz="4" w:space="0" w:color="auto"/>
              <w:right w:val="single" w:sz="4" w:space="0" w:color="auto"/>
            </w:tcBorders>
            <w:hideMark/>
          </w:tcPr>
          <w:p w14:paraId="1CB98F3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94,8%</w:t>
            </w:r>
          </w:p>
        </w:tc>
        <w:tc>
          <w:tcPr>
            <w:tcW w:w="446" w:type="pct"/>
            <w:tcBorders>
              <w:top w:val="nil"/>
              <w:left w:val="nil"/>
              <w:bottom w:val="single" w:sz="4" w:space="0" w:color="auto"/>
              <w:right w:val="single" w:sz="4" w:space="0" w:color="auto"/>
            </w:tcBorders>
            <w:noWrap/>
            <w:hideMark/>
          </w:tcPr>
          <w:p w14:paraId="15B76A4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2,6%</w:t>
            </w:r>
          </w:p>
        </w:tc>
        <w:tc>
          <w:tcPr>
            <w:tcW w:w="333" w:type="pct"/>
            <w:tcBorders>
              <w:top w:val="nil"/>
              <w:left w:val="nil"/>
              <w:bottom w:val="single" w:sz="4" w:space="0" w:color="auto"/>
              <w:right w:val="single" w:sz="4" w:space="0" w:color="auto"/>
            </w:tcBorders>
            <w:noWrap/>
            <w:hideMark/>
          </w:tcPr>
          <w:p w14:paraId="3873E11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w:t>
            </w:r>
          </w:p>
        </w:tc>
        <w:tc>
          <w:tcPr>
            <w:tcW w:w="244" w:type="pct"/>
            <w:tcBorders>
              <w:top w:val="nil"/>
              <w:left w:val="nil"/>
              <w:bottom w:val="single" w:sz="4" w:space="0" w:color="auto"/>
              <w:right w:val="single" w:sz="4" w:space="0" w:color="auto"/>
            </w:tcBorders>
            <w:hideMark/>
          </w:tcPr>
          <w:p w14:paraId="508FAA1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74</w:t>
            </w:r>
          </w:p>
        </w:tc>
        <w:tc>
          <w:tcPr>
            <w:tcW w:w="340" w:type="pct"/>
            <w:tcBorders>
              <w:top w:val="nil"/>
              <w:left w:val="nil"/>
              <w:bottom w:val="single" w:sz="4" w:space="0" w:color="auto"/>
              <w:right w:val="single" w:sz="4" w:space="0" w:color="auto"/>
            </w:tcBorders>
            <w:hideMark/>
          </w:tcPr>
          <w:p w14:paraId="327C1F2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81</w:t>
            </w:r>
          </w:p>
        </w:tc>
        <w:tc>
          <w:tcPr>
            <w:tcW w:w="439" w:type="pct"/>
            <w:tcBorders>
              <w:top w:val="nil"/>
              <w:left w:val="nil"/>
              <w:bottom w:val="single" w:sz="4" w:space="0" w:color="auto"/>
              <w:right w:val="single" w:sz="4" w:space="0" w:color="auto"/>
            </w:tcBorders>
            <w:hideMark/>
          </w:tcPr>
          <w:p w14:paraId="5EC4C26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8,6%</w:t>
            </w:r>
          </w:p>
        </w:tc>
        <w:tc>
          <w:tcPr>
            <w:tcW w:w="292" w:type="pct"/>
            <w:tcBorders>
              <w:top w:val="nil"/>
              <w:left w:val="nil"/>
              <w:bottom w:val="single" w:sz="4" w:space="0" w:color="auto"/>
              <w:right w:val="single" w:sz="4" w:space="0" w:color="auto"/>
            </w:tcBorders>
            <w:hideMark/>
          </w:tcPr>
          <w:p w14:paraId="3D621CE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91,4%</w:t>
            </w:r>
          </w:p>
        </w:tc>
        <w:tc>
          <w:tcPr>
            <w:tcW w:w="377" w:type="pct"/>
            <w:tcBorders>
              <w:top w:val="nil"/>
              <w:left w:val="nil"/>
              <w:bottom w:val="single" w:sz="4" w:space="0" w:color="auto"/>
              <w:right w:val="single" w:sz="4" w:space="0" w:color="auto"/>
            </w:tcBorders>
            <w:noWrap/>
            <w:hideMark/>
          </w:tcPr>
          <w:p w14:paraId="77FC2BC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2,7%</w:t>
            </w:r>
          </w:p>
        </w:tc>
      </w:tr>
      <w:tr w:rsidR="00BD1EFA" w:rsidRPr="001127D6" w14:paraId="157B3278"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1F4519D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12</w:t>
            </w:r>
          </w:p>
        </w:tc>
        <w:tc>
          <w:tcPr>
            <w:tcW w:w="486" w:type="pct"/>
            <w:tcBorders>
              <w:top w:val="nil"/>
              <w:left w:val="nil"/>
              <w:bottom w:val="single" w:sz="4" w:space="0" w:color="auto"/>
              <w:right w:val="single" w:sz="4" w:space="0" w:color="auto"/>
            </w:tcBorders>
            <w:noWrap/>
            <w:hideMark/>
          </w:tcPr>
          <w:p w14:paraId="38FC7E4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Черепановский район</w:t>
            </w:r>
          </w:p>
        </w:tc>
        <w:tc>
          <w:tcPr>
            <w:tcW w:w="243" w:type="pct"/>
            <w:tcBorders>
              <w:top w:val="nil"/>
              <w:left w:val="nil"/>
              <w:bottom w:val="single" w:sz="4" w:space="0" w:color="auto"/>
              <w:right w:val="single" w:sz="4" w:space="0" w:color="auto"/>
            </w:tcBorders>
            <w:noWrap/>
            <w:hideMark/>
          </w:tcPr>
          <w:p w14:paraId="498566B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81</w:t>
            </w:r>
          </w:p>
        </w:tc>
        <w:tc>
          <w:tcPr>
            <w:tcW w:w="195" w:type="pct"/>
            <w:tcBorders>
              <w:top w:val="nil"/>
              <w:left w:val="nil"/>
              <w:bottom w:val="single" w:sz="4" w:space="0" w:color="auto"/>
              <w:right w:val="single" w:sz="4" w:space="0" w:color="auto"/>
            </w:tcBorders>
            <w:noWrap/>
            <w:hideMark/>
          </w:tcPr>
          <w:p w14:paraId="1DC1B30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80</w:t>
            </w:r>
          </w:p>
        </w:tc>
        <w:tc>
          <w:tcPr>
            <w:tcW w:w="194" w:type="pct"/>
            <w:tcBorders>
              <w:top w:val="nil"/>
              <w:left w:val="nil"/>
              <w:bottom w:val="single" w:sz="4" w:space="0" w:color="auto"/>
              <w:right w:val="single" w:sz="4" w:space="0" w:color="auto"/>
            </w:tcBorders>
            <w:noWrap/>
            <w:hideMark/>
          </w:tcPr>
          <w:p w14:paraId="2AFCD5E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243" w:type="pct"/>
            <w:tcBorders>
              <w:top w:val="nil"/>
              <w:left w:val="nil"/>
              <w:bottom w:val="single" w:sz="4" w:space="0" w:color="auto"/>
              <w:right w:val="single" w:sz="4" w:space="0" w:color="auto"/>
            </w:tcBorders>
            <w:hideMark/>
          </w:tcPr>
          <w:p w14:paraId="40A6BCA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81</w:t>
            </w:r>
          </w:p>
        </w:tc>
        <w:tc>
          <w:tcPr>
            <w:tcW w:w="243" w:type="pct"/>
            <w:tcBorders>
              <w:top w:val="nil"/>
              <w:left w:val="nil"/>
              <w:bottom w:val="single" w:sz="4" w:space="0" w:color="auto"/>
              <w:right w:val="single" w:sz="4" w:space="0" w:color="auto"/>
            </w:tcBorders>
            <w:hideMark/>
          </w:tcPr>
          <w:p w14:paraId="57A06CA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85</w:t>
            </w:r>
          </w:p>
        </w:tc>
        <w:tc>
          <w:tcPr>
            <w:tcW w:w="341" w:type="pct"/>
            <w:tcBorders>
              <w:top w:val="nil"/>
              <w:left w:val="nil"/>
              <w:bottom w:val="single" w:sz="4" w:space="0" w:color="auto"/>
              <w:right w:val="single" w:sz="4" w:space="0" w:color="auto"/>
            </w:tcBorders>
            <w:hideMark/>
          </w:tcPr>
          <w:p w14:paraId="4074DA3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4,7%</w:t>
            </w:r>
          </w:p>
        </w:tc>
        <w:tc>
          <w:tcPr>
            <w:tcW w:w="438" w:type="pct"/>
            <w:tcBorders>
              <w:top w:val="nil"/>
              <w:left w:val="nil"/>
              <w:bottom w:val="single" w:sz="4" w:space="0" w:color="auto"/>
              <w:right w:val="single" w:sz="4" w:space="0" w:color="auto"/>
            </w:tcBorders>
            <w:hideMark/>
          </w:tcPr>
          <w:p w14:paraId="5DE38B5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95,3%</w:t>
            </w:r>
          </w:p>
        </w:tc>
        <w:tc>
          <w:tcPr>
            <w:tcW w:w="446" w:type="pct"/>
            <w:tcBorders>
              <w:top w:val="nil"/>
              <w:left w:val="nil"/>
              <w:bottom w:val="single" w:sz="4" w:space="0" w:color="auto"/>
              <w:right w:val="single" w:sz="4" w:space="0" w:color="auto"/>
            </w:tcBorders>
            <w:noWrap/>
            <w:hideMark/>
          </w:tcPr>
          <w:p w14:paraId="7D65D7B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2,9%</w:t>
            </w:r>
          </w:p>
        </w:tc>
        <w:tc>
          <w:tcPr>
            <w:tcW w:w="333" w:type="pct"/>
            <w:tcBorders>
              <w:top w:val="nil"/>
              <w:left w:val="nil"/>
              <w:bottom w:val="single" w:sz="4" w:space="0" w:color="auto"/>
              <w:right w:val="single" w:sz="4" w:space="0" w:color="auto"/>
            </w:tcBorders>
            <w:noWrap/>
            <w:hideMark/>
          </w:tcPr>
          <w:p w14:paraId="471116B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w:t>
            </w:r>
          </w:p>
        </w:tc>
        <w:tc>
          <w:tcPr>
            <w:tcW w:w="244" w:type="pct"/>
            <w:tcBorders>
              <w:top w:val="nil"/>
              <w:left w:val="nil"/>
              <w:bottom w:val="single" w:sz="4" w:space="0" w:color="auto"/>
              <w:right w:val="single" w:sz="4" w:space="0" w:color="auto"/>
            </w:tcBorders>
            <w:hideMark/>
          </w:tcPr>
          <w:p w14:paraId="75A0595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75</w:t>
            </w:r>
          </w:p>
        </w:tc>
        <w:tc>
          <w:tcPr>
            <w:tcW w:w="340" w:type="pct"/>
            <w:tcBorders>
              <w:top w:val="nil"/>
              <w:left w:val="nil"/>
              <w:bottom w:val="single" w:sz="4" w:space="0" w:color="auto"/>
              <w:right w:val="single" w:sz="4" w:space="0" w:color="auto"/>
            </w:tcBorders>
            <w:hideMark/>
          </w:tcPr>
          <w:p w14:paraId="2390650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78</w:t>
            </w:r>
          </w:p>
        </w:tc>
        <w:tc>
          <w:tcPr>
            <w:tcW w:w="439" w:type="pct"/>
            <w:tcBorders>
              <w:top w:val="nil"/>
              <w:left w:val="nil"/>
              <w:bottom w:val="single" w:sz="4" w:space="0" w:color="auto"/>
              <w:right w:val="single" w:sz="4" w:space="0" w:color="auto"/>
            </w:tcBorders>
            <w:hideMark/>
          </w:tcPr>
          <w:p w14:paraId="7580924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3,8%</w:t>
            </w:r>
          </w:p>
        </w:tc>
        <w:tc>
          <w:tcPr>
            <w:tcW w:w="292" w:type="pct"/>
            <w:tcBorders>
              <w:top w:val="nil"/>
              <w:left w:val="nil"/>
              <w:bottom w:val="single" w:sz="4" w:space="0" w:color="auto"/>
              <w:right w:val="single" w:sz="4" w:space="0" w:color="auto"/>
            </w:tcBorders>
            <w:hideMark/>
          </w:tcPr>
          <w:p w14:paraId="6078E51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96,2%</w:t>
            </w:r>
          </w:p>
        </w:tc>
        <w:tc>
          <w:tcPr>
            <w:tcW w:w="377" w:type="pct"/>
            <w:tcBorders>
              <w:top w:val="nil"/>
              <w:left w:val="nil"/>
              <w:bottom w:val="single" w:sz="4" w:space="0" w:color="auto"/>
              <w:right w:val="single" w:sz="4" w:space="0" w:color="auto"/>
            </w:tcBorders>
            <w:noWrap/>
            <w:hideMark/>
          </w:tcPr>
          <w:p w14:paraId="18F8A26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2,6%</w:t>
            </w:r>
          </w:p>
        </w:tc>
      </w:tr>
      <w:tr w:rsidR="00BD1EFA" w:rsidRPr="001127D6" w14:paraId="15276983"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324BF26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13</w:t>
            </w:r>
          </w:p>
        </w:tc>
        <w:tc>
          <w:tcPr>
            <w:tcW w:w="486" w:type="pct"/>
            <w:tcBorders>
              <w:top w:val="nil"/>
              <w:left w:val="nil"/>
              <w:bottom w:val="single" w:sz="4" w:space="0" w:color="auto"/>
              <w:right w:val="single" w:sz="4" w:space="0" w:color="auto"/>
            </w:tcBorders>
            <w:noWrap/>
            <w:hideMark/>
          </w:tcPr>
          <w:p w14:paraId="269EED8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Карасукский район</w:t>
            </w:r>
          </w:p>
        </w:tc>
        <w:tc>
          <w:tcPr>
            <w:tcW w:w="243" w:type="pct"/>
            <w:tcBorders>
              <w:top w:val="nil"/>
              <w:left w:val="nil"/>
              <w:bottom w:val="single" w:sz="4" w:space="0" w:color="auto"/>
              <w:right w:val="single" w:sz="4" w:space="0" w:color="auto"/>
            </w:tcBorders>
            <w:noWrap/>
            <w:hideMark/>
          </w:tcPr>
          <w:p w14:paraId="3A0A150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76</w:t>
            </w:r>
          </w:p>
        </w:tc>
        <w:tc>
          <w:tcPr>
            <w:tcW w:w="195" w:type="pct"/>
            <w:tcBorders>
              <w:top w:val="nil"/>
              <w:left w:val="nil"/>
              <w:bottom w:val="single" w:sz="4" w:space="0" w:color="auto"/>
              <w:right w:val="single" w:sz="4" w:space="0" w:color="auto"/>
            </w:tcBorders>
            <w:noWrap/>
            <w:hideMark/>
          </w:tcPr>
          <w:p w14:paraId="2FD66D7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70</w:t>
            </w:r>
          </w:p>
        </w:tc>
        <w:tc>
          <w:tcPr>
            <w:tcW w:w="194" w:type="pct"/>
            <w:tcBorders>
              <w:top w:val="nil"/>
              <w:left w:val="nil"/>
              <w:bottom w:val="single" w:sz="4" w:space="0" w:color="auto"/>
              <w:right w:val="single" w:sz="4" w:space="0" w:color="auto"/>
            </w:tcBorders>
            <w:noWrap/>
            <w:hideMark/>
          </w:tcPr>
          <w:p w14:paraId="50331F1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243" w:type="pct"/>
            <w:tcBorders>
              <w:top w:val="nil"/>
              <w:left w:val="nil"/>
              <w:bottom w:val="single" w:sz="4" w:space="0" w:color="auto"/>
              <w:right w:val="single" w:sz="4" w:space="0" w:color="auto"/>
            </w:tcBorders>
            <w:hideMark/>
          </w:tcPr>
          <w:p w14:paraId="543D790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63</w:t>
            </w:r>
          </w:p>
        </w:tc>
        <w:tc>
          <w:tcPr>
            <w:tcW w:w="243" w:type="pct"/>
            <w:tcBorders>
              <w:top w:val="nil"/>
              <w:left w:val="nil"/>
              <w:bottom w:val="single" w:sz="4" w:space="0" w:color="auto"/>
              <w:right w:val="single" w:sz="4" w:space="0" w:color="auto"/>
            </w:tcBorders>
            <w:hideMark/>
          </w:tcPr>
          <w:p w14:paraId="55598F3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67</w:t>
            </w:r>
          </w:p>
        </w:tc>
        <w:tc>
          <w:tcPr>
            <w:tcW w:w="341" w:type="pct"/>
            <w:tcBorders>
              <w:top w:val="nil"/>
              <w:left w:val="nil"/>
              <w:bottom w:val="single" w:sz="4" w:space="0" w:color="auto"/>
              <w:right w:val="single" w:sz="4" w:space="0" w:color="auto"/>
            </w:tcBorders>
            <w:hideMark/>
          </w:tcPr>
          <w:p w14:paraId="67D7D9E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6,0%</w:t>
            </w:r>
          </w:p>
        </w:tc>
        <w:tc>
          <w:tcPr>
            <w:tcW w:w="438" w:type="pct"/>
            <w:tcBorders>
              <w:top w:val="nil"/>
              <w:left w:val="nil"/>
              <w:bottom w:val="single" w:sz="4" w:space="0" w:color="auto"/>
              <w:right w:val="single" w:sz="4" w:space="0" w:color="auto"/>
            </w:tcBorders>
            <w:hideMark/>
          </w:tcPr>
          <w:p w14:paraId="5ECEE06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94,0%</w:t>
            </w:r>
          </w:p>
        </w:tc>
        <w:tc>
          <w:tcPr>
            <w:tcW w:w="446" w:type="pct"/>
            <w:tcBorders>
              <w:top w:val="nil"/>
              <w:left w:val="nil"/>
              <w:bottom w:val="single" w:sz="4" w:space="0" w:color="auto"/>
              <w:right w:val="single" w:sz="4" w:space="0" w:color="auto"/>
            </w:tcBorders>
            <w:noWrap/>
            <w:hideMark/>
          </w:tcPr>
          <w:p w14:paraId="4183FB2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2,2%</w:t>
            </w:r>
          </w:p>
        </w:tc>
        <w:tc>
          <w:tcPr>
            <w:tcW w:w="333" w:type="pct"/>
            <w:tcBorders>
              <w:top w:val="nil"/>
              <w:left w:val="nil"/>
              <w:bottom w:val="single" w:sz="4" w:space="0" w:color="auto"/>
              <w:right w:val="single" w:sz="4" w:space="0" w:color="auto"/>
            </w:tcBorders>
            <w:noWrap/>
            <w:hideMark/>
          </w:tcPr>
          <w:p w14:paraId="7F46ED4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244" w:type="pct"/>
            <w:tcBorders>
              <w:top w:val="nil"/>
              <w:left w:val="nil"/>
              <w:bottom w:val="single" w:sz="4" w:space="0" w:color="auto"/>
              <w:right w:val="single" w:sz="4" w:space="0" w:color="auto"/>
            </w:tcBorders>
            <w:hideMark/>
          </w:tcPr>
          <w:p w14:paraId="5F0A463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73</w:t>
            </w:r>
          </w:p>
        </w:tc>
        <w:tc>
          <w:tcPr>
            <w:tcW w:w="340" w:type="pct"/>
            <w:tcBorders>
              <w:top w:val="nil"/>
              <w:left w:val="nil"/>
              <w:bottom w:val="single" w:sz="4" w:space="0" w:color="auto"/>
              <w:right w:val="single" w:sz="4" w:space="0" w:color="auto"/>
            </w:tcBorders>
            <w:hideMark/>
          </w:tcPr>
          <w:p w14:paraId="283387A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77</w:t>
            </w:r>
          </w:p>
        </w:tc>
        <w:tc>
          <w:tcPr>
            <w:tcW w:w="439" w:type="pct"/>
            <w:tcBorders>
              <w:top w:val="nil"/>
              <w:left w:val="nil"/>
              <w:bottom w:val="single" w:sz="4" w:space="0" w:color="auto"/>
              <w:right w:val="single" w:sz="4" w:space="0" w:color="auto"/>
            </w:tcBorders>
            <w:hideMark/>
          </w:tcPr>
          <w:p w14:paraId="5BE851A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5,2%</w:t>
            </w:r>
          </w:p>
        </w:tc>
        <w:tc>
          <w:tcPr>
            <w:tcW w:w="292" w:type="pct"/>
            <w:tcBorders>
              <w:top w:val="nil"/>
              <w:left w:val="nil"/>
              <w:bottom w:val="single" w:sz="4" w:space="0" w:color="auto"/>
              <w:right w:val="single" w:sz="4" w:space="0" w:color="auto"/>
            </w:tcBorders>
            <w:hideMark/>
          </w:tcPr>
          <w:p w14:paraId="7A909BA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94,8%</w:t>
            </w:r>
          </w:p>
        </w:tc>
        <w:tc>
          <w:tcPr>
            <w:tcW w:w="377" w:type="pct"/>
            <w:tcBorders>
              <w:top w:val="nil"/>
              <w:left w:val="nil"/>
              <w:bottom w:val="single" w:sz="4" w:space="0" w:color="auto"/>
              <w:right w:val="single" w:sz="4" w:space="0" w:color="auto"/>
            </w:tcBorders>
            <w:noWrap/>
            <w:hideMark/>
          </w:tcPr>
          <w:p w14:paraId="18AF38E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2,6%</w:t>
            </w:r>
          </w:p>
        </w:tc>
      </w:tr>
      <w:tr w:rsidR="00BD1EFA" w:rsidRPr="001127D6" w14:paraId="61DE9128"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24078DC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14</w:t>
            </w:r>
          </w:p>
        </w:tc>
        <w:tc>
          <w:tcPr>
            <w:tcW w:w="486" w:type="pct"/>
            <w:tcBorders>
              <w:top w:val="nil"/>
              <w:left w:val="nil"/>
              <w:bottom w:val="single" w:sz="4" w:space="0" w:color="auto"/>
              <w:right w:val="single" w:sz="4" w:space="0" w:color="auto"/>
            </w:tcBorders>
            <w:noWrap/>
            <w:hideMark/>
          </w:tcPr>
          <w:p w14:paraId="50D6ADD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г. Бердск</w:t>
            </w:r>
          </w:p>
        </w:tc>
        <w:tc>
          <w:tcPr>
            <w:tcW w:w="243" w:type="pct"/>
            <w:tcBorders>
              <w:top w:val="nil"/>
              <w:left w:val="nil"/>
              <w:bottom w:val="single" w:sz="4" w:space="0" w:color="auto"/>
              <w:right w:val="single" w:sz="4" w:space="0" w:color="auto"/>
            </w:tcBorders>
            <w:noWrap/>
            <w:hideMark/>
          </w:tcPr>
          <w:p w14:paraId="56D7BA7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55</w:t>
            </w:r>
          </w:p>
        </w:tc>
        <w:tc>
          <w:tcPr>
            <w:tcW w:w="195" w:type="pct"/>
            <w:tcBorders>
              <w:top w:val="nil"/>
              <w:left w:val="nil"/>
              <w:bottom w:val="single" w:sz="4" w:space="0" w:color="auto"/>
              <w:right w:val="single" w:sz="4" w:space="0" w:color="auto"/>
            </w:tcBorders>
            <w:noWrap/>
            <w:hideMark/>
          </w:tcPr>
          <w:p w14:paraId="2D194B4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55</w:t>
            </w:r>
          </w:p>
        </w:tc>
        <w:tc>
          <w:tcPr>
            <w:tcW w:w="194" w:type="pct"/>
            <w:tcBorders>
              <w:top w:val="nil"/>
              <w:left w:val="nil"/>
              <w:bottom w:val="single" w:sz="4" w:space="0" w:color="auto"/>
              <w:right w:val="single" w:sz="4" w:space="0" w:color="auto"/>
            </w:tcBorders>
            <w:noWrap/>
            <w:hideMark/>
          </w:tcPr>
          <w:p w14:paraId="3E690F9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w:t>
            </w:r>
          </w:p>
        </w:tc>
        <w:tc>
          <w:tcPr>
            <w:tcW w:w="243" w:type="pct"/>
            <w:tcBorders>
              <w:top w:val="nil"/>
              <w:left w:val="nil"/>
              <w:bottom w:val="single" w:sz="4" w:space="0" w:color="auto"/>
              <w:right w:val="single" w:sz="4" w:space="0" w:color="auto"/>
            </w:tcBorders>
            <w:hideMark/>
          </w:tcPr>
          <w:p w14:paraId="5F892F2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45</w:t>
            </w:r>
          </w:p>
        </w:tc>
        <w:tc>
          <w:tcPr>
            <w:tcW w:w="243" w:type="pct"/>
            <w:tcBorders>
              <w:top w:val="nil"/>
              <w:left w:val="nil"/>
              <w:bottom w:val="single" w:sz="4" w:space="0" w:color="auto"/>
              <w:right w:val="single" w:sz="4" w:space="0" w:color="auto"/>
            </w:tcBorders>
            <w:hideMark/>
          </w:tcPr>
          <w:p w14:paraId="2CE22C8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54</w:t>
            </w:r>
          </w:p>
        </w:tc>
        <w:tc>
          <w:tcPr>
            <w:tcW w:w="341" w:type="pct"/>
            <w:tcBorders>
              <w:top w:val="nil"/>
              <w:left w:val="nil"/>
              <w:bottom w:val="single" w:sz="4" w:space="0" w:color="auto"/>
              <w:right w:val="single" w:sz="4" w:space="0" w:color="auto"/>
            </w:tcBorders>
            <w:hideMark/>
          </w:tcPr>
          <w:p w14:paraId="7BD3169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16,7%</w:t>
            </w:r>
          </w:p>
        </w:tc>
        <w:tc>
          <w:tcPr>
            <w:tcW w:w="438" w:type="pct"/>
            <w:tcBorders>
              <w:top w:val="nil"/>
              <w:left w:val="nil"/>
              <w:bottom w:val="single" w:sz="4" w:space="0" w:color="auto"/>
              <w:right w:val="single" w:sz="4" w:space="0" w:color="auto"/>
            </w:tcBorders>
            <w:hideMark/>
          </w:tcPr>
          <w:p w14:paraId="6C15F5F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83,3%</w:t>
            </w:r>
          </w:p>
        </w:tc>
        <w:tc>
          <w:tcPr>
            <w:tcW w:w="446" w:type="pct"/>
            <w:tcBorders>
              <w:top w:val="nil"/>
              <w:left w:val="nil"/>
              <w:bottom w:val="single" w:sz="4" w:space="0" w:color="auto"/>
              <w:right w:val="single" w:sz="4" w:space="0" w:color="auto"/>
            </w:tcBorders>
            <w:noWrap/>
            <w:hideMark/>
          </w:tcPr>
          <w:p w14:paraId="2189182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1,8%</w:t>
            </w:r>
          </w:p>
        </w:tc>
        <w:tc>
          <w:tcPr>
            <w:tcW w:w="333" w:type="pct"/>
            <w:tcBorders>
              <w:top w:val="nil"/>
              <w:left w:val="nil"/>
              <w:bottom w:val="single" w:sz="4" w:space="0" w:color="auto"/>
              <w:right w:val="single" w:sz="4" w:space="0" w:color="auto"/>
            </w:tcBorders>
            <w:noWrap/>
            <w:hideMark/>
          </w:tcPr>
          <w:p w14:paraId="2370AF3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w:t>
            </w:r>
          </w:p>
        </w:tc>
        <w:tc>
          <w:tcPr>
            <w:tcW w:w="244" w:type="pct"/>
            <w:tcBorders>
              <w:top w:val="nil"/>
              <w:left w:val="nil"/>
              <w:bottom w:val="single" w:sz="4" w:space="0" w:color="auto"/>
              <w:right w:val="single" w:sz="4" w:space="0" w:color="auto"/>
            </w:tcBorders>
            <w:hideMark/>
          </w:tcPr>
          <w:p w14:paraId="34FFA8E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69</w:t>
            </w:r>
          </w:p>
        </w:tc>
        <w:tc>
          <w:tcPr>
            <w:tcW w:w="340" w:type="pct"/>
            <w:tcBorders>
              <w:top w:val="nil"/>
              <w:left w:val="nil"/>
              <w:bottom w:val="single" w:sz="4" w:space="0" w:color="auto"/>
              <w:right w:val="single" w:sz="4" w:space="0" w:color="auto"/>
            </w:tcBorders>
            <w:hideMark/>
          </w:tcPr>
          <w:p w14:paraId="4EFF756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77</w:t>
            </w:r>
          </w:p>
        </w:tc>
        <w:tc>
          <w:tcPr>
            <w:tcW w:w="439" w:type="pct"/>
            <w:tcBorders>
              <w:top w:val="nil"/>
              <w:left w:val="nil"/>
              <w:bottom w:val="single" w:sz="4" w:space="0" w:color="auto"/>
              <w:right w:val="single" w:sz="4" w:space="0" w:color="auto"/>
            </w:tcBorders>
            <w:hideMark/>
          </w:tcPr>
          <w:p w14:paraId="394858F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10,4%</w:t>
            </w:r>
          </w:p>
        </w:tc>
        <w:tc>
          <w:tcPr>
            <w:tcW w:w="292" w:type="pct"/>
            <w:tcBorders>
              <w:top w:val="nil"/>
              <w:left w:val="nil"/>
              <w:bottom w:val="single" w:sz="4" w:space="0" w:color="auto"/>
              <w:right w:val="single" w:sz="4" w:space="0" w:color="auto"/>
            </w:tcBorders>
            <w:hideMark/>
          </w:tcPr>
          <w:p w14:paraId="278B014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89,6%</w:t>
            </w:r>
          </w:p>
        </w:tc>
        <w:tc>
          <w:tcPr>
            <w:tcW w:w="377" w:type="pct"/>
            <w:tcBorders>
              <w:top w:val="nil"/>
              <w:left w:val="nil"/>
              <w:bottom w:val="single" w:sz="4" w:space="0" w:color="auto"/>
              <w:right w:val="single" w:sz="4" w:space="0" w:color="auto"/>
            </w:tcBorders>
            <w:noWrap/>
            <w:hideMark/>
          </w:tcPr>
          <w:p w14:paraId="1ABD0E6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2,6%</w:t>
            </w:r>
          </w:p>
        </w:tc>
      </w:tr>
      <w:tr w:rsidR="00BD1EFA" w:rsidRPr="001127D6" w14:paraId="4BC1D032"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3273A28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lastRenderedPageBreak/>
              <w:t>15</w:t>
            </w:r>
          </w:p>
        </w:tc>
        <w:tc>
          <w:tcPr>
            <w:tcW w:w="486" w:type="pct"/>
            <w:tcBorders>
              <w:top w:val="nil"/>
              <w:left w:val="nil"/>
              <w:bottom w:val="single" w:sz="4" w:space="0" w:color="auto"/>
              <w:right w:val="single" w:sz="4" w:space="0" w:color="auto"/>
            </w:tcBorders>
            <w:noWrap/>
            <w:hideMark/>
          </w:tcPr>
          <w:p w14:paraId="192E8CE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Болотнинский район</w:t>
            </w:r>
          </w:p>
        </w:tc>
        <w:tc>
          <w:tcPr>
            <w:tcW w:w="243" w:type="pct"/>
            <w:tcBorders>
              <w:top w:val="nil"/>
              <w:left w:val="nil"/>
              <w:bottom w:val="single" w:sz="4" w:space="0" w:color="auto"/>
              <w:right w:val="single" w:sz="4" w:space="0" w:color="auto"/>
            </w:tcBorders>
            <w:noWrap/>
            <w:hideMark/>
          </w:tcPr>
          <w:p w14:paraId="29DF4EE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74</w:t>
            </w:r>
          </w:p>
        </w:tc>
        <w:tc>
          <w:tcPr>
            <w:tcW w:w="195" w:type="pct"/>
            <w:tcBorders>
              <w:top w:val="nil"/>
              <w:left w:val="nil"/>
              <w:bottom w:val="single" w:sz="4" w:space="0" w:color="auto"/>
              <w:right w:val="single" w:sz="4" w:space="0" w:color="auto"/>
            </w:tcBorders>
            <w:noWrap/>
            <w:hideMark/>
          </w:tcPr>
          <w:p w14:paraId="76E3ED5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71</w:t>
            </w:r>
          </w:p>
        </w:tc>
        <w:tc>
          <w:tcPr>
            <w:tcW w:w="194" w:type="pct"/>
            <w:tcBorders>
              <w:top w:val="nil"/>
              <w:left w:val="nil"/>
              <w:bottom w:val="single" w:sz="4" w:space="0" w:color="auto"/>
              <w:right w:val="single" w:sz="4" w:space="0" w:color="auto"/>
            </w:tcBorders>
            <w:noWrap/>
            <w:hideMark/>
          </w:tcPr>
          <w:p w14:paraId="2114ACC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w:t>
            </w:r>
          </w:p>
        </w:tc>
        <w:tc>
          <w:tcPr>
            <w:tcW w:w="243" w:type="pct"/>
            <w:tcBorders>
              <w:top w:val="nil"/>
              <w:left w:val="nil"/>
              <w:bottom w:val="single" w:sz="4" w:space="0" w:color="auto"/>
              <w:right w:val="single" w:sz="4" w:space="0" w:color="auto"/>
            </w:tcBorders>
            <w:hideMark/>
          </w:tcPr>
          <w:p w14:paraId="3135DC8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71</w:t>
            </w:r>
          </w:p>
        </w:tc>
        <w:tc>
          <w:tcPr>
            <w:tcW w:w="243" w:type="pct"/>
            <w:tcBorders>
              <w:top w:val="nil"/>
              <w:left w:val="nil"/>
              <w:bottom w:val="single" w:sz="4" w:space="0" w:color="auto"/>
              <w:right w:val="single" w:sz="4" w:space="0" w:color="auto"/>
            </w:tcBorders>
            <w:hideMark/>
          </w:tcPr>
          <w:p w14:paraId="7A5B3A9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77</w:t>
            </w:r>
          </w:p>
        </w:tc>
        <w:tc>
          <w:tcPr>
            <w:tcW w:w="341" w:type="pct"/>
            <w:tcBorders>
              <w:top w:val="nil"/>
              <w:left w:val="nil"/>
              <w:bottom w:val="single" w:sz="4" w:space="0" w:color="auto"/>
              <w:right w:val="single" w:sz="4" w:space="0" w:color="auto"/>
            </w:tcBorders>
            <w:hideMark/>
          </w:tcPr>
          <w:p w14:paraId="18E4324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7,8%</w:t>
            </w:r>
          </w:p>
        </w:tc>
        <w:tc>
          <w:tcPr>
            <w:tcW w:w="438" w:type="pct"/>
            <w:tcBorders>
              <w:top w:val="nil"/>
              <w:left w:val="nil"/>
              <w:bottom w:val="single" w:sz="4" w:space="0" w:color="auto"/>
              <w:right w:val="single" w:sz="4" w:space="0" w:color="auto"/>
            </w:tcBorders>
            <w:hideMark/>
          </w:tcPr>
          <w:p w14:paraId="0569FC9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92,2%</w:t>
            </w:r>
          </w:p>
        </w:tc>
        <w:tc>
          <w:tcPr>
            <w:tcW w:w="446" w:type="pct"/>
            <w:tcBorders>
              <w:top w:val="nil"/>
              <w:left w:val="nil"/>
              <w:bottom w:val="single" w:sz="4" w:space="0" w:color="auto"/>
              <w:right w:val="single" w:sz="4" w:space="0" w:color="auto"/>
            </w:tcBorders>
            <w:noWrap/>
            <w:hideMark/>
          </w:tcPr>
          <w:p w14:paraId="4E0C70D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2,6%</w:t>
            </w:r>
          </w:p>
        </w:tc>
        <w:tc>
          <w:tcPr>
            <w:tcW w:w="333" w:type="pct"/>
            <w:tcBorders>
              <w:top w:val="nil"/>
              <w:left w:val="nil"/>
              <w:bottom w:val="single" w:sz="4" w:space="0" w:color="auto"/>
              <w:right w:val="single" w:sz="4" w:space="0" w:color="auto"/>
            </w:tcBorders>
            <w:noWrap/>
            <w:hideMark/>
          </w:tcPr>
          <w:p w14:paraId="4E52D51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244" w:type="pct"/>
            <w:tcBorders>
              <w:top w:val="nil"/>
              <w:left w:val="nil"/>
              <w:bottom w:val="single" w:sz="4" w:space="0" w:color="auto"/>
              <w:right w:val="single" w:sz="4" w:space="0" w:color="auto"/>
            </w:tcBorders>
            <w:hideMark/>
          </w:tcPr>
          <w:p w14:paraId="5AC557B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69</w:t>
            </w:r>
          </w:p>
        </w:tc>
        <w:tc>
          <w:tcPr>
            <w:tcW w:w="340" w:type="pct"/>
            <w:tcBorders>
              <w:top w:val="nil"/>
              <w:left w:val="nil"/>
              <w:bottom w:val="single" w:sz="4" w:space="0" w:color="auto"/>
              <w:right w:val="single" w:sz="4" w:space="0" w:color="auto"/>
            </w:tcBorders>
            <w:hideMark/>
          </w:tcPr>
          <w:p w14:paraId="5FC25C6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73</w:t>
            </w:r>
          </w:p>
        </w:tc>
        <w:tc>
          <w:tcPr>
            <w:tcW w:w="439" w:type="pct"/>
            <w:tcBorders>
              <w:top w:val="nil"/>
              <w:left w:val="nil"/>
              <w:bottom w:val="single" w:sz="4" w:space="0" w:color="auto"/>
              <w:right w:val="single" w:sz="4" w:space="0" w:color="auto"/>
            </w:tcBorders>
            <w:hideMark/>
          </w:tcPr>
          <w:p w14:paraId="3E5F7DE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5,5%</w:t>
            </w:r>
          </w:p>
        </w:tc>
        <w:tc>
          <w:tcPr>
            <w:tcW w:w="292" w:type="pct"/>
            <w:tcBorders>
              <w:top w:val="nil"/>
              <w:left w:val="nil"/>
              <w:bottom w:val="single" w:sz="4" w:space="0" w:color="auto"/>
              <w:right w:val="single" w:sz="4" w:space="0" w:color="auto"/>
            </w:tcBorders>
            <w:hideMark/>
          </w:tcPr>
          <w:p w14:paraId="706D363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94,5%</w:t>
            </w:r>
          </w:p>
        </w:tc>
        <w:tc>
          <w:tcPr>
            <w:tcW w:w="377" w:type="pct"/>
            <w:tcBorders>
              <w:top w:val="nil"/>
              <w:left w:val="nil"/>
              <w:bottom w:val="single" w:sz="4" w:space="0" w:color="auto"/>
              <w:right w:val="single" w:sz="4" w:space="0" w:color="auto"/>
            </w:tcBorders>
            <w:noWrap/>
            <w:hideMark/>
          </w:tcPr>
          <w:p w14:paraId="28C5EA7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2,5%</w:t>
            </w:r>
          </w:p>
        </w:tc>
      </w:tr>
      <w:tr w:rsidR="00BD1EFA" w:rsidRPr="001127D6" w14:paraId="4333F2CA"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655CE1A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16</w:t>
            </w:r>
          </w:p>
        </w:tc>
        <w:tc>
          <w:tcPr>
            <w:tcW w:w="486" w:type="pct"/>
            <w:tcBorders>
              <w:top w:val="nil"/>
              <w:left w:val="nil"/>
              <w:bottom w:val="single" w:sz="4" w:space="0" w:color="auto"/>
              <w:right w:val="single" w:sz="4" w:space="0" w:color="auto"/>
            </w:tcBorders>
            <w:noWrap/>
            <w:hideMark/>
          </w:tcPr>
          <w:p w14:paraId="3748EB0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Маслянинский район</w:t>
            </w:r>
          </w:p>
        </w:tc>
        <w:tc>
          <w:tcPr>
            <w:tcW w:w="243" w:type="pct"/>
            <w:tcBorders>
              <w:top w:val="nil"/>
              <w:left w:val="nil"/>
              <w:bottom w:val="single" w:sz="4" w:space="0" w:color="auto"/>
              <w:right w:val="single" w:sz="4" w:space="0" w:color="auto"/>
            </w:tcBorders>
            <w:noWrap/>
            <w:hideMark/>
          </w:tcPr>
          <w:p w14:paraId="036D49F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53</w:t>
            </w:r>
          </w:p>
        </w:tc>
        <w:tc>
          <w:tcPr>
            <w:tcW w:w="195" w:type="pct"/>
            <w:tcBorders>
              <w:top w:val="nil"/>
              <w:left w:val="nil"/>
              <w:bottom w:val="single" w:sz="4" w:space="0" w:color="auto"/>
              <w:right w:val="single" w:sz="4" w:space="0" w:color="auto"/>
            </w:tcBorders>
            <w:noWrap/>
            <w:hideMark/>
          </w:tcPr>
          <w:p w14:paraId="12BAEA6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54</w:t>
            </w:r>
          </w:p>
        </w:tc>
        <w:tc>
          <w:tcPr>
            <w:tcW w:w="194" w:type="pct"/>
            <w:tcBorders>
              <w:top w:val="nil"/>
              <w:left w:val="nil"/>
              <w:bottom w:val="single" w:sz="4" w:space="0" w:color="auto"/>
              <w:right w:val="single" w:sz="4" w:space="0" w:color="auto"/>
            </w:tcBorders>
            <w:noWrap/>
            <w:hideMark/>
          </w:tcPr>
          <w:p w14:paraId="27BE9C2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w:t>
            </w:r>
          </w:p>
        </w:tc>
        <w:tc>
          <w:tcPr>
            <w:tcW w:w="243" w:type="pct"/>
            <w:tcBorders>
              <w:top w:val="nil"/>
              <w:left w:val="nil"/>
              <w:bottom w:val="single" w:sz="4" w:space="0" w:color="auto"/>
              <w:right w:val="single" w:sz="4" w:space="0" w:color="auto"/>
            </w:tcBorders>
            <w:hideMark/>
          </w:tcPr>
          <w:p w14:paraId="567942E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56</w:t>
            </w:r>
          </w:p>
        </w:tc>
        <w:tc>
          <w:tcPr>
            <w:tcW w:w="243" w:type="pct"/>
            <w:tcBorders>
              <w:top w:val="nil"/>
              <w:left w:val="nil"/>
              <w:bottom w:val="single" w:sz="4" w:space="0" w:color="auto"/>
              <w:right w:val="single" w:sz="4" w:space="0" w:color="auto"/>
            </w:tcBorders>
            <w:hideMark/>
          </w:tcPr>
          <w:p w14:paraId="0507B33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61</w:t>
            </w:r>
          </w:p>
        </w:tc>
        <w:tc>
          <w:tcPr>
            <w:tcW w:w="341" w:type="pct"/>
            <w:tcBorders>
              <w:top w:val="nil"/>
              <w:left w:val="nil"/>
              <w:bottom w:val="single" w:sz="4" w:space="0" w:color="auto"/>
              <w:right w:val="single" w:sz="4" w:space="0" w:color="auto"/>
            </w:tcBorders>
            <w:hideMark/>
          </w:tcPr>
          <w:p w14:paraId="13731A0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8,2%</w:t>
            </w:r>
          </w:p>
        </w:tc>
        <w:tc>
          <w:tcPr>
            <w:tcW w:w="438" w:type="pct"/>
            <w:tcBorders>
              <w:top w:val="nil"/>
              <w:left w:val="nil"/>
              <w:bottom w:val="single" w:sz="4" w:space="0" w:color="auto"/>
              <w:right w:val="single" w:sz="4" w:space="0" w:color="auto"/>
            </w:tcBorders>
            <w:hideMark/>
          </w:tcPr>
          <w:p w14:paraId="41BA383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91,8%</w:t>
            </w:r>
          </w:p>
        </w:tc>
        <w:tc>
          <w:tcPr>
            <w:tcW w:w="446" w:type="pct"/>
            <w:tcBorders>
              <w:top w:val="nil"/>
              <w:left w:val="nil"/>
              <w:bottom w:val="single" w:sz="4" w:space="0" w:color="auto"/>
              <w:right w:val="single" w:sz="4" w:space="0" w:color="auto"/>
            </w:tcBorders>
            <w:noWrap/>
            <w:hideMark/>
          </w:tcPr>
          <w:p w14:paraId="200C50C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2,0%</w:t>
            </w:r>
          </w:p>
        </w:tc>
        <w:tc>
          <w:tcPr>
            <w:tcW w:w="333" w:type="pct"/>
            <w:tcBorders>
              <w:top w:val="nil"/>
              <w:left w:val="nil"/>
              <w:bottom w:val="single" w:sz="4" w:space="0" w:color="auto"/>
              <w:right w:val="single" w:sz="4" w:space="0" w:color="auto"/>
            </w:tcBorders>
            <w:noWrap/>
            <w:hideMark/>
          </w:tcPr>
          <w:p w14:paraId="1382D8B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244" w:type="pct"/>
            <w:tcBorders>
              <w:top w:val="nil"/>
              <w:left w:val="nil"/>
              <w:bottom w:val="single" w:sz="4" w:space="0" w:color="auto"/>
              <w:right w:val="single" w:sz="4" w:space="0" w:color="auto"/>
            </w:tcBorders>
            <w:hideMark/>
          </w:tcPr>
          <w:p w14:paraId="1DC11E8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66</w:t>
            </w:r>
          </w:p>
        </w:tc>
        <w:tc>
          <w:tcPr>
            <w:tcW w:w="340" w:type="pct"/>
            <w:tcBorders>
              <w:top w:val="nil"/>
              <w:left w:val="nil"/>
              <w:bottom w:val="single" w:sz="4" w:space="0" w:color="auto"/>
              <w:right w:val="single" w:sz="4" w:space="0" w:color="auto"/>
            </w:tcBorders>
            <w:hideMark/>
          </w:tcPr>
          <w:p w14:paraId="14BCFB6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70</w:t>
            </w:r>
          </w:p>
        </w:tc>
        <w:tc>
          <w:tcPr>
            <w:tcW w:w="439" w:type="pct"/>
            <w:tcBorders>
              <w:top w:val="nil"/>
              <w:left w:val="nil"/>
              <w:bottom w:val="single" w:sz="4" w:space="0" w:color="auto"/>
              <w:right w:val="single" w:sz="4" w:space="0" w:color="auto"/>
            </w:tcBorders>
            <w:hideMark/>
          </w:tcPr>
          <w:p w14:paraId="3105A0D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5,7%</w:t>
            </w:r>
          </w:p>
        </w:tc>
        <w:tc>
          <w:tcPr>
            <w:tcW w:w="292" w:type="pct"/>
            <w:tcBorders>
              <w:top w:val="nil"/>
              <w:left w:val="nil"/>
              <w:bottom w:val="single" w:sz="4" w:space="0" w:color="auto"/>
              <w:right w:val="single" w:sz="4" w:space="0" w:color="auto"/>
            </w:tcBorders>
            <w:hideMark/>
          </w:tcPr>
          <w:p w14:paraId="3FF9478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94,3%</w:t>
            </w:r>
          </w:p>
        </w:tc>
        <w:tc>
          <w:tcPr>
            <w:tcW w:w="377" w:type="pct"/>
            <w:tcBorders>
              <w:top w:val="nil"/>
              <w:left w:val="nil"/>
              <w:bottom w:val="single" w:sz="4" w:space="0" w:color="auto"/>
              <w:right w:val="single" w:sz="4" w:space="0" w:color="auto"/>
            </w:tcBorders>
            <w:noWrap/>
            <w:hideMark/>
          </w:tcPr>
          <w:p w14:paraId="593AE36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2,4%</w:t>
            </w:r>
          </w:p>
        </w:tc>
      </w:tr>
      <w:tr w:rsidR="00BD1EFA" w:rsidRPr="001127D6" w14:paraId="09BCD5C3"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3AF6049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17</w:t>
            </w:r>
          </w:p>
        </w:tc>
        <w:tc>
          <w:tcPr>
            <w:tcW w:w="486" w:type="pct"/>
            <w:tcBorders>
              <w:top w:val="nil"/>
              <w:left w:val="nil"/>
              <w:bottom w:val="single" w:sz="4" w:space="0" w:color="auto"/>
              <w:right w:val="single" w:sz="4" w:space="0" w:color="auto"/>
            </w:tcBorders>
            <w:noWrap/>
            <w:hideMark/>
          </w:tcPr>
          <w:p w14:paraId="0B1A696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Чановский район</w:t>
            </w:r>
          </w:p>
        </w:tc>
        <w:tc>
          <w:tcPr>
            <w:tcW w:w="243" w:type="pct"/>
            <w:tcBorders>
              <w:top w:val="nil"/>
              <w:left w:val="nil"/>
              <w:bottom w:val="single" w:sz="4" w:space="0" w:color="auto"/>
              <w:right w:val="single" w:sz="4" w:space="0" w:color="auto"/>
            </w:tcBorders>
            <w:noWrap/>
            <w:hideMark/>
          </w:tcPr>
          <w:p w14:paraId="0F4A3A6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69</w:t>
            </w:r>
          </w:p>
        </w:tc>
        <w:tc>
          <w:tcPr>
            <w:tcW w:w="195" w:type="pct"/>
            <w:tcBorders>
              <w:top w:val="nil"/>
              <w:left w:val="nil"/>
              <w:bottom w:val="single" w:sz="4" w:space="0" w:color="auto"/>
              <w:right w:val="single" w:sz="4" w:space="0" w:color="auto"/>
            </w:tcBorders>
            <w:noWrap/>
            <w:hideMark/>
          </w:tcPr>
          <w:p w14:paraId="2DAF852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72</w:t>
            </w:r>
          </w:p>
        </w:tc>
        <w:tc>
          <w:tcPr>
            <w:tcW w:w="194" w:type="pct"/>
            <w:tcBorders>
              <w:top w:val="nil"/>
              <w:left w:val="nil"/>
              <w:bottom w:val="single" w:sz="4" w:space="0" w:color="auto"/>
              <w:right w:val="single" w:sz="4" w:space="0" w:color="auto"/>
            </w:tcBorders>
            <w:noWrap/>
            <w:hideMark/>
          </w:tcPr>
          <w:p w14:paraId="41939C5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243" w:type="pct"/>
            <w:tcBorders>
              <w:top w:val="nil"/>
              <w:left w:val="nil"/>
              <w:bottom w:val="single" w:sz="4" w:space="0" w:color="auto"/>
              <w:right w:val="single" w:sz="4" w:space="0" w:color="auto"/>
            </w:tcBorders>
            <w:hideMark/>
          </w:tcPr>
          <w:p w14:paraId="56E2269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71</w:t>
            </w:r>
          </w:p>
        </w:tc>
        <w:tc>
          <w:tcPr>
            <w:tcW w:w="243" w:type="pct"/>
            <w:tcBorders>
              <w:top w:val="nil"/>
              <w:left w:val="nil"/>
              <w:bottom w:val="single" w:sz="4" w:space="0" w:color="auto"/>
              <w:right w:val="single" w:sz="4" w:space="0" w:color="auto"/>
            </w:tcBorders>
            <w:hideMark/>
          </w:tcPr>
          <w:p w14:paraId="3CEEB53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75</w:t>
            </w:r>
          </w:p>
        </w:tc>
        <w:tc>
          <w:tcPr>
            <w:tcW w:w="341" w:type="pct"/>
            <w:tcBorders>
              <w:top w:val="nil"/>
              <w:left w:val="nil"/>
              <w:bottom w:val="single" w:sz="4" w:space="0" w:color="auto"/>
              <w:right w:val="single" w:sz="4" w:space="0" w:color="auto"/>
            </w:tcBorders>
            <w:hideMark/>
          </w:tcPr>
          <w:p w14:paraId="2CABA4D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5,3%</w:t>
            </w:r>
          </w:p>
        </w:tc>
        <w:tc>
          <w:tcPr>
            <w:tcW w:w="438" w:type="pct"/>
            <w:tcBorders>
              <w:top w:val="nil"/>
              <w:left w:val="nil"/>
              <w:bottom w:val="single" w:sz="4" w:space="0" w:color="auto"/>
              <w:right w:val="single" w:sz="4" w:space="0" w:color="auto"/>
            </w:tcBorders>
            <w:hideMark/>
          </w:tcPr>
          <w:p w14:paraId="4FE001C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94,7%</w:t>
            </w:r>
          </w:p>
        </w:tc>
        <w:tc>
          <w:tcPr>
            <w:tcW w:w="446" w:type="pct"/>
            <w:tcBorders>
              <w:top w:val="nil"/>
              <w:left w:val="nil"/>
              <w:bottom w:val="single" w:sz="4" w:space="0" w:color="auto"/>
              <w:right w:val="single" w:sz="4" w:space="0" w:color="auto"/>
            </w:tcBorders>
            <w:noWrap/>
            <w:hideMark/>
          </w:tcPr>
          <w:p w14:paraId="5FB2280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2,5%</w:t>
            </w:r>
          </w:p>
        </w:tc>
        <w:tc>
          <w:tcPr>
            <w:tcW w:w="333" w:type="pct"/>
            <w:tcBorders>
              <w:top w:val="nil"/>
              <w:left w:val="nil"/>
              <w:bottom w:val="single" w:sz="4" w:space="0" w:color="auto"/>
              <w:right w:val="single" w:sz="4" w:space="0" w:color="auto"/>
            </w:tcBorders>
            <w:noWrap/>
            <w:hideMark/>
          </w:tcPr>
          <w:p w14:paraId="50B69FD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4" w:type="pct"/>
            <w:tcBorders>
              <w:top w:val="nil"/>
              <w:left w:val="nil"/>
              <w:bottom w:val="single" w:sz="4" w:space="0" w:color="auto"/>
              <w:right w:val="single" w:sz="4" w:space="0" w:color="auto"/>
            </w:tcBorders>
            <w:hideMark/>
          </w:tcPr>
          <w:p w14:paraId="091EA1E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67</w:t>
            </w:r>
          </w:p>
        </w:tc>
        <w:tc>
          <w:tcPr>
            <w:tcW w:w="340" w:type="pct"/>
            <w:tcBorders>
              <w:top w:val="nil"/>
              <w:left w:val="nil"/>
              <w:bottom w:val="single" w:sz="4" w:space="0" w:color="auto"/>
              <w:right w:val="single" w:sz="4" w:space="0" w:color="auto"/>
            </w:tcBorders>
            <w:hideMark/>
          </w:tcPr>
          <w:p w14:paraId="773691A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69</w:t>
            </w:r>
          </w:p>
        </w:tc>
        <w:tc>
          <w:tcPr>
            <w:tcW w:w="439" w:type="pct"/>
            <w:tcBorders>
              <w:top w:val="nil"/>
              <w:left w:val="nil"/>
              <w:bottom w:val="single" w:sz="4" w:space="0" w:color="auto"/>
              <w:right w:val="single" w:sz="4" w:space="0" w:color="auto"/>
            </w:tcBorders>
            <w:hideMark/>
          </w:tcPr>
          <w:p w14:paraId="037EB95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2,9%</w:t>
            </w:r>
          </w:p>
        </w:tc>
        <w:tc>
          <w:tcPr>
            <w:tcW w:w="292" w:type="pct"/>
            <w:tcBorders>
              <w:top w:val="nil"/>
              <w:left w:val="nil"/>
              <w:bottom w:val="single" w:sz="4" w:space="0" w:color="auto"/>
              <w:right w:val="single" w:sz="4" w:space="0" w:color="auto"/>
            </w:tcBorders>
            <w:hideMark/>
          </w:tcPr>
          <w:p w14:paraId="2F991A3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97,1%</w:t>
            </w:r>
          </w:p>
        </w:tc>
        <w:tc>
          <w:tcPr>
            <w:tcW w:w="377" w:type="pct"/>
            <w:tcBorders>
              <w:top w:val="nil"/>
              <w:left w:val="nil"/>
              <w:bottom w:val="single" w:sz="4" w:space="0" w:color="auto"/>
              <w:right w:val="single" w:sz="4" w:space="0" w:color="auto"/>
            </w:tcBorders>
            <w:noWrap/>
            <w:hideMark/>
          </w:tcPr>
          <w:p w14:paraId="1F909BF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2,3%</w:t>
            </w:r>
          </w:p>
        </w:tc>
      </w:tr>
      <w:tr w:rsidR="00BD1EFA" w:rsidRPr="001127D6" w14:paraId="5F2A2C23"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2C614AB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18</w:t>
            </w:r>
          </w:p>
        </w:tc>
        <w:tc>
          <w:tcPr>
            <w:tcW w:w="486" w:type="pct"/>
            <w:tcBorders>
              <w:top w:val="nil"/>
              <w:left w:val="nil"/>
              <w:bottom w:val="single" w:sz="4" w:space="0" w:color="auto"/>
              <w:right w:val="single" w:sz="4" w:space="0" w:color="auto"/>
            </w:tcBorders>
            <w:noWrap/>
            <w:hideMark/>
          </w:tcPr>
          <w:p w14:paraId="2B7B52A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Коченевский район</w:t>
            </w:r>
          </w:p>
        </w:tc>
        <w:tc>
          <w:tcPr>
            <w:tcW w:w="243" w:type="pct"/>
            <w:tcBorders>
              <w:top w:val="nil"/>
              <w:left w:val="nil"/>
              <w:bottom w:val="single" w:sz="4" w:space="0" w:color="auto"/>
              <w:right w:val="single" w:sz="4" w:space="0" w:color="auto"/>
            </w:tcBorders>
            <w:noWrap/>
            <w:hideMark/>
          </w:tcPr>
          <w:p w14:paraId="351D944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69</w:t>
            </w:r>
          </w:p>
        </w:tc>
        <w:tc>
          <w:tcPr>
            <w:tcW w:w="195" w:type="pct"/>
            <w:tcBorders>
              <w:top w:val="nil"/>
              <w:left w:val="nil"/>
              <w:bottom w:val="single" w:sz="4" w:space="0" w:color="auto"/>
              <w:right w:val="single" w:sz="4" w:space="0" w:color="auto"/>
            </w:tcBorders>
            <w:noWrap/>
            <w:hideMark/>
          </w:tcPr>
          <w:p w14:paraId="4ACF0F1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68</w:t>
            </w:r>
          </w:p>
        </w:tc>
        <w:tc>
          <w:tcPr>
            <w:tcW w:w="194" w:type="pct"/>
            <w:tcBorders>
              <w:top w:val="nil"/>
              <w:left w:val="nil"/>
              <w:bottom w:val="single" w:sz="4" w:space="0" w:color="auto"/>
              <w:right w:val="single" w:sz="4" w:space="0" w:color="auto"/>
            </w:tcBorders>
            <w:noWrap/>
            <w:hideMark/>
          </w:tcPr>
          <w:p w14:paraId="048292E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3" w:type="pct"/>
            <w:tcBorders>
              <w:top w:val="nil"/>
              <w:left w:val="nil"/>
              <w:bottom w:val="single" w:sz="4" w:space="0" w:color="auto"/>
              <w:right w:val="single" w:sz="4" w:space="0" w:color="auto"/>
            </w:tcBorders>
            <w:hideMark/>
          </w:tcPr>
          <w:p w14:paraId="204ADF4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67</w:t>
            </w:r>
          </w:p>
        </w:tc>
        <w:tc>
          <w:tcPr>
            <w:tcW w:w="243" w:type="pct"/>
            <w:tcBorders>
              <w:top w:val="nil"/>
              <w:left w:val="nil"/>
              <w:bottom w:val="single" w:sz="4" w:space="0" w:color="auto"/>
              <w:right w:val="single" w:sz="4" w:space="0" w:color="auto"/>
            </w:tcBorders>
            <w:hideMark/>
          </w:tcPr>
          <w:p w14:paraId="73641FB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69</w:t>
            </w:r>
          </w:p>
        </w:tc>
        <w:tc>
          <w:tcPr>
            <w:tcW w:w="341" w:type="pct"/>
            <w:tcBorders>
              <w:top w:val="nil"/>
              <w:left w:val="nil"/>
              <w:bottom w:val="single" w:sz="4" w:space="0" w:color="auto"/>
              <w:right w:val="single" w:sz="4" w:space="0" w:color="auto"/>
            </w:tcBorders>
            <w:hideMark/>
          </w:tcPr>
          <w:p w14:paraId="6322DFB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2,9%</w:t>
            </w:r>
          </w:p>
        </w:tc>
        <w:tc>
          <w:tcPr>
            <w:tcW w:w="438" w:type="pct"/>
            <w:tcBorders>
              <w:top w:val="nil"/>
              <w:left w:val="nil"/>
              <w:bottom w:val="single" w:sz="4" w:space="0" w:color="auto"/>
              <w:right w:val="single" w:sz="4" w:space="0" w:color="auto"/>
            </w:tcBorders>
            <w:hideMark/>
          </w:tcPr>
          <w:p w14:paraId="4BEE518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97,1%</w:t>
            </w:r>
          </w:p>
        </w:tc>
        <w:tc>
          <w:tcPr>
            <w:tcW w:w="446" w:type="pct"/>
            <w:tcBorders>
              <w:top w:val="nil"/>
              <w:left w:val="nil"/>
              <w:bottom w:val="single" w:sz="4" w:space="0" w:color="auto"/>
              <w:right w:val="single" w:sz="4" w:space="0" w:color="auto"/>
            </w:tcBorders>
            <w:noWrap/>
            <w:hideMark/>
          </w:tcPr>
          <w:p w14:paraId="10BA187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2,3%</w:t>
            </w:r>
          </w:p>
        </w:tc>
        <w:tc>
          <w:tcPr>
            <w:tcW w:w="333" w:type="pct"/>
            <w:tcBorders>
              <w:top w:val="nil"/>
              <w:left w:val="nil"/>
              <w:bottom w:val="single" w:sz="4" w:space="0" w:color="auto"/>
              <w:right w:val="single" w:sz="4" w:space="0" w:color="auto"/>
            </w:tcBorders>
            <w:noWrap/>
            <w:hideMark/>
          </w:tcPr>
          <w:p w14:paraId="4E4922B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w:t>
            </w:r>
          </w:p>
        </w:tc>
        <w:tc>
          <w:tcPr>
            <w:tcW w:w="244" w:type="pct"/>
            <w:tcBorders>
              <w:top w:val="nil"/>
              <w:left w:val="nil"/>
              <w:bottom w:val="single" w:sz="4" w:space="0" w:color="auto"/>
              <w:right w:val="single" w:sz="4" w:space="0" w:color="auto"/>
            </w:tcBorders>
            <w:hideMark/>
          </w:tcPr>
          <w:p w14:paraId="66C6652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67</w:t>
            </w:r>
          </w:p>
        </w:tc>
        <w:tc>
          <w:tcPr>
            <w:tcW w:w="340" w:type="pct"/>
            <w:tcBorders>
              <w:top w:val="nil"/>
              <w:left w:val="nil"/>
              <w:bottom w:val="single" w:sz="4" w:space="0" w:color="auto"/>
              <w:right w:val="single" w:sz="4" w:space="0" w:color="auto"/>
            </w:tcBorders>
            <w:hideMark/>
          </w:tcPr>
          <w:p w14:paraId="642387B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68</w:t>
            </w:r>
          </w:p>
        </w:tc>
        <w:tc>
          <w:tcPr>
            <w:tcW w:w="439" w:type="pct"/>
            <w:tcBorders>
              <w:top w:val="nil"/>
              <w:left w:val="nil"/>
              <w:bottom w:val="single" w:sz="4" w:space="0" w:color="auto"/>
              <w:right w:val="single" w:sz="4" w:space="0" w:color="auto"/>
            </w:tcBorders>
            <w:hideMark/>
          </w:tcPr>
          <w:p w14:paraId="421A960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1,5%</w:t>
            </w:r>
          </w:p>
        </w:tc>
        <w:tc>
          <w:tcPr>
            <w:tcW w:w="292" w:type="pct"/>
            <w:tcBorders>
              <w:top w:val="nil"/>
              <w:left w:val="nil"/>
              <w:bottom w:val="single" w:sz="4" w:space="0" w:color="auto"/>
              <w:right w:val="single" w:sz="4" w:space="0" w:color="auto"/>
            </w:tcBorders>
            <w:hideMark/>
          </w:tcPr>
          <w:p w14:paraId="10FA71D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98,5%</w:t>
            </w:r>
          </w:p>
        </w:tc>
        <w:tc>
          <w:tcPr>
            <w:tcW w:w="377" w:type="pct"/>
            <w:tcBorders>
              <w:top w:val="nil"/>
              <w:left w:val="nil"/>
              <w:bottom w:val="single" w:sz="4" w:space="0" w:color="auto"/>
              <w:right w:val="single" w:sz="4" w:space="0" w:color="auto"/>
            </w:tcBorders>
            <w:noWrap/>
            <w:hideMark/>
          </w:tcPr>
          <w:p w14:paraId="72EF3DF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2,3%</w:t>
            </w:r>
          </w:p>
        </w:tc>
      </w:tr>
      <w:tr w:rsidR="00BD1EFA" w:rsidRPr="001127D6" w14:paraId="27C879FC"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6FEC261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19</w:t>
            </w:r>
          </w:p>
        </w:tc>
        <w:tc>
          <w:tcPr>
            <w:tcW w:w="486" w:type="pct"/>
            <w:tcBorders>
              <w:top w:val="nil"/>
              <w:left w:val="nil"/>
              <w:bottom w:val="single" w:sz="4" w:space="0" w:color="auto"/>
              <w:right w:val="single" w:sz="4" w:space="0" w:color="auto"/>
            </w:tcBorders>
            <w:noWrap/>
            <w:hideMark/>
          </w:tcPr>
          <w:p w14:paraId="517DFEF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Чистоозерный район</w:t>
            </w:r>
          </w:p>
        </w:tc>
        <w:tc>
          <w:tcPr>
            <w:tcW w:w="243" w:type="pct"/>
            <w:tcBorders>
              <w:top w:val="nil"/>
              <w:left w:val="nil"/>
              <w:bottom w:val="single" w:sz="4" w:space="0" w:color="auto"/>
              <w:right w:val="single" w:sz="4" w:space="0" w:color="auto"/>
            </w:tcBorders>
            <w:noWrap/>
            <w:hideMark/>
          </w:tcPr>
          <w:p w14:paraId="69AC50C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69</w:t>
            </w:r>
          </w:p>
        </w:tc>
        <w:tc>
          <w:tcPr>
            <w:tcW w:w="195" w:type="pct"/>
            <w:tcBorders>
              <w:top w:val="nil"/>
              <w:left w:val="nil"/>
              <w:bottom w:val="single" w:sz="4" w:space="0" w:color="auto"/>
              <w:right w:val="single" w:sz="4" w:space="0" w:color="auto"/>
            </w:tcBorders>
            <w:noWrap/>
            <w:hideMark/>
          </w:tcPr>
          <w:p w14:paraId="12A3E1D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65</w:t>
            </w:r>
          </w:p>
        </w:tc>
        <w:tc>
          <w:tcPr>
            <w:tcW w:w="194" w:type="pct"/>
            <w:tcBorders>
              <w:top w:val="nil"/>
              <w:left w:val="nil"/>
              <w:bottom w:val="single" w:sz="4" w:space="0" w:color="auto"/>
              <w:right w:val="single" w:sz="4" w:space="0" w:color="auto"/>
            </w:tcBorders>
            <w:noWrap/>
            <w:hideMark/>
          </w:tcPr>
          <w:p w14:paraId="341B14F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3" w:type="pct"/>
            <w:tcBorders>
              <w:top w:val="nil"/>
              <w:left w:val="nil"/>
              <w:bottom w:val="single" w:sz="4" w:space="0" w:color="auto"/>
              <w:right w:val="single" w:sz="4" w:space="0" w:color="auto"/>
            </w:tcBorders>
            <w:hideMark/>
          </w:tcPr>
          <w:p w14:paraId="0E006C9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69</w:t>
            </w:r>
          </w:p>
        </w:tc>
        <w:tc>
          <w:tcPr>
            <w:tcW w:w="243" w:type="pct"/>
            <w:tcBorders>
              <w:top w:val="nil"/>
              <w:left w:val="nil"/>
              <w:bottom w:val="single" w:sz="4" w:space="0" w:color="auto"/>
              <w:right w:val="single" w:sz="4" w:space="0" w:color="auto"/>
            </w:tcBorders>
            <w:hideMark/>
          </w:tcPr>
          <w:p w14:paraId="41520E4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71</w:t>
            </w:r>
          </w:p>
        </w:tc>
        <w:tc>
          <w:tcPr>
            <w:tcW w:w="341" w:type="pct"/>
            <w:tcBorders>
              <w:top w:val="nil"/>
              <w:left w:val="nil"/>
              <w:bottom w:val="single" w:sz="4" w:space="0" w:color="auto"/>
              <w:right w:val="single" w:sz="4" w:space="0" w:color="auto"/>
            </w:tcBorders>
            <w:hideMark/>
          </w:tcPr>
          <w:p w14:paraId="03F9BF1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2,8%</w:t>
            </w:r>
          </w:p>
        </w:tc>
        <w:tc>
          <w:tcPr>
            <w:tcW w:w="438" w:type="pct"/>
            <w:tcBorders>
              <w:top w:val="nil"/>
              <w:left w:val="nil"/>
              <w:bottom w:val="single" w:sz="4" w:space="0" w:color="auto"/>
              <w:right w:val="single" w:sz="4" w:space="0" w:color="auto"/>
            </w:tcBorders>
            <w:hideMark/>
          </w:tcPr>
          <w:p w14:paraId="1F238E6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97,2%</w:t>
            </w:r>
          </w:p>
        </w:tc>
        <w:tc>
          <w:tcPr>
            <w:tcW w:w="446" w:type="pct"/>
            <w:tcBorders>
              <w:top w:val="nil"/>
              <w:left w:val="nil"/>
              <w:bottom w:val="single" w:sz="4" w:space="0" w:color="auto"/>
              <w:right w:val="single" w:sz="4" w:space="0" w:color="auto"/>
            </w:tcBorders>
            <w:noWrap/>
            <w:hideMark/>
          </w:tcPr>
          <w:p w14:paraId="321B954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2,4%</w:t>
            </w:r>
          </w:p>
        </w:tc>
        <w:tc>
          <w:tcPr>
            <w:tcW w:w="333" w:type="pct"/>
            <w:tcBorders>
              <w:top w:val="nil"/>
              <w:left w:val="nil"/>
              <w:bottom w:val="single" w:sz="4" w:space="0" w:color="auto"/>
              <w:right w:val="single" w:sz="4" w:space="0" w:color="auto"/>
            </w:tcBorders>
            <w:noWrap/>
            <w:hideMark/>
          </w:tcPr>
          <w:p w14:paraId="6739DE8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w:t>
            </w:r>
          </w:p>
        </w:tc>
        <w:tc>
          <w:tcPr>
            <w:tcW w:w="244" w:type="pct"/>
            <w:tcBorders>
              <w:top w:val="nil"/>
              <w:left w:val="nil"/>
              <w:bottom w:val="single" w:sz="4" w:space="0" w:color="auto"/>
              <w:right w:val="single" w:sz="4" w:space="0" w:color="auto"/>
            </w:tcBorders>
            <w:hideMark/>
          </w:tcPr>
          <w:p w14:paraId="321A4A1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65</w:t>
            </w:r>
          </w:p>
        </w:tc>
        <w:tc>
          <w:tcPr>
            <w:tcW w:w="340" w:type="pct"/>
            <w:tcBorders>
              <w:top w:val="nil"/>
              <w:left w:val="nil"/>
              <w:bottom w:val="single" w:sz="4" w:space="0" w:color="auto"/>
              <w:right w:val="single" w:sz="4" w:space="0" w:color="auto"/>
            </w:tcBorders>
            <w:hideMark/>
          </w:tcPr>
          <w:p w14:paraId="359A246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66</w:t>
            </w:r>
          </w:p>
        </w:tc>
        <w:tc>
          <w:tcPr>
            <w:tcW w:w="439" w:type="pct"/>
            <w:tcBorders>
              <w:top w:val="nil"/>
              <w:left w:val="nil"/>
              <w:bottom w:val="single" w:sz="4" w:space="0" w:color="auto"/>
              <w:right w:val="single" w:sz="4" w:space="0" w:color="auto"/>
            </w:tcBorders>
            <w:hideMark/>
          </w:tcPr>
          <w:p w14:paraId="75739CD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1,5%</w:t>
            </w:r>
          </w:p>
        </w:tc>
        <w:tc>
          <w:tcPr>
            <w:tcW w:w="292" w:type="pct"/>
            <w:tcBorders>
              <w:top w:val="nil"/>
              <w:left w:val="nil"/>
              <w:bottom w:val="single" w:sz="4" w:space="0" w:color="auto"/>
              <w:right w:val="single" w:sz="4" w:space="0" w:color="auto"/>
            </w:tcBorders>
            <w:hideMark/>
          </w:tcPr>
          <w:p w14:paraId="6F55F0D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98,5%</w:t>
            </w:r>
          </w:p>
        </w:tc>
        <w:tc>
          <w:tcPr>
            <w:tcW w:w="377" w:type="pct"/>
            <w:tcBorders>
              <w:top w:val="nil"/>
              <w:left w:val="nil"/>
              <w:bottom w:val="single" w:sz="4" w:space="0" w:color="auto"/>
              <w:right w:val="single" w:sz="4" w:space="0" w:color="auto"/>
            </w:tcBorders>
            <w:noWrap/>
            <w:hideMark/>
          </w:tcPr>
          <w:p w14:paraId="4F05ACF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2,2%</w:t>
            </w:r>
          </w:p>
        </w:tc>
      </w:tr>
      <w:tr w:rsidR="00BD1EFA" w:rsidRPr="001127D6" w14:paraId="40C71417"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50FC899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20</w:t>
            </w:r>
          </w:p>
        </w:tc>
        <w:tc>
          <w:tcPr>
            <w:tcW w:w="486" w:type="pct"/>
            <w:tcBorders>
              <w:top w:val="nil"/>
              <w:left w:val="nil"/>
              <w:bottom w:val="single" w:sz="4" w:space="0" w:color="auto"/>
              <w:right w:val="single" w:sz="4" w:space="0" w:color="auto"/>
            </w:tcBorders>
            <w:noWrap/>
            <w:hideMark/>
          </w:tcPr>
          <w:p w14:paraId="033860C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Доволенский район</w:t>
            </w:r>
          </w:p>
        </w:tc>
        <w:tc>
          <w:tcPr>
            <w:tcW w:w="243" w:type="pct"/>
            <w:tcBorders>
              <w:top w:val="nil"/>
              <w:left w:val="nil"/>
              <w:bottom w:val="single" w:sz="4" w:space="0" w:color="auto"/>
              <w:right w:val="single" w:sz="4" w:space="0" w:color="auto"/>
            </w:tcBorders>
            <w:noWrap/>
            <w:hideMark/>
          </w:tcPr>
          <w:p w14:paraId="24E52E6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65</w:t>
            </w:r>
          </w:p>
        </w:tc>
        <w:tc>
          <w:tcPr>
            <w:tcW w:w="195" w:type="pct"/>
            <w:tcBorders>
              <w:top w:val="nil"/>
              <w:left w:val="nil"/>
              <w:bottom w:val="single" w:sz="4" w:space="0" w:color="auto"/>
              <w:right w:val="single" w:sz="4" w:space="0" w:color="auto"/>
            </w:tcBorders>
            <w:noWrap/>
            <w:hideMark/>
          </w:tcPr>
          <w:p w14:paraId="0731C7D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65</w:t>
            </w:r>
          </w:p>
        </w:tc>
        <w:tc>
          <w:tcPr>
            <w:tcW w:w="194" w:type="pct"/>
            <w:tcBorders>
              <w:top w:val="nil"/>
              <w:left w:val="nil"/>
              <w:bottom w:val="single" w:sz="4" w:space="0" w:color="auto"/>
              <w:right w:val="single" w:sz="4" w:space="0" w:color="auto"/>
            </w:tcBorders>
            <w:noWrap/>
            <w:hideMark/>
          </w:tcPr>
          <w:p w14:paraId="1BCB4F5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w:t>
            </w:r>
          </w:p>
        </w:tc>
        <w:tc>
          <w:tcPr>
            <w:tcW w:w="243" w:type="pct"/>
            <w:tcBorders>
              <w:top w:val="nil"/>
              <w:left w:val="nil"/>
              <w:bottom w:val="single" w:sz="4" w:space="0" w:color="auto"/>
              <w:right w:val="single" w:sz="4" w:space="0" w:color="auto"/>
            </w:tcBorders>
            <w:hideMark/>
          </w:tcPr>
          <w:p w14:paraId="61B012E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57</w:t>
            </w:r>
          </w:p>
        </w:tc>
        <w:tc>
          <w:tcPr>
            <w:tcW w:w="243" w:type="pct"/>
            <w:tcBorders>
              <w:top w:val="nil"/>
              <w:left w:val="nil"/>
              <w:bottom w:val="single" w:sz="4" w:space="0" w:color="auto"/>
              <w:right w:val="single" w:sz="4" w:space="0" w:color="auto"/>
            </w:tcBorders>
            <w:hideMark/>
          </w:tcPr>
          <w:p w14:paraId="3AD1EE4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62</w:t>
            </w:r>
          </w:p>
        </w:tc>
        <w:tc>
          <w:tcPr>
            <w:tcW w:w="341" w:type="pct"/>
            <w:tcBorders>
              <w:top w:val="nil"/>
              <w:left w:val="nil"/>
              <w:bottom w:val="single" w:sz="4" w:space="0" w:color="auto"/>
              <w:right w:val="single" w:sz="4" w:space="0" w:color="auto"/>
            </w:tcBorders>
            <w:hideMark/>
          </w:tcPr>
          <w:p w14:paraId="22AEE2C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8,1%</w:t>
            </w:r>
          </w:p>
        </w:tc>
        <w:tc>
          <w:tcPr>
            <w:tcW w:w="438" w:type="pct"/>
            <w:tcBorders>
              <w:top w:val="nil"/>
              <w:left w:val="nil"/>
              <w:bottom w:val="single" w:sz="4" w:space="0" w:color="auto"/>
              <w:right w:val="single" w:sz="4" w:space="0" w:color="auto"/>
            </w:tcBorders>
            <w:hideMark/>
          </w:tcPr>
          <w:p w14:paraId="2A3E9CA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91,9%</w:t>
            </w:r>
          </w:p>
        </w:tc>
        <w:tc>
          <w:tcPr>
            <w:tcW w:w="446" w:type="pct"/>
            <w:tcBorders>
              <w:top w:val="nil"/>
              <w:left w:val="nil"/>
              <w:bottom w:val="single" w:sz="4" w:space="0" w:color="auto"/>
              <w:right w:val="single" w:sz="4" w:space="0" w:color="auto"/>
            </w:tcBorders>
            <w:noWrap/>
            <w:hideMark/>
          </w:tcPr>
          <w:p w14:paraId="3F0B5FA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2,1%</w:t>
            </w:r>
          </w:p>
        </w:tc>
        <w:tc>
          <w:tcPr>
            <w:tcW w:w="333" w:type="pct"/>
            <w:tcBorders>
              <w:top w:val="nil"/>
              <w:left w:val="nil"/>
              <w:bottom w:val="single" w:sz="4" w:space="0" w:color="auto"/>
              <w:right w:val="single" w:sz="4" w:space="0" w:color="auto"/>
            </w:tcBorders>
            <w:noWrap/>
            <w:hideMark/>
          </w:tcPr>
          <w:p w14:paraId="3262102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w:t>
            </w:r>
          </w:p>
        </w:tc>
        <w:tc>
          <w:tcPr>
            <w:tcW w:w="244" w:type="pct"/>
            <w:tcBorders>
              <w:top w:val="nil"/>
              <w:left w:val="nil"/>
              <w:bottom w:val="single" w:sz="4" w:space="0" w:color="auto"/>
              <w:right w:val="single" w:sz="4" w:space="0" w:color="auto"/>
            </w:tcBorders>
            <w:hideMark/>
          </w:tcPr>
          <w:p w14:paraId="771219E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61</w:t>
            </w:r>
          </w:p>
        </w:tc>
        <w:tc>
          <w:tcPr>
            <w:tcW w:w="340" w:type="pct"/>
            <w:tcBorders>
              <w:top w:val="nil"/>
              <w:left w:val="nil"/>
              <w:bottom w:val="single" w:sz="4" w:space="0" w:color="auto"/>
              <w:right w:val="single" w:sz="4" w:space="0" w:color="auto"/>
            </w:tcBorders>
            <w:hideMark/>
          </w:tcPr>
          <w:p w14:paraId="0C79AC0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64</w:t>
            </w:r>
          </w:p>
        </w:tc>
        <w:tc>
          <w:tcPr>
            <w:tcW w:w="439" w:type="pct"/>
            <w:tcBorders>
              <w:top w:val="nil"/>
              <w:left w:val="nil"/>
              <w:bottom w:val="single" w:sz="4" w:space="0" w:color="auto"/>
              <w:right w:val="single" w:sz="4" w:space="0" w:color="auto"/>
            </w:tcBorders>
            <w:hideMark/>
          </w:tcPr>
          <w:p w14:paraId="32C9906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4,7%</w:t>
            </w:r>
          </w:p>
        </w:tc>
        <w:tc>
          <w:tcPr>
            <w:tcW w:w="292" w:type="pct"/>
            <w:tcBorders>
              <w:top w:val="nil"/>
              <w:left w:val="nil"/>
              <w:bottom w:val="single" w:sz="4" w:space="0" w:color="auto"/>
              <w:right w:val="single" w:sz="4" w:space="0" w:color="auto"/>
            </w:tcBorders>
            <w:hideMark/>
          </w:tcPr>
          <w:p w14:paraId="79B50BD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95,3%</w:t>
            </w:r>
          </w:p>
        </w:tc>
        <w:tc>
          <w:tcPr>
            <w:tcW w:w="377" w:type="pct"/>
            <w:tcBorders>
              <w:top w:val="nil"/>
              <w:left w:val="nil"/>
              <w:bottom w:val="single" w:sz="4" w:space="0" w:color="auto"/>
              <w:right w:val="single" w:sz="4" w:space="0" w:color="auto"/>
            </w:tcBorders>
            <w:noWrap/>
            <w:hideMark/>
          </w:tcPr>
          <w:p w14:paraId="31951EB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2,2%</w:t>
            </w:r>
          </w:p>
        </w:tc>
      </w:tr>
      <w:tr w:rsidR="00BD1EFA" w:rsidRPr="001127D6" w14:paraId="642CE718"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305A7B2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21</w:t>
            </w:r>
          </w:p>
        </w:tc>
        <w:tc>
          <w:tcPr>
            <w:tcW w:w="486" w:type="pct"/>
            <w:tcBorders>
              <w:top w:val="nil"/>
              <w:left w:val="nil"/>
              <w:bottom w:val="single" w:sz="4" w:space="0" w:color="auto"/>
              <w:right w:val="single" w:sz="4" w:space="0" w:color="auto"/>
            </w:tcBorders>
            <w:noWrap/>
            <w:hideMark/>
          </w:tcPr>
          <w:p w14:paraId="1A32E42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Здвинский район</w:t>
            </w:r>
          </w:p>
        </w:tc>
        <w:tc>
          <w:tcPr>
            <w:tcW w:w="243" w:type="pct"/>
            <w:tcBorders>
              <w:top w:val="nil"/>
              <w:left w:val="nil"/>
              <w:bottom w:val="single" w:sz="4" w:space="0" w:color="auto"/>
              <w:right w:val="single" w:sz="4" w:space="0" w:color="auto"/>
            </w:tcBorders>
            <w:noWrap/>
            <w:hideMark/>
          </w:tcPr>
          <w:p w14:paraId="2D6872D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49</w:t>
            </w:r>
          </w:p>
        </w:tc>
        <w:tc>
          <w:tcPr>
            <w:tcW w:w="195" w:type="pct"/>
            <w:tcBorders>
              <w:top w:val="nil"/>
              <w:left w:val="nil"/>
              <w:bottom w:val="single" w:sz="4" w:space="0" w:color="auto"/>
              <w:right w:val="single" w:sz="4" w:space="0" w:color="auto"/>
            </w:tcBorders>
            <w:noWrap/>
            <w:hideMark/>
          </w:tcPr>
          <w:p w14:paraId="1B0B139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63</w:t>
            </w:r>
          </w:p>
        </w:tc>
        <w:tc>
          <w:tcPr>
            <w:tcW w:w="194" w:type="pct"/>
            <w:tcBorders>
              <w:top w:val="nil"/>
              <w:left w:val="nil"/>
              <w:bottom w:val="single" w:sz="4" w:space="0" w:color="auto"/>
              <w:right w:val="single" w:sz="4" w:space="0" w:color="auto"/>
            </w:tcBorders>
            <w:noWrap/>
            <w:hideMark/>
          </w:tcPr>
          <w:p w14:paraId="12FBBED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243" w:type="pct"/>
            <w:tcBorders>
              <w:top w:val="nil"/>
              <w:left w:val="nil"/>
              <w:bottom w:val="single" w:sz="4" w:space="0" w:color="auto"/>
              <w:right w:val="single" w:sz="4" w:space="0" w:color="auto"/>
            </w:tcBorders>
            <w:hideMark/>
          </w:tcPr>
          <w:p w14:paraId="5ED4BA9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59</w:t>
            </w:r>
          </w:p>
        </w:tc>
        <w:tc>
          <w:tcPr>
            <w:tcW w:w="243" w:type="pct"/>
            <w:tcBorders>
              <w:top w:val="nil"/>
              <w:left w:val="nil"/>
              <w:bottom w:val="single" w:sz="4" w:space="0" w:color="auto"/>
              <w:right w:val="single" w:sz="4" w:space="0" w:color="auto"/>
            </w:tcBorders>
            <w:hideMark/>
          </w:tcPr>
          <w:p w14:paraId="2206D1B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63</w:t>
            </w:r>
          </w:p>
        </w:tc>
        <w:tc>
          <w:tcPr>
            <w:tcW w:w="341" w:type="pct"/>
            <w:tcBorders>
              <w:top w:val="nil"/>
              <w:left w:val="nil"/>
              <w:bottom w:val="single" w:sz="4" w:space="0" w:color="auto"/>
              <w:right w:val="single" w:sz="4" w:space="0" w:color="auto"/>
            </w:tcBorders>
            <w:hideMark/>
          </w:tcPr>
          <w:p w14:paraId="7AA8A01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6,3%</w:t>
            </w:r>
          </w:p>
        </w:tc>
        <w:tc>
          <w:tcPr>
            <w:tcW w:w="438" w:type="pct"/>
            <w:tcBorders>
              <w:top w:val="nil"/>
              <w:left w:val="nil"/>
              <w:bottom w:val="single" w:sz="4" w:space="0" w:color="auto"/>
              <w:right w:val="single" w:sz="4" w:space="0" w:color="auto"/>
            </w:tcBorders>
            <w:hideMark/>
          </w:tcPr>
          <w:p w14:paraId="321366A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93,7%</w:t>
            </w:r>
          </w:p>
        </w:tc>
        <w:tc>
          <w:tcPr>
            <w:tcW w:w="446" w:type="pct"/>
            <w:tcBorders>
              <w:top w:val="nil"/>
              <w:left w:val="nil"/>
              <w:bottom w:val="single" w:sz="4" w:space="0" w:color="auto"/>
              <w:right w:val="single" w:sz="4" w:space="0" w:color="auto"/>
            </w:tcBorders>
            <w:noWrap/>
            <w:hideMark/>
          </w:tcPr>
          <w:p w14:paraId="2D56FBA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2,1%</w:t>
            </w:r>
          </w:p>
        </w:tc>
        <w:tc>
          <w:tcPr>
            <w:tcW w:w="333" w:type="pct"/>
            <w:tcBorders>
              <w:top w:val="nil"/>
              <w:left w:val="nil"/>
              <w:bottom w:val="single" w:sz="4" w:space="0" w:color="auto"/>
              <w:right w:val="single" w:sz="4" w:space="0" w:color="auto"/>
            </w:tcBorders>
            <w:noWrap/>
            <w:hideMark/>
          </w:tcPr>
          <w:p w14:paraId="7D00F25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w:t>
            </w:r>
          </w:p>
        </w:tc>
        <w:tc>
          <w:tcPr>
            <w:tcW w:w="244" w:type="pct"/>
            <w:tcBorders>
              <w:top w:val="nil"/>
              <w:left w:val="nil"/>
              <w:bottom w:val="single" w:sz="4" w:space="0" w:color="auto"/>
              <w:right w:val="single" w:sz="4" w:space="0" w:color="auto"/>
            </w:tcBorders>
            <w:hideMark/>
          </w:tcPr>
          <w:p w14:paraId="285E923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57</w:t>
            </w:r>
          </w:p>
        </w:tc>
        <w:tc>
          <w:tcPr>
            <w:tcW w:w="340" w:type="pct"/>
            <w:tcBorders>
              <w:top w:val="nil"/>
              <w:left w:val="nil"/>
              <w:bottom w:val="single" w:sz="4" w:space="0" w:color="auto"/>
              <w:right w:val="single" w:sz="4" w:space="0" w:color="auto"/>
            </w:tcBorders>
            <w:hideMark/>
          </w:tcPr>
          <w:p w14:paraId="4F1BCC8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60</w:t>
            </w:r>
          </w:p>
        </w:tc>
        <w:tc>
          <w:tcPr>
            <w:tcW w:w="439" w:type="pct"/>
            <w:tcBorders>
              <w:top w:val="nil"/>
              <w:left w:val="nil"/>
              <w:bottom w:val="single" w:sz="4" w:space="0" w:color="auto"/>
              <w:right w:val="single" w:sz="4" w:space="0" w:color="auto"/>
            </w:tcBorders>
            <w:hideMark/>
          </w:tcPr>
          <w:p w14:paraId="78831A2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5,0%</w:t>
            </w:r>
          </w:p>
        </w:tc>
        <w:tc>
          <w:tcPr>
            <w:tcW w:w="292" w:type="pct"/>
            <w:tcBorders>
              <w:top w:val="nil"/>
              <w:left w:val="nil"/>
              <w:bottom w:val="single" w:sz="4" w:space="0" w:color="auto"/>
              <w:right w:val="single" w:sz="4" w:space="0" w:color="auto"/>
            </w:tcBorders>
            <w:hideMark/>
          </w:tcPr>
          <w:p w14:paraId="588E6D2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95,0%</w:t>
            </w:r>
          </w:p>
        </w:tc>
        <w:tc>
          <w:tcPr>
            <w:tcW w:w="377" w:type="pct"/>
            <w:tcBorders>
              <w:top w:val="nil"/>
              <w:left w:val="nil"/>
              <w:bottom w:val="single" w:sz="4" w:space="0" w:color="auto"/>
              <w:right w:val="single" w:sz="4" w:space="0" w:color="auto"/>
            </w:tcBorders>
            <w:noWrap/>
            <w:hideMark/>
          </w:tcPr>
          <w:p w14:paraId="6AFF6E0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2,0%</w:t>
            </w:r>
          </w:p>
        </w:tc>
      </w:tr>
      <w:tr w:rsidR="00BD1EFA" w:rsidRPr="001127D6" w14:paraId="4ECA80C8"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29AA7AE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22</w:t>
            </w:r>
          </w:p>
        </w:tc>
        <w:tc>
          <w:tcPr>
            <w:tcW w:w="486" w:type="pct"/>
            <w:tcBorders>
              <w:top w:val="nil"/>
              <w:left w:val="nil"/>
              <w:bottom w:val="single" w:sz="4" w:space="0" w:color="auto"/>
              <w:right w:val="single" w:sz="4" w:space="0" w:color="auto"/>
            </w:tcBorders>
            <w:noWrap/>
            <w:hideMark/>
          </w:tcPr>
          <w:p w14:paraId="0C3AD5E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Убинский район</w:t>
            </w:r>
          </w:p>
        </w:tc>
        <w:tc>
          <w:tcPr>
            <w:tcW w:w="243" w:type="pct"/>
            <w:tcBorders>
              <w:top w:val="nil"/>
              <w:left w:val="nil"/>
              <w:bottom w:val="single" w:sz="4" w:space="0" w:color="auto"/>
              <w:right w:val="single" w:sz="4" w:space="0" w:color="auto"/>
            </w:tcBorders>
            <w:noWrap/>
            <w:hideMark/>
          </w:tcPr>
          <w:p w14:paraId="482DBA4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95</w:t>
            </w:r>
          </w:p>
        </w:tc>
        <w:tc>
          <w:tcPr>
            <w:tcW w:w="195" w:type="pct"/>
            <w:tcBorders>
              <w:top w:val="nil"/>
              <w:left w:val="nil"/>
              <w:bottom w:val="single" w:sz="4" w:space="0" w:color="auto"/>
              <w:right w:val="single" w:sz="4" w:space="0" w:color="auto"/>
            </w:tcBorders>
            <w:noWrap/>
            <w:hideMark/>
          </w:tcPr>
          <w:p w14:paraId="1D5096E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60</w:t>
            </w:r>
          </w:p>
        </w:tc>
        <w:tc>
          <w:tcPr>
            <w:tcW w:w="194" w:type="pct"/>
            <w:tcBorders>
              <w:top w:val="nil"/>
              <w:left w:val="nil"/>
              <w:bottom w:val="single" w:sz="4" w:space="0" w:color="auto"/>
              <w:right w:val="single" w:sz="4" w:space="0" w:color="auto"/>
            </w:tcBorders>
            <w:noWrap/>
            <w:hideMark/>
          </w:tcPr>
          <w:p w14:paraId="37B9021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w:t>
            </w:r>
          </w:p>
        </w:tc>
        <w:tc>
          <w:tcPr>
            <w:tcW w:w="243" w:type="pct"/>
            <w:tcBorders>
              <w:top w:val="nil"/>
              <w:left w:val="nil"/>
              <w:bottom w:val="single" w:sz="4" w:space="0" w:color="auto"/>
              <w:right w:val="single" w:sz="4" w:space="0" w:color="auto"/>
            </w:tcBorders>
            <w:hideMark/>
          </w:tcPr>
          <w:p w14:paraId="4F9209B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54</w:t>
            </w:r>
          </w:p>
        </w:tc>
        <w:tc>
          <w:tcPr>
            <w:tcW w:w="243" w:type="pct"/>
            <w:tcBorders>
              <w:top w:val="nil"/>
              <w:left w:val="nil"/>
              <w:bottom w:val="single" w:sz="4" w:space="0" w:color="auto"/>
              <w:right w:val="single" w:sz="4" w:space="0" w:color="auto"/>
            </w:tcBorders>
            <w:hideMark/>
          </w:tcPr>
          <w:p w14:paraId="308B97C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57</w:t>
            </w:r>
          </w:p>
        </w:tc>
        <w:tc>
          <w:tcPr>
            <w:tcW w:w="341" w:type="pct"/>
            <w:tcBorders>
              <w:top w:val="nil"/>
              <w:left w:val="nil"/>
              <w:bottom w:val="single" w:sz="4" w:space="0" w:color="auto"/>
              <w:right w:val="single" w:sz="4" w:space="0" w:color="auto"/>
            </w:tcBorders>
            <w:hideMark/>
          </w:tcPr>
          <w:p w14:paraId="7649C4F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5,3%</w:t>
            </w:r>
          </w:p>
        </w:tc>
        <w:tc>
          <w:tcPr>
            <w:tcW w:w="438" w:type="pct"/>
            <w:tcBorders>
              <w:top w:val="nil"/>
              <w:left w:val="nil"/>
              <w:bottom w:val="single" w:sz="4" w:space="0" w:color="auto"/>
              <w:right w:val="single" w:sz="4" w:space="0" w:color="auto"/>
            </w:tcBorders>
            <w:hideMark/>
          </w:tcPr>
          <w:p w14:paraId="0717241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94,7%</w:t>
            </w:r>
          </w:p>
        </w:tc>
        <w:tc>
          <w:tcPr>
            <w:tcW w:w="446" w:type="pct"/>
            <w:tcBorders>
              <w:top w:val="nil"/>
              <w:left w:val="nil"/>
              <w:bottom w:val="single" w:sz="4" w:space="0" w:color="auto"/>
              <w:right w:val="single" w:sz="4" w:space="0" w:color="auto"/>
            </w:tcBorders>
            <w:noWrap/>
            <w:hideMark/>
          </w:tcPr>
          <w:p w14:paraId="1DD105F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1,9%</w:t>
            </w:r>
          </w:p>
        </w:tc>
        <w:tc>
          <w:tcPr>
            <w:tcW w:w="333" w:type="pct"/>
            <w:tcBorders>
              <w:top w:val="nil"/>
              <w:left w:val="nil"/>
              <w:bottom w:val="single" w:sz="4" w:space="0" w:color="auto"/>
              <w:right w:val="single" w:sz="4" w:space="0" w:color="auto"/>
            </w:tcBorders>
            <w:noWrap/>
            <w:hideMark/>
          </w:tcPr>
          <w:p w14:paraId="76DD91C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4" w:type="pct"/>
            <w:tcBorders>
              <w:top w:val="nil"/>
              <w:left w:val="nil"/>
              <w:bottom w:val="single" w:sz="4" w:space="0" w:color="auto"/>
              <w:right w:val="single" w:sz="4" w:space="0" w:color="auto"/>
            </w:tcBorders>
            <w:hideMark/>
          </w:tcPr>
          <w:p w14:paraId="2D2DF44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55</w:t>
            </w:r>
          </w:p>
        </w:tc>
        <w:tc>
          <w:tcPr>
            <w:tcW w:w="340" w:type="pct"/>
            <w:tcBorders>
              <w:top w:val="nil"/>
              <w:left w:val="nil"/>
              <w:bottom w:val="single" w:sz="4" w:space="0" w:color="auto"/>
              <w:right w:val="single" w:sz="4" w:space="0" w:color="auto"/>
            </w:tcBorders>
            <w:hideMark/>
          </w:tcPr>
          <w:p w14:paraId="57012D2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57</w:t>
            </w:r>
          </w:p>
        </w:tc>
        <w:tc>
          <w:tcPr>
            <w:tcW w:w="439" w:type="pct"/>
            <w:tcBorders>
              <w:top w:val="nil"/>
              <w:left w:val="nil"/>
              <w:bottom w:val="single" w:sz="4" w:space="0" w:color="auto"/>
              <w:right w:val="single" w:sz="4" w:space="0" w:color="auto"/>
            </w:tcBorders>
            <w:hideMark/>
          </w:tcPr>
          <w:p w14:paraId="632EC19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3,5%</w:t>
            </w:r>
          </w:p>
        </w:tc>
        <w:tc>
          <w:tcPr>
            <w:tcW w:w="292" w:type="pct"/>
            <w:tcBorders>
              <w:top w:val="nil"/>
              <w:left w:val="nil"/>
              <w:bottom w:val="single" w:sz="4" w:space="0" w:color="auto"/>
              <w:right w:val="single" w:sz="4" w:space="0" w:color="auto"/>
            </w:tcBorders>
            <w:hideMark/>
          </w:tcPr>
          <w:p w14:paraId="13C6423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96,5%</w:t>
            </w:r>
          </w:p>
        </w:tc>
        <w:tc>
          <w:tcPr>
            <w:tcW w:w="377" w:type="pct"/>
            <w:tcBorders>
              <w:top w:val="nil"/>
              <w:left w:val="nil"/>
              <w:bottom w:val="single" w:sz="4" w:space="0" w:color="auto"/>
              <w:right w:val="single" w:sz="4" w:space="0" w:color="auto"/>
            </w:tcBorders>
            <w:noWrap/>
            <w:hideMark/>
          </w:tcPr>
          <w:p w14:paraId="37E7B2F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1,9%</w:t>
            </w:r>
          </w:p>
        </w:tc>
      </w:tr>
      <w:tr w:rsidR="00BD1EFA" w:rsidRPr="001127D6" w14:paraId="3518A33C"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49BB4F9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23</w:t>
            </w:r>
          </w:p>
        </w:tc>
        <w:tc>
          <w:tcPr>
            <w:tcW w:w="486" w:type="pct"/>
            <w:tcBorders>
              <w:top w:val="nil"/>
              <w:left w:val="nil"/>
              <w:bottom w:val="single" w:sz="4" w:space="0" w:color="auto"/>
              <w:right w:val="single" w:sz="4" w:space="0" w:color="auto"/>
            </w:tcBorders>
            <w:noWrap/>
            <w:hideMark/>
          </w:tcPr>
          <w:p w14:paraId="31E888D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Колыванский район</w:t>
            </w:r>
          </w:p>
        </w:tc>
        <w:tc>
          <w:tcPr>
            <w:tcW w:w="243" w:type="pct"/>
            <w:tcBorders>
              <w:top w:val="nil"/>
              <w:left w:val="nil"/>
              <w:bottom w:val="single" w:sz="4" w:space="0" w:color="auto"/>
              <w:right w:val="single" w:sz="4" w:space="0" w:color="auto"/>
            </w:tcBorders>
            <w:noWrap/>
            <w:hideMark/>
          </w:tcPr>
          <w:p w14:paraId="40D6F3D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63</w:t>
            </w:r>
          </w:p>
        </w:tc>
        <w:tc>
          <w:tcPr>
            <w:tcW w:w="195" w:type="pct"/>
            <w:tcBorders>
              <w:top w:val="nil"/>
              <w:left w:val="nil"/>
              <w:bottom w:val="single" w:sz="4" w:space="0" w:color="auto"/>
              <w:right w:val="single" w:sz="4" w:space="0" w:color="auto"/>
            </w:tcBorders>
            <w:noWrap/>
            <w:hideMark/>
          </w:tcPr>
          <w:p w14:paraId="1155D82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59</w:t>
            </w:r>
          </w:p>
        </w:tc>
        <w:tc>
          <w:tcPr>
            <w:tcW w:w="194" w:type="pct"/>
            <w:tcBorders>
              <w:top w:val="nil"/>
              <w:left w:val="nil"/>
              <w:bottom w:val="single" w:sz="4" w:space="0" w:color="auto"/>
              <w:right w:val="single" w:sz="4" w:space="0" w:color="auto"/>
            </w:tcBorders>
            <w:noWrap/>
            <w:hideMark/>
          </w:tcPr>
          <w:p w14:paraId="2552F1F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w:t>
            </w:r>
          </w:p>
        </w:tc>
        <w:tc>
          <w:tcPr>
            <w:tcW w:w="243" w:type="pct"/>
            <w:tcBorders>
              <w:top w:val="nil"/>
              <w:left w:val="nil"/>
              <w:bottom w:val="single" w:sz="4" w:space="0" w:color="auto"/>
              <w:right w:val="single" w:sz="4" w:space="0" w:color="auto"/>
            </w:tcBorders>
            <w:hideMark/>
          </w:tcPr>
          <w:p w14:paraId="7A1A673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56</w:t>
            </w:r>
          </w:p>
        </w:tc>
        <w:tc>
          <w:tcPr>
            <w:tcW w:w="243" w:type="pct"/>
            <w:tcBorders>
              <w:top w:val="nil"/>
              <w:left w:val="nil"/>
              <w:bottom w:val="single" w:sz="4" w:space="0" w:color="auto"/>
              <w:right w:val="single" w:sz="4" w:space="0" w:color="auto"/>
            </w:tcBorders>
            <w:hideMark/>
          </w:tcPr>
          <w:p w14:paraId="61F7009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59</w:t>
            </w:r>
          </w:p>
        </w:tc>
        <w:tc>
          <w:tcPr>
            <w:tcW w:w="341" w:type="pct"/>
            <w:tcBorders>
              <w:top w:val="nil"/>
              <w:left w:val="nil"/>
              <w:bottom w:val="single" w:sz="4" w:space="0" w:color="auto"/>
              <w:right w:val="single" w:sz="4" w:space="0" w:color="auto"/>
            </w:tcBorders>
            <w:hideMark/>
          </w:tcPr>
          <w:p w14:paraId="5BDFCAF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5,1%</w:t>
            </w:r>
          </w:p>
        </w:tc>
        <w:tc>
          <w:tcPr>
            <w:tcW w:w="438" w:type="pct"/>
            <w:tcBorders>
              <w:top w:val="nil"/>
              <w:left w:val="nil"/>
              <w:bottom w:val="single" w:sz="4" w:space="0" w:color="auto"/>
              <w:right w:val="single" w:sz="4" w:space="0" w:color="auto"/>
            </w:tcBorders>
            <w:hideMark/>
          </w:tcPr>
          <w:p w14:paraId="337A8BE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94,9%</w:t>
            </w:r>
          </w:p>
        </w:tc>
        <w:tc>
          <w:tcPr>
            <w:tcW w:w="446" w:type="pct"/>
            <w:tcBorders>
              <w:top w:val="nil"/>
              <w:left w:val="nil"/>
              <w:bottom w:val="single" w:sz="4" w:space="0" w:color="auto"/>
              <w:right w:val="single" w:sz="4" w:space="0" w:color="auto"/>
            </w:tcBorders>
            <w:noWrap/>
            <w:hideMark/>
          </w:tcPr>
          <w:p w14:paraId="7F56B1E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2,0%</w:t>
            </w:r>
          </w:p>
        </w:tc>
        <w:tc>
          <w:tcPr>
            <w:tcW w:w="333" w:type="pct"/>
            <w:tcBorders>
              <w:top w:val="nil"/>
              <w:left w:val="nil"/>
              <w:bottom w:val="single" w:sz="4" w:space="0" w:color="auto"/>
              <w:right w:val="single" w:sz="4" w:space="0" w:color="auto"/>
            </w:tcBorders>
            <w:noWrap/>
            <w:hideMark/>
          </w:tcPr>
          <w:p w14:paraId="3BF4BF1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4" w:type="pct"/>
            <w:tcBorders>
              <w:top w:val="nil"/>
              <w:left w:val="nil"/>
              <w:bottom w:val="single" w:sz="4" w:space="0" w:color="auto"/>
              <w:right w:val="single" w:sz="4" w:space="0" w:color="auto"/>
            </w:tcBorders>
            <w:hideMark/>
          </w:tcPr>
          <w:p w14:paraId="3753C81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54</w:t>
            </w:r>
          </w:p>
        </w:tc>
        <w:tc>
          <w:tcPr>
            <w:tcW w:w="340" w:type="pct"/>
            <w:tcBorders>
              <w:top w:val="nil"/>
              <w:left w:val="nil"/>
              <w:bottom w:val="single" w:sz="4" w:space="0" w:color="auto"/>
              <w:right w:val="single" w:sz="4" w:space="0" w:color="auto"/>
            </w:tcBorders>
            <w:hideMark/>
          </w:tcPr>
          <w:p w14:paraId="242F37E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56</w:t>
            </w:r>
          </w:p>
        </w:tc>
        <w:tc>
          <w:tcPr>
            <w:tcW w:w="439" w:type="pct"/>
            <w:tcBorders>
              <w:top w:val="nil"/>
              <w:left w:val="nil"/>
              <w:bottom w:val="single" w:sz="4" w:space="0" w:color="auto"/>
              <w:right w:val="single" w:sz="4" w:space="0" w:color="auto"/>
            </w:tcBorders>
            <w:hideMark/>
          </w:tcPr>
          <w:p w14:paraId="428058D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3,6%</w:t>
            </w:r>
          </w:p>
        </w:tc>
        <w:tc>
          <w:tcPr>
            <w:tcW w:w="292" w:type="pct"/>
            <w:tcBorders>
              <w:top w:val="nil"/>
              <w:left w:val="nil"/>
              <w:bottom w:val="single" w:sz="4" w:space="0" w:color="auto"/>
              <w:right w:val="single" w:sz="4" w:space="0" w:color="auto"/>
            </w:tcBorders>
            <w:hideMark/>
          </w:tcPr>
          <w:p w14:paraId="50DCBAE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96,4%</w:t>
            </w:r>
          </w:p>
        </w:tc>
        <w:tc>
          <w:tcPr>
            <w:tcW w:w="377" w:type="pct"/>
            <w:tcBorders>
              <w:top w:val="nil"/>
              <w:left w:val="nil"/>
              <w:bottom w:val="single" w:sz="4" w:space="0" w:color="auto"/>
              <w:right w:val="single" w:sz="4" w:space="0" w:color="auto"/>
            </w:tcBorders>
            <w:noWrap/>
            <w:hideMark/>
          </w:tcPr>
          <w:p w14:paraId="3EFAC30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1,9%</w:t>
            </w:r>
          </w:p>
        </w:tc>
      </w:tr>
      <w:tr w:rsidR="00BD1EFA" w:rsidRPr="001127D6" w14:paraId="39072F51"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0D3AF76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24</w:t>
            </w:r>
          </w:p>
        </w:tc>
        <w:tc>
          <w:tcPr>
            <w:tcW w:w="486" w:type="pct"/>
            <w:tcBorders>
              <w:top w:val="nil"/>
              <w:left w:val="nil"/>
              <w:bottom w:val="single" w:sz="4" w:space="0" w:color="auto"/>
              <w:right w:val="single" w:sz="4" w:space="0" w:color="auto"/>
            </w:tcBorders>
            <w:noWrap/>
            <w:hideMark/>
          </w:tcPr>
          <w:p w14:paraId="2A323CF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Ордынский район</w:t>
            </w:r>
          </w:p>
        </w:tc>
        <w:tc>
          <w:tcPr>
            <w:tcW w:w="243" w:type="pct"/>
            <w:tcBorders>
              <w:top w:val="nil"/>
              <w:left w:val="nil"/>
              <w:bottom w:val="single" w:sz="4" w:space="0" w:color="auto"/>
              <w:right w:val="single" w:sz="4" w:space="0" w:color="auto"/>
            </w:tcBorders>
            <w:noWrap/>
            <w:hideMark/>
          </w:tcPr>
          <w:p w14:paraId="645A27B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53</w:t>
            </w:r>
          </w:p>
        </w:tc>
        <w:tc>
          <w:tcPr>
            <w:tcW w:w="195" w:type="pct"/>
            <w:tcBorders>
              <w:top w:val="nil"/>
              <w:left w:val="nil"/>
              <w:bottom w:val="single" w:sz="4" w:space="0" w:color="auto"/>
              <w:right w:val="single" w:sz="4" w:space="0" w:color="auto"/>
            </w:tcBorders>
            <w:noWrap/>
            <w:hideMark/>
          </w:tcPr>
          <w:p w14:paraId="71B3BDE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52</w:t>
            </w:r>
          </w:p>
        </w:tc>
        <w:tc>
          <w:tcPr>
            <w:tcW w:w="194" w:type="pct"/>
            <w:tcBorders>
              <w:top w:val="nil"/>
              <w:left w:val="nil"/>
              <w:bottom w:val="single" w:sz="4" w:space="0" w:color="auto"/>
              <w:right w:val="single" w:sz="4" w:space="0" w:color="auto"/>
            </w:tcBorders>
            <w:noWrap/>
            <w:hideMark/>
          </w:tcPr>
          <w:p w14:paraId="178A0A6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243" w:type="pct"/>
            <w:tcBorders>
              <w:top w:val="nil"/>
              <w:left w:val="nil"/>
              <w:bottom w:val="single" w:sz="4" w:space="0" w:color="auto"/>
              <w:right w:val="single" w:sz="4" w:space="0" w:color="auto"/>
            </w:tcBorders>
            <w:hideMark/>
          </w:tcPr>
          <w:p w14:paraId="25BD30F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55</w:t>
            </w:r>
          </w:p>
        </w:tc>
        <w:tc>
          <w:tcPr>
            <w:tcW w:w="243" w:type="pct"/>
            <w:tcBorders>
              <w:top w:val="nil"/>
              <w:left w:val="nil"/>
              <w:bottom w:val="single" w:sz="4" w:space="0" w:color="auto"/>
              <w:right w:val="single" w:sz="4" w:space="0" w:color="auto"/>
            </w:tcBorders>
            <w:hideMark/>
          </w:tcPr>
          <w:p w14:paraId="660D162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59</w:t>
            </w:r>
          </w:p>
        </w:tc>
        <w:tc>
          <w:tcPr>
            <w:tcW w:w="341" w:type="pct"/>
            <w:tcBorders>
              <w:top w:val="nil"/>
              <w:left w:val="nil"/>
              <w:bottom w:val="single" w:sz="4" w:space="0" w:color="auto"/>
              <w:right w:val="single" w:sz="4" w:space="0" w:color="auto"/>
            </w:tcBorders>
            <w:hideMark/>
          </w:tcPr>
          <w:p w14:paraId="1F17B18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6,8%</w:t>
            </w:r>
          </w:p>
        </w:tc>
        <w:tc>
          <w:tcPr>
            <w:tcW w:w="438" w:type="pct"/>
            <w:tcBorders>
              <w:top w:val="nil"/>
              <w:left w:val="nil"/>
              <w:bottom w:val="single" w:sz="4" w:space="0" w:color="auto"/>
              <w:right w:val="single" w:sz="4" w:space="0" w:color="auto"/>
            </w:tcBorders>
            <w:hideMark/>
          </w:tcPr>
          <w:p w14:paraId="6B018BC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93,2%</w:t>
            </w:r>
          </w:p>
        </w:tc>
        <w:tc>
          <w:tcPr>
            <w:tcW w:w="446" w:type="pct"/>
            <w:tcBorders>
              <w:top w:val="nil"/>
              <w:left w:val="nil"/>
              <w:bottom w:val="single" w:sz="4" w:space="0" w:color="auto"/>
              <w:right w:val="single" w:sz="4" w:space="0" w:color="auto"/>
            </w:tcBorders>
            <w:noWrap/>
            <w:hideMark/>
          </w:tcPr>
          <w:p w14:paraId="355D7E4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2,0%</w:t>
            </w:r>
          </w:p>
        </w:tc>
        <w:tc>
          <w:tcPr>
            <w:tcW w:w="333" w:type="pct"/>
            <w:tcBorders>
              <w:top w:val="nil"/>
              <w:left w:val="nil"/>
              <w:bottom w:val="single" w:sz="4" w:space="0" w:color="auto"/>
              <w:right w:val="single" w:sz="4" w:space="0" w:color="auto"/>
            </w:tcBorders>
            <w:noWrap/>
            <w:hideMark/>
          </w:tcPr>
          <w:p w14:paraId="5EC17FC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w:t>
            </w:r>
          </w:p>
        </w:tc>
        <w:tc>
          <w:tcPr>
            <w:tcW w:w="244" w:type="pct"/>
            <w:tcBorders>
              <w:top w:val="nil"/>
              <w:left w:val="nil"/>
              <w:bottom w:val="single" w:sz="4" w:space="0" w:color="auto"/>
              <w:right w:val="single" w:sz="4" w:space="0" w:color="auto"/>
            </w:tcBorders>
            <w:hideMark/>
          </w:tcPr>
          <w:p w14:paraId="404F819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51</w:t>
            </w:r>
          </w:p>
        </w:tc>
        <w:tc>
          <w:tcPr>
            <w:tcW w:w="340" w:type="pct"/>
            <w:tcBorders>
              <w:top w:val="nil"/>
              <w:left w:val="nil"/>
              <w:bottom w:val="single" w:sz="4" w:space="0" w:color="auto"/>
              <w:right w:val="single" w:sz="4" w:space="0" w:color="auto"/>
            </w:tcBorders>
            <w:hideMark/>
          </w:tcPr>
          <w:p w14:paraId="452B02E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56</w:t>
            </w:r>
          </w:p>
        </w:tc>
        <w:tc>
          <w:tcPr>
            <w:tcW w:w="439" w:type="pct"/>
            <w:tcBorders>
              <w:top w:val="nil"/>
              <w:left w:val="nil"/>
              <w:bottom w:val="single" w:sz="4" w:space="0" w:color="auto"/>
              <w:right w:val="single" w:sz="4" w:space="0" w:color="auto"/>
            </w:tcBorders>
            <w:hideMark/>
          </w:tcPr>
          <w:p w14:paraId="1E1A2BB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8,9%</w:t>
            </w:r>
          </w:p>
        </w:tc>
        <w:tc>
          <w:tcPr>
            <w:tcW w:w="292" w:type="pct"/>
            <w:tcBorders>
              <w:top w:val="nil"/>
              <w:left w:val="nil"/>
              <w:bottom w:val="single" w:sz="4" w:space="0" w:color="auto"/>
              <w:right w:val="single" w:sz="4" w:space="0" w:color="auto"/>
            </w:tcBorders>
            <w:hideMark/>
          </w:tcPr>
          <w:p w14:paraId="6D0C956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91,1%</w:t>
            </w:r>
          </w:p>
        </w:tc>
        <w:tc>
          <w:tcPr>
            <w:tcW w:w="377" w:type="pct"/>
            <w:tcBorders>
              <w:top w:val="nil"/>
              <w:left w:val="nil"/>
              <w:bottom w:val="single" w:sz="4" w:space="0" w:color="auto"/>
              <w:right w:val="single" w:sz="4" w:space="0" w:color="auto"/>
            </w:tcBorders>
            <w:noWrap/>
            <w:hideMark/>
          </w:tcPr>
          <w:p w14:paraId="16CC5C8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1,9%</w:t>
            </w:r>
          </w:p>
        </w:tc>
      </w:tr>
      <w:tr w:rsidR="00BD1EFA" w:rsidRPr="001127D6" w14:paraId="72B37247"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63AF02B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25</w:t>
            </w:r>
          </w:p>
        </w:tc>
        <w:tc>
          <w:tcPr>
            <w:tcW w:w="486" w:type="pct"/>
            <w:tcBorders>
              <w:top w:val="nil"/>
              <w:left w:val="nil"/>
              <w:bottom w:val="single" w:sz="4" w:space="0" w:color="auto"/>
              <w:right w:val="single" w:sz="4" w:space="0" w:color="auto"/>
            </w:tcBorders>
            <w:noWrap/>
            <w:hideMark/>
          </w:tcPr>
          <w:p w14:paraId="4C0789C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Каргатский район</w:t>
            </w:r>
          </w:p>
        </w:tc>
        <w:tc>
          <w:tcPr>
            <w:tcW w:w="243" w:type="pct"/>
            <w:tcBorders>
              <w:top w:val="nil"/>
              <w:left w:val="nil"/>
              <w:bottom w:val="single" w:sz="4" w:space="0" w:color="auto"/>
              <w:right w:val="single" w:sz="4" w:space="0" w:color="auto"/>
            </w:tcBorders>
            <w:noWrap/>
            <w:hideMark/>
          </w:tcPr>
          <w:p w14:paraId="583DA80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52</w:t>
            </w:r>
          </w:p>
        </w:tc>
        <w:tc>
          <w:tcPr>
            <w:tcW w:w="195" w:type="pct"/>
            <w:tcBorders>
              <w:top w:val="nil"/>
              <w:left w:val="nil"/>
              <w:bottom w:val="single" w:sz="4" w:space="0" w:color="auto"/>
              <w:right w:val="single" w:sz="4" w:space="0" w:color="auto"/>
            </w:tcBorders>
            <w:noWrap/>
            <w:hideMark/>
          </w:tcPr>
          <w:p w14:paraId="5064F83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53</w:t>
            </w:r>
          </w:p>
        </w:tc>
        <w:tc>
          <w:tcPr>
            <w:tcW w:w="194" w:type="pct"/>
            <w:tcBorders>
              <w:top w:val="nil"/>
              <w:left w:val="nil"/>
              <w:bottom w:val="single" w:sz="4" w:space="0" w:color="auto"/>
              <w:right w:val="single" w:sz="4" w:space="0" w:color="auto"/>
            </w:tcBorders>
            <w:noWrap/>
            <w:hideMark/>
          </w:tcPr>
          <w:p w14:paraId="4C93AC6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3" w:type="pct"/>
            <w:tcBorders>
              <w:top w:val="nil"/>
              <w:left w:val="nil"/>
              <w:bottom w:val="single" w:sz="4" w:space="0" w:color="auto"/>
              <w:right w:val="single" w:sz="4" w:space="0" w:color="auto"/>
            </w:tcBorders>
            <w:hideMark/>
          </w:tcPr>
          <w:p w14:paraId="584AA5E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49</w:t>
            </w:r>
          </w:p>
        </w:tc>
        <w:tc>
          <w:tcPr>
            <w:tcW w:w="243" w:type="pct"/>
            <w:tcBorders>
              <w:top w:val="nil"/>
              <w:left w:val="nil"/>
              <w:bottom w:val="single" w:sz="4" w:space="0" w:color="auto"/>
              <w:right w:val="single" w:sz="4" w:space="0" w:color="auto"/>
            </w:tcBorders>
            <w:hideMark/>
          </w:tcPr>
          <w:p w14:paraId="42CB02E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51</w:t>
            </w:r>
          </w:p>
        </w:tc>
        <w:tc>
          <w:tcPr>
            <w:tcW w:w="341" w:type="pct"/>
            <w:tcBorders>
              <w:top w:val="nil"/>
              <w:left w:val="nil"/>
              <w:bottom w:val="single" w:sz="4" w:space="0" w:color="auto"/>
              <w:right w:val="single" w:sz="4" w:space="0" w:color="auto"/>
            </w:tcBorders>
            <w:hideMark/>
          </w:tcPr>
          <w:p w14:paraId="013C3BE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3,9%</w:t>
            </w:r>
          </w:p>
        </w:tc>
        <w:tc>
          <w:tcPr>
            <w:tcW w:w="438" w:type="pct"/>
            <w:tcBorders>
              <w:top w:val="nil"/>
              <w:left w:val="nil"/>
              <w:bottom w:val="single" w:sz="4" w:space="0" w:color="auto"/>
              <w:right w:val="single" w:sz="4" w:space="0" w:color="auto"/>
            </w:tcBorders>
            <w:hideMark/>
          </w:tcPr>
          <w:p w14:paraId="7ED2E5C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96,1%</w:t>
            </w:r>
          </w:p>
        </w:tc>
        <w:tc>
          <w:tcPr>
            <w:tcW w:w="446" w:type="pct"/>
            <w:tcBorders>
              <w:top w:val="nil"/>
              <w:left w:val="nil"/>
              <w:bottom w:val="single" w:sz="4" w:space="0" w:color="auto"/>
              <w:right w:val="single" w:sz="4" w:space="0" w:color="auto"/>
            </w:tcBorders>
            <w:noWrap/>
            <w:hideMark/>
          </w:tcPr>
          <w:p w14:paraId="7BC613D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1,7%</w:t>
            </w:r>
          </w:p>
        </w:tc>
        <w:tc>
          <w:tcPr>
            <w:tcW w:w="333" w:type="pct"/>
            <w:tcBorders>
              <w:top w:val="nil"/>
              <w:left w:val="nil"/>
              <w:bottom w:val="single" w:sz="4" w:space="0" w:color="auto"/>
              <w:right w:val="single" w:sz="4" w:space="0" w:color="auto"/>
            </w:tcBorders>
            <w:noWrap/>
            <w:hideMark/>
          </w:tcPr>
          <w:p w14:paraId="78F3A03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4" w:type="pct"/>
            <w:tcBorders>
              <w:top w:val="nil"/>
              <w:left w:val="nil"/>
              <w:bottom w:val="single" w:sz="4" w:space="0" w:color="auto"/>
              <w:right w:val="single" w:sz="4" w:space="0" w:color="auto"/>
            </w:tcBorders>
            <w:hideMark/>
          </w:tcPr>
          <w:p w14:paraId="3556C6C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52</w:t>
            </w:r>
          </w:p>
        </w:tc>
        <w:tc>
          <w:tcPr>
            <w:tcW w:w="340" w:type="pct"/>
            <w:tcBorders>
              <w:top w:val="nil"/>
              <w:left w:val="nil"/>
              <w:bottom w:val="single" w:sz="4" w:space="0" w:color="auto"/>
              <w:right w:val="single" w:sz="4" w:space="0" w:color="auto"/>
            </w:tcBorders>
            <w:hideMark/>
          </w:tcPr>
          <w:p w14:paraId="5D14CE4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54</w:t>
            </w:r>
          </w:p>
        </w:tc>
        <w:tc>
          <w:tcPr>
            <w:tcW w:w="439" w:type="pct"/>
            <w:tcBorders>
              <w:top w:val="nil"/>
              <w:left w:val="nil"/>
              <w:bottom w:val="single" w:sz="4" w:space="0" w:color="auto"/>
              <w:right w:val="single" w:sz="4" w:space="0" w:color="auto"/>
            </w:tcBorders>
            <w:hideMark/>
          </w:tcPr>
          <w:p w14:paraId="023A820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3,7%</w:t>
            </w:r>
          </w:p>
        </w:tc>
        <w:tc>
          <w:tcPr>
            <w:tcW w:w="292" w:type="pct"/>
            <w:tcBorders>
              <w:top w:val="nil"/>
              <w:left w:val="nil"/>
              <w:bottom w:val="single" w:sz="4" w:space="0" w:color="auto"/>
              <w:right w:val="single" w:sz="4" w:space="0" w:color="auto"/>
            </w:tcBorders>
            <w:hideMark/>
          </w:tcPr>
          <w:p w14:paraId="199A8F7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96,3%</w:t>
            </w:r>
          </w:p>
        </w:tc>
        <w:tc>
          <w:tcPr>
            <w:tcW w:w="377" w:type="pct"/>
            <w:tcBorders>
              <w:top w:val="nil"/>
              <w:left w:val="nil"/>
              <w:bottom w:val="single" w:sz="4" w:space="0" w:color="auto"/>
              <w:right w:val="single" w:sz="4" w:space="0" w:color="auto"/>
            </w:tcBorders>
            <w:noWrap/>
            <w:hideMark/>
          </w:tcPr>
          <w:p w14:paraId="597EDB6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1,8%</w:t>
            </w:r>
          </w:p>
        </w:tc>
      </w:tr>
      <w:tr w:rsidR="00BD1EFA" w:rsidRPr="001127D6" w14:paraId="1BDD562D"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6933FDA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26</w:t>
            </w:r>
          </w:p>
        </w:tc>
        <w:tc>
          <w:tcPr>
            <w:tcW w:w="486" w:type="pct"/>
            <w:tcBorders>
              <w:top w:val="nil"/>
              <w:left w:val="nil"/>
              <w:bottom w:val="single" w:sz="4" w:space="0" w:color="auto"/>
              <w:right w:val="single" w:sz="4" w:space="0" w:color="auto"/>
            </w:tcBorders>
            <w:noWrap/>
            <w:hideMark/>
          </w:tcPr>
          <w:p w14:paraId="0A971D9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Сузунский район</w:t>
            </w:r>
          </w:p>
        </w:tc>
        <w:tc>
          <w:tcPr>
            <w:tcW w:w="243" w:type="pct"/>
            <w:tcBorders>
              <w:top w:val="nil"/>
              <w:left w:val="nil"/>
              <w:bottom w:val="single" w:sz="4" w:space="0" w:color="auto"/>
              <w:right w:val="single" w:sz="4" w:space="0" w:color="auto"/>
            </w:tcBorders>
            <w:noWrap/>
            <w:hideMark/>
          </w:tcPr>
          <w:p w14:paraId="625680C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54</w:t>
            </w:r>
          </w:p>
        </w:tc>
        <w:tc>
          <w:tcPr>
            <w:tcW w:w="195" w:type="pct"/>
            <w:tcBorders>
              <w:top w:val="nil"/>
              <w:left w:val="nil"/>
              <w:bottom w:val="single" w:sz="4" w:space="0" w:color="auto"/>
              <w:right w:val="single" w:sz="4" w:space="0" w:color="auto"/>
            </w:tcBorders>
            <w:noWrap/>
            <w:hideMark/>
          </w:tcPr>
          <w:p w14:paraId="2B97D74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51</w:t>
            </w:r>
          </w:p>
        </w:tc>
        <w:tc>
          <w:tcPr>
            <w:tcW w:w="194" w:type="pct"/>
            <w:tcBorders>
              <w:top w:val="nil"/>
              <w:left w:val="nil"/>
              <w:bottom w:val="single" w:sz="4" w:space="0" w:color="auto"/>
              <w:right w:val="single" w:sz="4" w:space="0" w:color="auto"/>
            </w:tcBorders>
            <w:noWrap/>
            <w:hideMark/>
          </w:tcPr>
          <w:p w14:paraId="7B2A3EA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3" w:type="pct"/>
            <w:tcBorders>
              <w:top w:val="nil"/>
              <w:left w:val="nil"/>
              <w:bottom w:val="single" w:sz="4" w:space="0" w:color="auto"/>
              <w:right w:val="single" w:sz="4" w:space="0" w:color="auto"/>
            </w:tcBorders>
            <w:hideMark/>
          </w:tcPr>
          <w:p w14:paraId="1EB20BD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50</w:t>
            </w:r>
          </w:p>
        </w:tc>
        <w:tc>
          <w:tcPr>
            <w:tcW w:w="243" w:type="pct"/>
            <w:tcBorders>
              <w:top w:val="nil"/>
              <w:left w:val="nil"/>
              <w:bottom w:val="single" w:sz="4" w:space="0" w:color="auto"/>
              <w:right w:val="single" w:sz="4" w:space="0" w:color="auto"/>
            </w:tcBorders>
            <w:hideMark/>
          </w:tcPr>
          <w:p w14:paraId="2F7D377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52</w:t>
            </w:r>
          </w:p>
        </w:tc>
        <w:tc>
          <w:tcPr>
            <w:tcW w:w="341" w:type="pct"/>
            <w:tcBorders>
              <w:top w:val="nil"/>
              <w:left w:val="nil"/>
              <w:bottom w:val="single" w:sz="4" w:space="0" w:color="auto"/>
              <w:right w:val="single" w:sz="4" w:space="0" w:color="auto"/>
            </w:tcBorders>
            <w:hideMark/>
          </w:tcPr>
          <w:p w14:paraId="71C5631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3,8%</w:t>
            </w:r>
          </w:p>
        </w:tc>
        <w:tc>
          <w:tcPr>
            <w:tcW w:w="438" w:type="pct"/>
            <w:tcBorders>
              <w:top w:val="nil"/>
              <w:left w:val="nil"/>
              <w:bottom w:val="single" w:sz="4" w:space="0" w:color="auto"/>
              <w:right w:val="single" w:sz="4" w:space="0" w:color="auto"/>
            </w:tcBorders>
            <w:hideMark/>
          </w:tcPr>
          <w:p w14:paraId="3C7820A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96,2%</w:t>
            </w:r>
          </w:p>
        </w:tc>
        <w:tc>
          <w:tcPr>
            <w:tcW w:w="446" w:type="pct"/>
            <w:tcBorders>
              <w:top w:val="nil"/>
              <w:left w:val="nil"/>
              <w:bottom w:val="single" w:sz="4" w:space="0" w:color="auto"/>
              <w:right w:val="single" w:sz="4" w:space="0" w:color="auto"/>
            </w:tcBorders>
            <w:noWrap/>
            <w:hideMark/>
          </w:tcPr>
          <w:p w14:paraId="678AA89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1,7%</w:t>
            </w:r>
          </w:p>
        </w:tc>
        <w:tc>
          <w:tcPr>
            <w:tcW w:w="333" w:type="pct"/>
            <w:tcBorders>
              <w:top w:val="nil"/>
              <w:left w:val="nil"/>
              <w:bottom w:val="single" w:sz="4" w:space="0" w:color="auto"/>
              <w:right w:val="single" w:sz="4" w:space="0" w:color="auto"/>
            </w:tcBorders>
            <w:noWrap/>
            <w:hideMark/>
          </w:tcPr>
          <w:p w14:paraId="4D73CDC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w:t>
            </w:r>
          </w:p>
        </w:tc>
        <w:tc>
          <w:tcPr>
            <w:tcW w:w="244" w:type="pct"/>
            <w:tcBorders>
              <w:top w:val="nil"/>
              <w:left w:val="nil"/>
              <w:bottom w:val="single" w:sz="4" w:space="0" w:color="auto"/>
              <w:right w:val="single" w:sz="4" w:space="0" w:color="auto"/>
            </w:tcBorders>
            <w:hideMark/>
          </w:tcPr>
          <w:p w14:paraId="6EAB1CD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47</w:t>
            </w:r>
          </w:p>
        </w:tc>
        <w:tc>
          <w:tcPr>
            <w:tcW w:w="340" w:type="pct"/>
            <w:tcBorders>
              <w:top w:val="nil"/>
              <w:left w:val="nil"/>
              <w:bottom w:val="single" w:sz="4" w:space="0" w:color="auto"/>
              <w:right w:val="single" w:sz="4" w:space="0" w:color="auto"/>
            </w:tcBorders>
            <w:hideMark/>
          </w:tcPr>
          <w:p w14:paraId="357E6F7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50</w:t>
            </w:r>
          </w:p>
        </w:tc>
        <w:tc>
          <w:tcPr>
            <w:tcW w:w="439" w:type="pct"/>
            <w:tcBorders>
              <w:top w:val="nil"/>
              <w:left w:val="nil"/>
              <w:bottom w:val="single" w:sz="4" w:space="0" w:color="auto"/>
              <w:right w:val="single" w:sz="4" w:space="0" w:color="auto"/>
            </w:tcBorders>
            <w:hideMark/>
          </w:tcPr>
          <w:p w14:paraId="4E87491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6,0%</w:t>
            </w:r>
          </w:p>
        </w:tc>
        <w:tc>
          <w:tcPr>
            <w:tcW w:w="292" w:type="pct"/>
            <w:tcBorders>
              <w:top w:val="nil"/>
              <w:left w:val="nil"/>
              <w:bottom w:val="single" w:sz="4" w:space="0" w:color="auto"/>
              <w:right w:val="single" w:sz="4" w:space="0" w:color="auto"/>
            </w:tcBorders>
            <w:hideMark/>
          </w:tcPr>
          <w:p w14:paraId="370C439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94,0%</w:t>
            </w:r>
          </w:p>
        </w:tc>
        <w:tc>
          <w:tcPr>
            <w:tcW w:w="377" w:type="pct"/>
            <w:tcBorders>
              <w:top w:val="nil"/>
              <w:left w:val="nil"/>
              <w:bottom w:val="single" w:sz="4" w:space="0" w:color="auto"/>
              <w:right w:val="single" w:sz="4" w:space="0" w:color="auto"/>
            </w:tcBorders>
            <w:noWrap/>
            <w:hideMark/>
          </w:tcPr>
          <w:p w14:paraId="6C8A975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1,7%</w:t>
            </w:r>
          </w:p>
        </w:tc>
      </w:tr>
      <w:tr w:rsidR="00BD1EFA" w:rsidRPr="001127D6" w14:paraId="4BE12FB5"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153FC73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27</w:t>
            </w:r>
          </w:p>
        </w:tc>
        <w:tc>
          <w:tcPr>
            <w:tcW w:w="486" w:type="pct"/>
            <w:tcBorders>
              <w:top w:val="nil"/>
              <w:left w:val="nil"/>
              <w:bottom w:val="single" w:sz="4" w:space="0" w:color="auto"/>
              <w:right w:val="single" w:sz="4" w:space="0" w:color="auto"/>
            </w:tcBorders>
            <w:noWrap/>
            <w:hideMark/>
          </w:tcPr>
          <w:p w14:paraId="4AC9DAF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г. Искитим</w:t>
            </w:r>
          </w:p>
        </w:tc>
        <w:tc>
          <w:tcPr>
            <w:tcW w:w="243" w:type="pct"/>
            <w:tcBorders>
              <w:top w:val="nil"/>
              <w:left w:val="nil"/>
              <w:bottom w:val="single" w:sz="4" w:space="0" w:color="auto"/>
              <w:right w:val="single" w:sz="4" w:space="0" w:color="auto"/>
            </w:tcBorders>
            <w:noWrap/>
            <w:hideMark/>
          </w:tcPr>
          <w:p w14:paraId="3CE26E6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45</w:t>
            </w:r>
          </w:p>
        </w:tc>
        <w:tc>
          <w:tcPr>
            <w:tcW w:w="195" w:type="pct"/>
            <w:tcBorders>
              <w:top w:val="nil"/>
              <w:left w:val="nil"/>
              <w:bottom w:val="single" w:sz="4" w:space="0" w:color="auto"/>
              <w:right w:val="single" w:sz="4" w:space="0" w:color="auto"/>
            </w:tcBorders>
            <w:noWrap/>
            <w:hideMark/>
          </w:tcPr>
          <w:p w14:paraId="55B341F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43</w:t>
            </w:r>
          </w:p>
        </w:tc>
        <w:tc>
          <w:tcPr>
            <w:tcW w:w="194" w:type="pct"/>
            <w:tcBorders>
              <w:top w:val="nil"/>
              <w:left w:val="nil"/>
              <w:bottom w:val="single" w:sz="4" w:space="0" w:color="auto"/>
              <w:right w:val="single" w:sz="4" w:space="0" w:color="auto"/>
            </w:tcBorders>
            <w:noWrap/>
            <w:hideMark/>
          </w:tcPr>
          <w:p w14:paraId="58F73A1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w:t>
            </w:r>
          </w:p>
        </w:tc>
        <w:tc>
          <w:tcPr>
            <w:tcW w:w="243" w:type="pct"/>
            <w:tcBorders>
              <w:top w:val="nil"/>
              <w:left w:val="nil"/>
              <w:bottom w:val="single" w:sz="4" w:space="0" w:color="auto"/>
              <w:right w:val="single" w:sz="4" w:space="0" w:color="auto"/>
            </w:tcBorders>
            <w:hideMark/>
          </w:tcPr>
          <w:p w14:paraId="1F7C3A2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43</w:t>
            </w:r>
          </w:p>
        </w:tc>
        <w:tc>
          <w:tcPr>
            <w:tcW w:w="243" w:type="pct"/>
            <w:tcBorders>
              <w:top w:val="nil"/>
              <w:left w:val="nil"/>
              <w:bottom w:val="single" w:sz="4" w:space="0" w:color="auto"/>
              <w:right w:val="single" w:sz="4" w:space="0" w:color="auto"/>
            </w:tcBorders>
            <w:hideMark/>
          </w:tcPr>
          <w:p w14:paraId="7BCFD40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43</w:t>
            </w:r>
          </w:p>
        </w:tc>
        <w:tc>
          <w:tcPr>
            <w:tcW w:w="341" w:type="pct"/>
            <w:tcBorders>
              <w:top w:val="nil"/>
              <w:left w:val="nil"/>
              <w:bottom w:val="single" w:sz="4" w:space="0" w:color="auto"/>
              <w:right w:val="single" w:sz="4" w:space="0" w:color="auto"/>
            </w:tcBorders>
            <w:hideMark/>
          </w:tcPr>
          <w:p w14:paraId="6F0676B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0,0%</w:t>
            </w:r>
          </w:p>
        </w:tc>
        <w:tc>
          <w:tcPr>
            <w:tcW w:w="438" w:type="pct"/>
            <w:tcBorders>
              <w:top w:val="nil"/>
              <w:left w:val="nil"/>
              <w:bottom w:val="single" w:sz="4" w:space="0" w:color="auto"/>
              <w:right w:val="single" w:sz="4" w:space="0" w:color="auto"/>
            </w:tcBorders>
            <w:hideMark/>
          </w:tcPr>
          <w:p w14:paraId="6605710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100,0%</w:t>
            </w:r>
          </w:p>
        </w:tc>
        <w:tc>
          <w:tcPr>
            <w:tcW w:w="446" w:type="pct"/>
            <w:tcBorders>
              <w:top w:val="nil"/>
              <w:left w:val="nil"/>
              <w:bottom w:val="single" w:sz="4" w:space="0" w:color="auto"/>
              <w:right w:val="single" w:sz="4" w:space="0" w:color="auto"/>
            </w:tcBorders>
            <w:noWrap/>
            <w:hideMark/>
          </w:tcPr>
          <w:p w14:paraId="79CEAB1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1,4%</w:t>
            </w:r>
          </w:p>
        </w:tc>
        <w:tc>
          <w:tcPr>
            <w:tcW w:w="333" w:type="pct"/>
            <w:tcBorders>
              <w:top w:val="nil"/>
              <w:left w:val="nil"/>
              <w:bottom w:val="single" w:sz="4" w:space="0" w:color="auto"/>
              <w:right w:val="single" w:sz="4" w:space="0" w:color="auto"/>
            </w:tcBorders>
            <w:noWrap/>
            <w:hideMark/>
          </w:tcPr>
          <w:p w14:paraId="08870B2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w:t>
            </w:r>
          </w:p>
        </w:tc>
        <w:tc>
          <w:tcPr>
            <w:tcW w:w="244" w:type="pct"/>
            <w:tcBorders>
              <w:top w:val="nil"/>
              <w:left w:val="nil"/>
              <w:bottom w:val="single" w:sz="4" w:space="0" w:color="auto"/>
              <w:right w:val="single" w:sz="4" w:space="0" w:color="auto"/>
            </w:tcBorders>
            <w:hideMark/>
          </w:tcPr>
          <w:p w14:paraId="3FC43AE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49</w:t>
            </w:r>
          </w:p>
        </w:tc>
        <w:tc>
          <w:tcPr>
            <w:tcW w:w="340" w:type="pct"/>
            <w:tcBorders>
              <w:top w:val="nil"/>
              <w:left w:val="nil"/>
              <w:bottom w:val="single" w:sz="4" w:space="0" w:color="auto"/>
              <w:right w:val="single" w:sz="4" w:space="0" w:color="auto"/>
            </w:tcBorders>
            <w:hideMark/>
          </w:tcPr>
          <w:p w14:paraId="66137D7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50</w:t>
            </w:r>
          </w:p>
        </w:tc>
        <w:tc>
          <w:tcPr>
            <w:tcW w:w="439" w:type="pct"/>
            <w:tcBorders>
              <w:top w:val="nil"/>
              <w:left w:val="nil"/>
              <w:bottom w:val="single" w:sz="4" w:space="0" w:color="auto"/>
              <w:right w:val="single" w:sz="4" w:space="0" w:color="auto"/>
            </w:tcBorders>
            <w:hideMark/>
          </w:tcPr>
          <w:p w14:paraId="14C0184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2,0%</w:t>
            </w:r>
          </w:p>
        </w:tc>
        <w:tc>
          <w:tcPr>
            <w:tcW w:w="292" w:type="pct"/>
            <w:tcBorders>
              <w:top w:val="nil"/>
              <w:left w:val="nil"/>
              <w:bottom w:val="single" w:sz="4" w:space="0" w:color="auto"/>
              <w:right w:val="single" w:sz="4" w:space="0" w:color="auto"/>
            </w:tcBorders>
            <w:hideMark/>
          </w:tcPr>
          <w:p w14:paraId="286FB5B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98,0%</w:t>
            </w:r>
          </w:p>
        </w:tc>
        <w:tc>
          <w:tcPr>
            <w:tcW w:w="377" w:type="pct"/>
            <w:tcBorders>
              <w:top w:val="nil"/>
              <w:left w:val="nil"/>
              <w:bottom w:val="single" w:sz="4" w:space="0" w:color="auto"/>
              <w:right w:val="single" w:sz="4" w:space="0" w:color="auto"/>
            </w:tcBorders>
            <w:noWrap/>
            <w:hideMark/>
          </w:tcPr>
          <w:p w14:paraId="609B964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1,7%</w:t>
            </w:r>
          </w:p>
        </w:tc>
      </w:tr>
      <w:tr w:rsidR="00BD1EFA" w:rsidRPr="001127D6" w14:paraId="6DB29FEC"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18F00DA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28</w:t>
            </w:r>
          </w:p>
        </w:tc>
        <w:tc>
          <w:tcPr>
            <w:tcW w:w="486" w:type="pct"/>
            <w:tcBorders>
              <w:top w:val="nil"/>
              <w:left w:val="nil"/>
              <w:bottom w:val="single" w:sz="4" w:space="0" w:color="auto"/>
              <w:right w:val="single" w:sz="4" w:space="0" w:color="auto"/>
            </w:tcBorders>
            <w:noWrap/>
            <w:hideMark/>
          </w:tcPr>
          <w:p w14:paraId="4C48331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Чулымский район</w:t>
            </w:r>
          </w:p>
        </w:tc>
        <w:tc>
          <w:tcPr>
            <w:tcW w:w="243" w:type="pct"/>
            <w:tcBorders>
              <w:top w:val="nil"/>
              <w:left w:val="nil"/>
              <w:bottom w:val="single" w:sz="4" w:space="0" w:color="auto"/>
              <w:right w:val="single" w:sz="4" w:space="0" w:color="auto"/>
            </w:tcBorders>
            <w:noWrap/>
            <w:hideMark/>
          </w:tcPr>
          <w:p w14:paraId="08DC72B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57</w:t>
            </w:r>
          </w:p>
        </w:tc>
        <w:tc>
          <w:tcPr>
            <w:tcW w:w="195" w:type="pct"/>
            <w:tcBorders>
              <w:top w:val="nil"/>
              <w:left w:val="nil"/>
              <w:bottom w:val="single" w:sz="4" w:space="0" w:color="auto"/>
              <w:right w:val="single" w:sz="4" w:space="0" w:color="auto"/>
            </w:tcBorders>
            <w:noWrap/>
            <w:hideMark/>
          </w:tcPr>
          <w:p w14:paraId="0C289D6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53</w:t>
            </w:r>
          </w:p>
        </w:tc>
        <w:tc>
          <w:tcPr>
            <w:tcW w:w="194" w:type="pct"/>
            <w:tcBorders>
              <w:top w:val="nil"/>
              <w:left w:val="nil"/>
              <w:bottom w:val="single" w:sz="4" w:space="0" w:color="auto"/>
              <w:right w:val="single" w:sz="4" w:space="0" w:color="auto"/>
            </w:tcBorders>
            <w:noWrap/>
            <w:hideMark/>
          </w:tcPr>
          <w:p w14:paraId="0D2B85F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w:t>
            </w:r>
          </w:p>
        </w:tc>
        <w:tc>
          <w:tcPr>
            <w:tcW w:w="243" w:type="pct"/>
            <w:tcBorders>
              <w:top w:val="nil"/>
              <w:left w:val="nil"/>
              <w:bottom w:val="single" w:sz="4" w:space="0" w:color="auto"/>
              <w:right w:val="single" w:sz="4" w:space="0" w:color="auto"/>
            </w:tcBorders>
            <w:hideMark/>
          </w:tcPr>
          <w:p w14:paraId="59BEE66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43</w:t>
            </w:r>
          </w:p>
        </w:tc>
        <w:tc>
          <w:tcPr>
            <w:tcW w:w="243" w:type="pct"/>
            <w:tcBorders>
              <w:top w:val="nil"/>
              <w:left w:val="nil"/>
              <w:bottom w:val="single" w:sz="4" w:space="0" w:color="auto"/>
              <w:right w:val="single" w:sz="4" w:space="0" w:color="auto"/>
            </w:tcBorders>
            <w:hideMark/>
          </w:tcPr>
          <w:p w14:paraId="0B9A454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47</w:t>
            </w:r>
          </w:p>
        </w:tc>
        <w:tc>
          <w:tcPr>
            <w:tcW w:w="341" w:type="pct"/>
            <w:tcBorders>
              <w:top w:val="nil"/>
              <w:left w:val="nil"/>
              <w:bottom w:val="single" w:sz="4" w:space="0" w:color="auto"/>
              <w:right w:val="single" w:sz="4" w:space="0" w:color="auto"/>
            </w:tcBorders>
            <w:hideMark/>
          </w:tcPr>
          <w:p w14:paraId="385F92C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8,5%</w:t>
            </w:r>
          </w:p>
        </w:tc>
        <w:tc>
          <w:tcPr>
            <w:tcW w:w="438" w:type="pct"/>
            <w:tcBorders>
              <w:top w:val="nil"/>
              <w:left w:val="nil"/>
              <w:bottom w:val="single" w:sz="4" w:space="0" w:color="auto"/>
              <w:right w:val="single" w:sz="4" w:space="0" w:color="auto"/>
            </w:tcBorders>
            <w:hideMark/>
          </w:tcPr>
          <w:p w14:paraId="458F813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91,5%</w:t>
            </w:r>
          </w:p>
        </w:tc>
        <w:tc>
          <w:tcPr>
            <w:tcW w:w="446" w:type="pct"/>
            <w:tcBorders>
              <w:top w:val="nil"/>
              <w:left w:val="nil"/>
              <w:bottom w:val="single" w:sz="4" w:space="0" w:color="auto"/>
              <w:right w:val="single" w:sz="4" w:space="0" w:color="auto"/>
            </w:tcBorders>
            <w:noWrap/>
            <w:hideMark/>
          </w:tcPr>
          <w:p w14:paraId="2D5BE98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1,6%</w:t>
            </w:r>
          </w:p>
        </w:tc>
        <w:tc>
          <w:tcPr>
            <w:tcW w:w="333" w:type="pct"/>
            <w:tcBorders>
              <w:top w:val="nil"/>
              <w:left w:val="nil"/>
              <w:bottom w:val="single" w:sz="4" w:space="0" w:color="auto"/>
              <w:right w:val="single" w:sz="4" w:space="0" w:color="auto"/>
            </w:tcBorders>
            <w:noWrap/>
            <w:hideMark/>
          </w:tcPr>
          <w:p w14:paraId="3A1B9B4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w:t>
            </w:r>
          </w:p>
        </w:tc>
        <w:tc>
          <w:tcPr>
            <w:tcW w:w="244" w:type="pct"/>
            <w:tcBorders>
              <w:top w:val="nil"/>
              <w:left w:val="nil"/>
              <w:bottom w:val="single" w:sz="4" w:space="0" w:color="auto"/>
              <w:right w:val="single" w:sz="4" w:space="0" w:color="auto"/>
            </w:tcBorders>
            <w:hideMark/>
          </w:tcPr>
          <w:p w14:paraId="50205FC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41</w:t>
            </w:r>
          </w:p>
        </w:tc>
        <w:tc>
          <w:tcPr>
            <w:tcW w:w="340" w:type="pct"/>
            <w:tcBorders>
              <w:top w:val="nil"/>
              <w:left w:val="nil"/>
              <w:bottom w:val="single" w:sz="4" w:space="0" w:color="auto"/>
              <w:right w:val="single" w:sz="4" w:space="0" w:color="auto"/>
            </w:tcBorders>
            <w:hideMark/>
          </w:tcPr>
          <w:p w14:paraId="0506907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46</w:t>
            </w:r>
          </w:p>
        </w:tc>
        <w:tc>
          <w:tcPr>
            <w:tcW w:w="439" w:type="pct"/>
            <w:tcBorders>
              <w:top w:val="nil"/>
              <w:left w:val="nil"/>
              <w:bottom w:val="single" w:sz="4" w:space="0" w:color="auto"/>
              <w:right w:val="single" w:sz="4" w:space="0" w:color="auto"/>
            </w:tcBorders>
            <w:hideMark/>
          </w:tcPr>
          <w:p w14:paraId="67DFCEE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10,9%</w:t>
            </w:r>
          </w:p>
        </w:tc>
        <w:tc>
          <w:tcPr>
            <w:tcW w:w="292" w:type="pct"/>
            <w:tcBorders>
              <w:top w:val="nil"/>
              <w:left w:val="nil"/>
              <w:bottom w:val="single" w:sz="4" w:space="0" w:color="auto"/>
              <w:right w:val="single" w:sz="4" w:space="0" w:color="auto"/>
            </w:tcBorders>
            <w:hideMark/>
          </w:tcPr>
          <w:p w14:paraId="1012942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89,1%</w:t>
            </w:r>
          </w:p>
        </w:tc>
        <w:tc>
          <w:tcPr>
            <w:tcW w:w="377" w:type="pct"/>
            <w:tcBorders>
              <w:top w:val="nil"/>
              <w:left w:val="nil"/>
              <w:bottom w:val="single" w:sz="4" w:space="0" w:color="auto"/>
              <w:right w:val="single" w:sz="4" w:space="0" w:color="auto"/>
            </w:tcBorders>
            <w:noWrap/>
            <w:hideMark/>
          </w:tcPr>
          <w:p w14:paraId="33CA29C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1,6%</w:t>
            </w:r>
          </w:p>
        </w:tc>
      </w:tr>
      <w:tr w:rsidR="00BD1EFA" w:rsidRPr="001127D6" w14:paraId="7151B6CE"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78AE03A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29</w:t>
            </w:r>
          </w:p>
        </w:tc>
        <w:tc>
          <w:tcPr>
            <w:tcW w:w="486" w:type="pct"/>
            <w:tcBorders>
              <w:top w:val="nil"/>
              <w:left w:val="nil"/>
              <w:bottom w:val="single" w:sz="4" w:space="0" w:color="auto"/>
              <w:right w:val="single" w:sz="4" w:space="0" w:color="auto"/>
            </w:tcBorders>
            <w:noWrap/>
            <w:hideMark/>
          </w:tcPr>
          <w:p w14:paraId="46CE7B6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Кыштовский район</w:t>
            </w:r>
          </w:p>
        </w:tc>
        <w:tc>
          <w:tcPr>
            <w:tcW w:w="243" w:type="pct"/>
            <w:tcBorders>
              <w:top w:val="nil"/>
              <w:left w:val="nil"/>
              <w:bottom w:val="single" w:sz="4" w:space="0" w:color="auto"/>
              <w:right w:val="single" w:sz="4" w:space="0" w:color="auto"/>
            </w:tcBorders>
            <w:noWrap/>
            <w:hideMark/>
          </w:tcPr>
          <w:p w14:paraId="7A61DE2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53</w:t>
            </w:r>
          </w:p>
        </w:tc>
        <w:tc>
          <w:tcPr>
            <w:tcW w:w="195" w:type="pct"/>
            <w:tcBorders>
              <w:top w:val="nil"/>
              <w:left w:val="nil"/>
              <w:bottom w:val="single" w:sz="4" w:space="0" w:color="auto"/>
              <w:right w:val="single" w:sz="4" w:space="0" w:color="auto"/>
            </w:tcBorders>
            <w:noWrap/>
            <w:hideMark/>
          </w:tcPr>
          <w:p w14:paraId="1793C0E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54</w:t>
            </w:r>
          </w:p>
        </w:tc>
        <w:tc>
          <w:tcPr>
            <w:tcW w:w="194" w:type="pct"/>
            <w:tcBorders>
              <w:top w:val="nil"/>
              <w:left w:val="nil"/>
              <w:bottom w:val="single" w:sz="4" w:space="0" w:color="auto"/>
              <w:right w:val="single" w:sz="4" w:space="0" w:color="auto"/>
            </w:tcBorders>
            <w:noWrap/>
            <w:hideMark/>
          </w:tcPr>
          <w:p w14:paraId="1A5B3B6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w:t>
            </w:r>
          </w:p>
        </w:tc>
        <w:tc>
          <w:tcPr>
            <w:tcW w:w="243" w:type="pct"/>
            <w:tcBorders>
              <w:top w:val="nil"/>
              <w:left w:val="nil"/>
              <w:bottom w:val="single" w:sz="4" w:space="0" w:color="auto"/>
              <w:right w:val="single" w:sz="4" w:space="0" w:color="auto"/>
            </w:tcBorders>
            <w:hideMark/>
          </w:tcPr>
          <w:p w14:paraId="390292B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45</w:t>
            </w:r>
          </w:p>
        </w:tc>
        <w:tc>
          <w:tcPr>
            <w:tcW w:w="243" w:type="pct"/>
            <w:tcBorders>
              <w:top w:val="nil"/>
              <w:left w:val="nil"/>
              <w:bottom w:val="single" w:sz="4" w:space="0" w:color="auto"/>
              <w:right w:val="single" w:sz="4" w:space="0" w:color="auto"/>
            </w:tcBorders>
            <w:hideMark/>
          </w:tcPr>
          <w:p w14:paraId="32C36E7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48</w:t>
            </w:r>
          </w:p>
        </w:tc>
        <w:tc>
          <w:tcPr>
            <w:tcW w:w="341" w:type="pct"/>
            <w:tcBorders>
              <w:top w:val="nil"/>
              <w:left w:val="nil"/>
              <w:bottom w:val="single" w:sz="4" w:space="0" w:color="auto"/>
              <w:right w:val="single" w:sz="4" w:space="0" w:color="auto"/>
            </w:tcBorders>
            <w:hideMark/>
          </w:tcPr>
          <w:p w14:paraId="0E70B77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6,3%</w:t>
            </w:r>
          </w:p>
        </w:tc>
        <w:tc>
          <w:tcPr>
            <w:tcW w:w="438" w:type="pct"/>
            <w:tcBorders>
              <w:top w:val="nil"/>
              <w:left w:val="nil"/>
              <w:bottom w:val="single" w:sz="4" w:space="0" w:color="auto"/>
              <w:right w:val="single" w:sz="4" w:space="0" w:color="auto"/>
            </w:tcBorders>
            <w:hideMark/>
          </w:tcPr>
          <w:p w14:paraId="153B6F4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93,8%</w:t>
            </w:r>
          </w:p>
        </w:tc>
        <w:tc>
          <w:tcPr>
            <w:tcW w:w="446" w:type="pct"/>
            <w:tcBorders>
              <w:top w:val="nil"/>
              <w:left w:val="nil"/>
              <w:bottom w:val="single" w:sz="4" w:space="0" w:color="auto"/>
              <w:right w:val="single" w:sz="4" w:space="0" w:color="auto"/>
            </w:tcBorders>
            <w:noWrap/>
            <w:hideMark/>
          </w:tcPr>
          <w:p w14:paraId="2429CEB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1,6%</w:t>
            </w:r>
          </w:p>
        </w:tc>
        <w:tc>
          <w:tcPr>
            <w:tcW w:w="333" w:type="pct"/>
            <w:tcBorders>
              <w:top w:val="nil"/>
              <w:left w:val="nil"/>
              <w:bottom w:val="single" w:sz="4" w:space="0" w:color="auto"/>
              <w:right w:val="single" w:sz="4" w:space="0" w:color="auto"/>
            </w:tcBorders>
            <w:noWrap/>
            <w:hideMark/>
          </w:tcPr>
          <w:p w14:paraId="72EC11F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4" w:type="pct"/>
            <w:tcBorders>
              <w:top w:val="nil"/>
              <w:left w:val="nil"/>
              <w:bottom w:val="single" w:sz="4" w:space="0" w:color="auto"/>
              <w:right w:val="single" w:sz="4" w:space="0" w:color="auto"/>
            </w:tcBorders>
            <w:hideMark/>
          </w:tcPr>
          <w:p w14:paraId="657A994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43</w:t>
            </w:r>
          </w:p>
        </w:tc>
        <w:tc>
          <w:tcPr>
            <w:tcW w:w="340" w:type="pct"/>
            <w:tcBorders>
              <w:top w:val="nil"/>
              <w:left w:val="nil"/>
              <w:bottom w:val="single" w:sz="4" w:space="0" w:color="auto"/>
              <w:right w:val="single" w:sz="4" w:space="0" w:color="auto"/>
            </w:tcBorders>
            <w:hideMark/>
          </w:tcPr>
          <w:p w14:paraId="2B583E5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45</w:t>
            </w:r>
          </w:p>
        </w:tc>
        <w:tc>
          <w:tcPr>
            <w:tcW w:w="439" w:type="pct"/>
            <w:tcBorders>
              <w:top w:val="nil"/>
              <w:left w:val="nil"/>
              <w:bottom w:val="single" w:sz="4" w:space="0" w:color="auto"/>
              <w:right w:val="single" w:sz="4" w:space="0" w:color="auto"/>
            </w:tcBorders>
            <w:hideMark/>
          </w:tcPr>
          <w:p w14:paraId="735C9D3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4,4%</w:t>
            </w:r>
          </w:p>
        </w:tc>
        <w:tc>
          <w:tcPr>
            <w:tcW w:w="292" w:type="pct"/>
            <w:tcBorders>
              <w:top w:val="nil"/>
              <w:left w:val="nil"/>
              <w:bottom w:val="single" w:sz="4" w:space="0" w:color="auto"/>
              <w:right w:val="single" w:sz="4" w:space="0" w:color="auto"/>
            </w:tcBorders>
            <w:hideMark/>
          </w:tcPr>
          <w:p w14:paraId="430852B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95,6%</w:t>
            </w:r>
          </w:p>
        </w:tc>
        <w:tc>
          <w:tcPr>
            <w:tcW w:w="377" w:type="pct"/>
            <w:tcBorders>
              <w:top w:val="nil"/>
              <w:left w:val="nil"/>
              <w:bottom w:val="single" w:sz="4" w:space="0" w:color="auto"/>
              <w:right w:val="single" w:sz="4" w:space="0" w:color="auto"/>
            </w:tcBorders>
            <w:noWrap/>
            <w:hideMark/>
          </w:tcPr>
          <w:p w14:paraId="315A53E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1,5%</w:t>
            </w:r>
          </w:p>
        </w:tc>
      </w:tr>
      <w:tr w:rsidR="00BD1EFA" w:rsidRPr="001127D6" w14:paraId="08280026"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66DF00A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lastRenderedPageBreak/>
              <w:t>30</w:t>
            </w:r>
          </w:p>
        </w:tc>
        <w:tc>
          <w:tcPr>
            <w:tcW w:w="486" w:type="pct"/>
            <w:tcBorders>
              <w:top w:val="nil"/>
              <w:left w:val="nil"/>
              <w:bottom w:val="single" w:sz="4" w:space="0" w:color="auto"/>
              <w:right w:val="single" w:sz="4" w:space="0" w:color="auto"/>
            </w:tcBorders>
            <w:noWrap/>
            <w:hideMark/>
          </w:tcPr>
          <w:p w14:paraId="1428342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Кочковский район</w:t>
            </w:r>
          </w:p>
        </w:tc>
        <w:tc>
          <w:tcPr>
            <w:tcW w:w="243" w:type="pct"/>
            <w:tcBorders>
              <w:top w:val="nil"/>
              <w:left w:val="nil"/>
              <w:bottom w:val="single" w:sz="4" w:space="0" w:color="auto"/>
              <w:right w:val="single" w:sz="4" w:space="0" w:color="auto"/>
            </w:tcBorders>
            <w:noWrap/>
            <w:hideMark/>
          </w:tcPr>
          <w:p w14:paraId="6566565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46</w:t>
            </w:r>
          </w:p>
        </w:tc>
        <w:tc>
          <w:tcPr>
            <w:tcW w:w="195" w:type="pct"/>
            <w:tcBorders>
              <w:top w:val="nil"/>
              <w:left w:val="nil"/>
              <w:bottom w:val="single" w:sz="4" w:space="0" w:color="auto"/>
              <w:right w:val="single" w:sz="4" w:space="0" w:color="auto"/>
            </w:tcBorders>
            <w:noWrap/>
            <w:hideMark/>
          </w:tcPr>
          <w:p w14:paraId="220B706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45</w:t>
            </w:r>
          </w:p>
        </w:tc>
        <w:tc>
          <w:tcPr>
            <w:tcW w:w="194" w:type="pct"/>
            <w:tcBorders>
              <w:top w:val="nil"/>
              <w:left w:val="nil"/>
              <w:bottom w:val="single" w:sz="4" w:space="0" w:color="auto"/>
              <w:right w:val="single" w:sz="4" w:space="0" w:color="auto"/>
            </w:tcBorders>
            <w:noWrap/>
            <w:hideMark/>
          </w:tcPr>
          <w:p w14:paraId="2BE49BC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w:t>
            </w:r>
          </w:p>
        </w:tc>
        <w:tc>
          <w:tcPr>
            <w:tcW w:w="243" w:type="pct"/>
            <w:tcBorders>
              <w:top w:val="nil"/>
              <w:left w:val="nil"/>
              <w:bottom w:val="single" w:sz="4" w:space="0" w:color="auto"/>
              <w:right w:val="single" w:sz="4" w:space="0" w:color="auto"/>
            </w:tcBorders>
            <w:hideMark/>
          </w:tcPr>
          <w:p w14:paraId="7C38F22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41</w:t>
            </w:r>
          </w:p>
        </w:tc>
        <w:tc>
          <w:tcPr>
            <w:tcW w:w="243" w:type="pct"/>
            <w:tcBorders>
              <w:top w:val="nil"/>
              <w:left w:val="nil"/>
              <w:bottom w:val="single" w:sz="4" w:space="0" w:color="auto"/>
              <w:right w:val="single" w:sz="4" w:space="0" w:color="auto"/>
            </w:tcBorders>
            <w:hideMark/>
          </w:tcPr>
          <w:p w14:paraId="2FAE288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46</w:t>
            </w:r>
          </w:p>
        </w:tc>
        <w:tc>
          <w:tcPr>
            <w:tcW w:w="341" w:type="pct"/>
            <w:tcBorders>
              <w:top w:val="nil"/>
              <w:left w:val="nil"/>
              <w:bottom w:val="single" w:sz="4" w:space="0" w:color="auto"/>
              <w:right w:val="single" w:sz="4" w:space="0" w:color="auto"/>
            </w:tcBorders>
            <w:hideMark/>
          </w:tcPr>
          <w:p w14:paraId="475631D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10,9%</w:t>
            </w:r>
          </w:p>
        </w:tc>
        <w:tc>
          <w:tcPr>
            <w:tcW w:w="438" w:type="pct"/>
            <w:tcBorders>
              <w:top w:val="nil"/>
              <w:left w:val="nil"/>
              <w:bottom w:val="single" w:sz="4" w:space="0" w:color="auto"/>
              <w:right w:val="single" w:sz="4" w:space="0" w:color="auto"/>
            </w:tcBorders>
            <w:hideMark/>
          </w:tcPr>
          <w:p w14:paraId="50C2DAA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89,1%</w:t>
            </w:r>
          </w:p>
        </w:tc>
        <w:tc>
          <w:tcPr>
            <w:tcW w:w="446" w:type="pct"/>
            <w:tcBorders>
              <w:top w:val="nil"/>
              <w:left w:val="nil"/>
              <w:bottom w:val="single" w:sz="4" w:space="0" w:color="auto"/>
              <w:right w:val="single" w:sz="4" w:space="0" w:color="auto"/>
            </w:tcBorders>
            <w:noWrap/>
            <w:hideMark/>
          </w:tcPr>
          <w:p w14:paraId="5E4BE2F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1,5%</w:t>
            </w:r>
          </w:p>
        </w:tc>
        <w:tc>
          <w:tcPr>
            <w:tcW w:w="333" w:type="pct"/>
            <w:tcBorders>
              <w:top w:val="nil"/>
              <w:left w:val="nil"/>
              <w:bottom w:val="single" w:sz="4" w:space="0" w:color="auto"/>
              <w:right w:val="single" w:sz="4" w:space="0" w:color="auto"/>
            </w:tcBorders>
            <w:noWrap/>
            <w:hideMark/>
          </w:tcPr>
          <w:p w14:paraId="204EAF1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4" w:type="pct"/>
            <w:tcBorders>
              <w:top w:val="nil"/>
              <w:left w:val="nil"/>
              <w:bottom w:val="single" w:sz="4" w:space="0" w:color="auto"/>
              <w:right w:val="single" w:sz="4" w:space="0" w:color="auto"/>
            </w:tcBorders>
            <w:hideMark/>
          </w:tcPr>
          <w:p w14:paraId="05A0CAC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41</w:t>
            </w:r>
          </w:p>
        </w:tc>
        <w:tc>
          <w:tcPr>
            <w:tcW w:w="340" w:type="pct"/>
            <w:tcBorders>
              <w:top w:val="nil"/>
              <w:left w:val="nil"/>
              <w:bottom w:val="single" w:sz="4" w:space="0" w:color="auto"/>
              <w:right w:val="single" w:sz="4" w:space="0" w:color="auto"/>
            </w:tcBorders>
            <w:hideMark/>
          </w:tcPr>
          <w:p w14:paraId="048FBC3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43</w:t>
            </w:r>
          </w:p>
        </w:tc>
        <w:tc>
          <w:tcPr>
            <w:tcW w:w="439" w:type="pct"/>
            <w:tcBorders>
              <w:top w:val="nil"/>
              <w:left w:val="nil"/>
              <w:bottom w:val="single" w:sz="4" w:space="0" w:color="auto"/>
              <w:right w:val="single" w:sz="4" w:space="0" w:color="auto"/>
            </w:tcBorders>
            <w:hideMark/>
          </w:tcPr>
          <w:p w14:paraId="19352D6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4,7%</w:t>
            </w:r>
          </w:p>
        </w:tc>
        <w:tc>
          <w:tcPr>
            <w:tcW w:w="292" w:type="pct"/>
            <w:tcBorders>
              <w:top w:val="nil"/>
              <w:left w:val="nil"/>
              <w:bottom w:val="single" w:sz="4" w:space="0" w:color="auto"/>
              <w:right w:val="single" w:sz="4" w:space="0" w:color="auto"/>
            </w:tcBorders>
            <w:hideMark/>
          </w:tcPr>
          <w:p w14:paraId="281AA51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95,3%</w:t>
            </w:r>
          </w:p>
        </w:tc>
        <w:tc>
          <w:tcPr>
            <w:tcW w:w="377" w:type="pct"/>
            <w:tcBorders>
              <w:top w:val="nil"/>
              <w:left w:val="nil"/>
              <w:bottom w:val="single" w:sz="4" w:space="0" w:color="auto"/>
              <w:right w:val="single" w:sz="4" w:space="0" w:color="auto"/>
            </w:tcBorders>
            <w:noWrap/>
            <w:hideMark/>
          </w:tcPr>
          <w:p w14:paraId="213BA4A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1,5%</w:t>
            </w:r>
          </w:p>
        </w:tc>
      </w:tr>
      <w:tr w:rsidR="00BD1EFA" w:rsidRPr="001127D6" w14:paraId="123DE617"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019A59B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31</w:t>
            </w:r>
          </w:p>
        </w:tc>
        <w:tc>
          <w:tcPr>
            <w:tcW w:w="486" w:type="pct"/>
            <w:tcBorders>
              <w:top w:val="nil"/>
              <w:left w:val="nil"/>
              <w:bottom w:val="single" w:sz="4" w:space="0" w:color="auto"/>
              <w:right w:val="single" w:sz="4" w:space="0" w:color="auto"/>
            </w:tcBorders>
            <w:noWrap/>
            <w:hideMark/>
          </w:tcPr>
          <w:p w14:paraId="1971A0B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Баганский район</w:t>
            </w:r>
          </w:p>
        </w:tc>
        <w:tc>
          <w:tcPr>
            <w:tcW w:w="243" w:type="pct"/>
            <w:tcBorders>
              <w:top w:val="nil"/>
              <w:left w:val="nil"/>
              <w:bottom w:val="single" w:sz="4" w:space="0" w:color="auto"/>
              <w:right w:val="single" w:sz="4" w:space="0" w:color="auto"/>
            </w:tcBorders>
            <w:noWrap/>
            <w:hideMark/>
          </w:tcPr>
          <w:p w14:paraId="3730873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32</w:t>
            </w:r>
          </w:p>
        </w:tc>
        <w:tc>
          <w:tcPr>
            <w:tcW w:w="195" w:type="pct"/>
            <w:tcBorders>
              <w:top w:val="nil"/>
              <w:left w:val="nil"/>
              <w:bottom w:val="single" w:sz="4" w:space="0" w:color="auto"/>
              <w:right w:val="single" w:sz="4" w:space="0" w:color="auto"/>
            </w:tcBorders>
            <w:noWrap/>
            <w:hideMark/>
          </w:tcPr>
          <w:p w14:paraId="5BC1424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34</w:t>
            </w:r>
          </w:p>
        </w:tc>
        <w:tc>
          <w:tcPr>
            <w:tcW w:w="194" w:type="pct"/>
            <w:tcBorders>
              <w:top w:val="nil"/>
              <w:left w:val="nil"/>
              <w:bottom w:val="single" w:sz="4" w:space="0" w:color="auto"/>
              <w:right w:val="single" w:sz="4" w:space="0" w:color="auto"/>
            </w:tcBorders>
            <w:noWrap/>
            <w:hideMark/>
          </w:tcPr>
          <w:p w14:paraId="2018A3C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w:t>
            </w:r>
          </w:p>
        </w:tc>
        <w:tc>
          <w:tcPr>
            <w:tcW w:w="243" w:type="pct"/>
            <w:tcBorders>
              <w:top w:val="nil"/>
              <w:left w:val="nil"/>
              <w:bottom w:val="single" w:sz="4" w:space="0" w:color="auto"/>
              <w:right w:val="single" w:sz="4" w:space="0" w:color="auto"/>
            </w:tcBorders>
            <w:hideMark/>
          </w:tcPr>
          <w:p w14:paraId="6C4F675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42</w:t>
            </w:r>
          </w:p>
        </w:tc>
        <w:tc>
          <w:tcPr>
            <w:tcW w:w="243" w:type="pct"/>
            <w:tcBorders>
              <w:top w:val="nil"/>
              <w:left w:val="nil"/>
              <w:bottom w:val="single" w:sz="4" w:space="0" w:color="auto"/>
              <w:right w:val="single" w:sz="4" w:space="0" w:color="auto"/>
            </w:tcBorders>
            <w:hideMark/>
          </w:tcPr>
          <w:p w14:paraId="3D3CB6A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45</w:t>
            </w:r>
          </w:p>
        </w:tc>
        <w:tc>
          <w:tcPr>
            <w:tcW w:w="341" w:type="pct"/>
            <w:tcBorders>
              <w:top w:val="nil"/>
              <w:left w:val="nil"/>
              <w:bottom w:val="single" w:sz="4" w:space="0" w:color="auto"/>
              <w:right w:val="single" w:sz="4" w:space="0" w:color="auto"/>
            </w:tcBorders>
            <w:hideMark/>
          </w:tcPr>
          <w:p w14:paraId="5D38A95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6,7%</w:t>
            </w:r>
          </w:p>
        </w:tc>
        <w:tc>
          <w:tcPr>
            <w:tcW w:w="438" w:type="pct"/>
            <w:tcBorders>
              <w:top w:val="nil"/>
              <w:left w:val="nil"/>
              <w:bottom w:val="single" w:sz="4" w:space="0" w:color="auto"/>
              <w:right w:val="single" w:sz="4" w:space="0" w:color="auto"/>
            </w:tcBorders>
            <w:hideMark/>
          </w:tcPr>
          <w:p w14:paraId="61C56C0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93,3%</w:t>
            </w:r>
          </w:p>
        </w:tc>
        <w:tc>
          <w:tcPr>
            <w:tcW w:w="446" w:type="pct"/>
            <w:tcBorders>
              <w:top w:val="nil"/>
              <w:left w:val="nil"/>
              <w:bottom w:val="single" w:sz="4" w:space="0" w:color="auto"/>
              <w:right w:val="single" w:sz="4" w:space="0" w:color="auto"/>
            </w:tcBorders>
            <w:noWrap/>
            <w:hideMark/>
          </w:tcPr>
          <w:p w14:paraId="6DCE71A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1,5%</w:t>
            </w:r>
          </w:p>
        </w:tc>
        <w:tc>
          <w:tcPr>
            <w:tcW w:w="333" w:type="pct"/>
            <w:tcBorders>
              <w:top w:val="nil"/>
              <w:left w:val="nil"/>
              <w:bottom w:val="single" w:sz="4" w:space="0" w:color="auto"/>
              <w:right w:val="single" w:sz="4" w:space="0" w:color="auto"/>
            </w:tcBorders>
            <w:noWrap/>
            <w:hideMark/>
          </w:tcPr>
          <w:p w14:paraId="23EB127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4" w:type="pct"/>
            <w:tcBorders>
              <w:top w:val="nil"/>
              <w:left w:val="nil"/>
              <w:bottom w:val="single" w:sz="4" w:space="0" w:color="auto"/>
              <w:right w:val="single" w:sz="4" w:space="0" w:color="auto"/>
            </w:tcBorders>
            <w:hideMark/>
          </w:tcPr>
          <w:p w14:paraId="0C2F862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33</w:t>
            </w:r>
          </w:p>
        </w:tc>
        <w:tc>
          <w:tcPr>
            <w:tcW w:w="340" w:type="pct"/>
            <w:tcBorders>
              <w:top w:val="nil"/>
              <w:left w:val="nil"/>
              <w:bottom w:val="single" w:sz="4" w:space="0" w:color="auto"/>
              <w:right w:val="single" w:sz="4" w:space="0" w:color="auto"/>
            </w:tcBorders>
            <w:hideMark/>
          </w:tcPr>
          <w:p w14:paraId="1639EE0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35</w:t>
            </w:r>
          </w:p>
        </w:tc>
        <w:tc>
          <w:tcPr>
            <w:tcW w:w="439" w:type="pct"/>
            <w:tcBorders>
              <w:top w:val="nil"/>
              <w:left w:val="nil"/>
              <w:bottom w:val="single" w:sz="4" w:space="0" w:color="auto"/>
              <w:right w:val="single" w:sz="4" w:space="0" w:color="auto"/>
            </w:tcBorders>
            <w:hideMark/>
          </w:tcPr>
          <w:p w14:paraId="476DE31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5,7%</w:t>
            </w:r>
          </w:p>
        </w:tc>
        <w:tc>
          <w:tcPr>
            <w:tcW w:w="292" w:type="pct"/>
            <w:tcBorders>
              <w:top w:val="nil"/>
              <w:left w:val="nil"/>
              <w:bottom w:val="single" w:sz="4" w:space="0" w:color="auto"/>
              <w:right w:val="single" w:sz="4" w:space="0" w:color="auto"/>
            </w:tcBorders>
            <w:hideMark/>
          </w:tcPr>
          <w:p w14:paraId="5DAE44B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94,3%</w:t>
            </w:r>
          </w:p>
        </w:tc>
        <w:tc>
          <w:tcPr>
            <w:tcW w:w="377" w:type="pct"/>
            <w:tcBorders>
              <w:top w:val="nil"/>
              <w:left w:val="nil"/>
              <w:bottom w:val="single" w:sz="4" w:space="0" w:color="auto"/>
              <w:right w:val="single" w:sz="4" w:space="0" w:color="auto"/>
            </w:tcBorders>
            <w:noWrap/>
            <w:hideMark/>
          </w:tcPr>
          <w:p w14:paraId="0190273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1,2%</w:t>
            </w:r>
          </w:p>
        </w:tc>
      </w:tr>
      <w:tr w:rsidR="00BD1EFA" w:rsidRPr="001127D6" w14:paraId="727928C0"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6BB0CA2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32</w:t>
            </w:r>
          </w:p>
        </w:tc>
        <w:tc>
          <w:tcPr>
            <w:tcW w:w="486" w:type="pct"/>
            <w:tcBorders>
              <w:top w:val="nil"/>
              <w:left w:val="nil"/>
              <w:bottom w:val="single" w:sz="4" w:space="0" w:color="auto"/>
              <w:right w:val="single" w:sz="4" w:space="0" w:color="auto"/>
            </w:tcBorders>
            <w:noWrap/>
            <w:hideMark/>
          </w:tcPr>
          <w:p w14:paraId="7848690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Северный район</w:t>
            </w:r>
          </w:p>
        </w:tc>
        <w:tc>
          <w:tcPr>
            <w:tcW w:w="243" w:type="pct"/>
            <w:tcBorders>
              <w:top w:val="nil"/>
              <w:left w:val="nil"/>
              <w:bottom w:val="single" w:sz="4" w:space="0" w:color="auto"/>
              <w:right w:val="single" w:sz="4" w:space="0" w:color="auto"/>
            </w:tcBorders>
            <w:noWrap/>
            <w:hideMark/>
          </w:tcPr>
          <w:p w14:paraId="0CF17FB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16</w:t>
            </w:r>
          </w:p>
        </w:tc>
        <w:tc>
          <w:tcPr>
            <w:tcW w:w="195" w:type="pct"/>
            <w:tcBorders>
              <w:top w:val="nil"/>
              <w:left w:val="nil"/>
              <w:bottom w:val="single" w:sz="4" w:space="0" w:color="auto"/>
              <w:right w:val="single" w:sz="4" w:space="0" w:color="auto"/>
            </w:tcBorders>
            <w:noWrap/>
            <w:hideMark/>
          </w:tcPr>
          <w:p w14:paraId="27BD716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34</w:t>
            </w:r>
          </w:p>
        </w:tc>
        <w:tc>
          <w:tcPr>
            <w:tcW w:w="194" w:type="pct"/>
            <w:tcBorders>
              <w:top w:val="nil"/>
              <w:left w:val="nil"/>
              <w:bottom w:val="single" w:sz="4" w:space="0" w:color="auto"/>
              <w:right w:val="single" w:sz="4" w:space="0" w:color="auto"/>
            </w:tcBorders>
            <w:noWrap/>
            <w:hideMark/>
          </w:tcPr>
          <w:p w14:paraId="29B4B27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w:t>
            </w:r>
          </w:p>
        </w:tc>
        <w:tc>
          <w:tcPr>
            <w:tcW w:w="243" w:type="pct"/>
            <w:tcBorders>
              <w:top w:val="nil"/>
              <w:left w:val="nil"/>
              <w:bottom w:val="single" w:sz="4" w:space="0" w:color="auto"/>
              <w:right w:val="single" w:sz="4" w:space="0" w:color="auto"/>
            </w:tcBorders>
            <w:hideMark/>
          </w:tcPr>
          <w:p w14:paraId="1430747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37</w:t>
            </w:r>
          </w:p>
        </w:tc>
        <w:tc>
          <w:tcPr>
            <w:tcW w:w="243" w:type="pct"/>
            <w:tcBorders>
              <w:top w:val="nil"/>
              <w:left w:val="nil"/>
              <w:bottom w:val="single" w:sz="4" w:space="0" w:color="auto"/>
              <w:right w:val="single" w:sz="4" w:space="0" w:color="auto"/>
            </w:tcBorders>
            <w:hideMark/>
          </w:tcPr>
          <w:p w14:paraId="21F0301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40</w:t>
            </w:r>
          </w:p>
        </w:tc>
        <w:tc>
          <w:tcPr>
            <w:tcW w:w="341" w:type="pct"/>
            <w:tcBorders>
              <w:top w:val="nil"/>
              <w:left w:val="nil"/>
              <w:bottom w:val="single" w:sz="4" w:space="0" w:color="auto"/>
              <w:right w:val="single" w:sz="4" w:space="0" w:color="auto"/>
            </w:tcBorders>
            <w:hideMark/>
          </w:tcPr>
          <w:p w14:paraId="1672247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7,5%</w:t>
            </w:r>
          </w:p>
        </w:tc>
        <w:tc>
          <w:tcPr>
            <w:tcW w:w="438" w:type="pct"/>
            <w:tcBorders>
              <w:top w:val="nil"/>
              <w:left w:val="nil"/>
              <w:bottom w:val="single" w:sz="4" w:space="0" w:color="auto"/>
              <w:right w:val="single" w:sz="4" w:space="0" w:color="auto"/>
            </w:tcBorders>
            <w:hideMark/>
          </w:tcPr>
          <w:p w14:paraId="33EEE7D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92,5%</w:t>
            </w:r>
          </w:p>
        </w:tc>
        <w:tc>
          <w:tcPr>
            <w:tcW w:w="446" w:type="pct"/>
            <w:tcBorders>
              <w:top w:val="nil"/>
              <w:left w:val="nil"/>
              <w:bottom w:val="single" w:sz="4" w:space="0" w:color="auto"/>
              <w:right w:val="single" w:sz="4" w:space="0" w:color="auto"/>
            </w:tcBorders>
            <w:noWrap/>
            <w:hideMark/>
          </w:tcPr>
          <w:p w14:paraId="6F4001E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1,3%</w:t>
            </w:r>
          </w:p>
        </w:tc>
        <w:tc>
          <w:tcPr>
            <w:tcW w:w="333" w:type="pct"/>
            <w:tcBorders>
              <w:top w:val="nil"/>
              <w:left w:val="nil"/>
              <w:bottom w:val="single" w:sz="4" w:space="0" w:color="auto"/>
              <w:right w:val="single" w:sz="4" w:space="0" w:color="auto"/>
            </w:tcBorders>
            <w:noWrap/>
            <w:hideMark/>
          </w:tcPr>
          <w:p w14:paraId="059712D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4" w:type="pct"/>
            <w:tcBorders>
              <w:top w:val="nil"/>
              <w:left w:val="nil"/>
              <w:bottom w:val="single" w:sz="4" w:space="0" w:color="auto"/>
              <w:right w:val="single" w:sz="4" w:space="0" w:color="auto"/>
            </w:tcBorders>
            <w:hideMark/>
          </w:tcPr>
          <w:p w14:paraId="0FBA232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28</w:t>
            </w:r>
          </w:p>
        </w:tc>
        <w:tc>
          <w:tcPr>
            <w:tcW w:w="340" w:type="pct"/>
            <w:tcBorders>
              <w:top w:val="nil"/>
              <w:left w:val="nil"/>
              <w:bottom w:val="single" w:sz="4" w:space="0" w:color="auto"/>
              <w:right w:val="single" w:sz="4" w:space="0" w:color="auto"/>
            </w:tcBorders>
            <w:hideMark/>
          </w:tcPr>
          <w:p w14:paraId="72E3B50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30</w:t>
            </w:r>
          </w:p>
        </w:tc>
        <w:tc>
          <w:tcPr>
            <w:tcW w:w="439" w:type="pct"/>
            <w:tcBorders>
              <w:top w:val="nil"/>
              <w:left w:val="nil"/>
              <w:bottom w:val="single" w:sz="4" w:space="0" w:color="auto"/>
              <w:right w:val="single" w:sz="4" w:space="0" w:color="auto"/>
            </w:tcBorders>
            <w:hideMark/>
          </w:tcPr>
          <w:p w14:paraId="24A5E02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6,7%</w:t>
            </w:r>
          </w:p>
        </w:tc>
        <w:tc>
          <w:tcPr>
            <w:tcW w:w="292" w:type="pct"/>
            <w:tcBorders>
              <w:top w:val="nil"/>
              <w:left w:val="nil"/>
              <w:bottom w:val="single" w:sz="4" w:space="0" w:color="auto"/>
              <w:right w:val="single" w:sz="4" w:space="0" w:color="auto"/>
            </w:tcBorders>
            <w:hideMark/>
          </w:tcPr>
          <w:p w14:paraId="0A94508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93,3%</w:t>
            </w:r>
          </w:p>
        </w:tc>
        <w:tc>
          <w:tcPr>
            <w:tcW w:w="377" w:type="pct"/>
            <w:tcBorders>
              <w:top w:val="nil"/>
              <w:left w:val="nil"/>
              <w:bottom w:val="single" w:sz="4" w:space="0" w:color="auto"/>
              <w:right w:val="single" w:sz="4" w:space="0" w:color="auto"/>
            </w:tcBorders>
            <w:noWrap/>
            <w:hideMark/>
          </w:tcPr>
          <w:p w14:paraId="76E2B65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w:t>
            </w:r>
          </w:p>
        </w:tc>
      </w:tr>
      <w:tr w:rsidR="00BD1EFA" w:rsidRPr="001127D6" w14:paraId="02F887E8"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2D1D3A2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33</w:t>
            </w:r>
          </w:p>
        </w:tc>
        <w:tc>
          <w:tcPr>
            <w:tcW w:w="486" w:type="pct"/>
            <w:tcBorders>
              <w:top w:val="nil"/>
              <w:left w:val="nil"/>
              <w:bottom w:val="single" w:sz="4" w:space="0" w:color="auto"/>
              <w:right w:val="single" w:sz="4" w:space="0" w:color="auto"/>
            </w:tcBorders>
            <w:noWrap/>
            <w:hideMark/>
          </w:tcPr>
          <w:p w14:paraId="554D7D8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Усть-Таркский район</w:t>
            </w:r>
          </w:p>
        </w:tc>
        <w:tc>
          <w:tcPr>
            <w:tcW w:w="243" w:type="pct"/>
            <w:tcBorders>
              <w:top w:val="nil"/>
              <w:left w:val="nil"/>
              <w:bottom w:val="single" w:sz="4" w:space="0" w:color="auto"/>
              <w:right w:val="single" w:sz="4" w:space="0" w:color="auto"/>
            </w:tcBorders>
            <w:noWrap/>
            <w:hideMark/>
          </w:tcPr>
          <w:p w14:paraId="18D5923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37</w:t>
            </w:r>
          </w:p>
        </w:tc>
        <w:tc>
          <w:tcPr>
            <w:tcW w:w="195" w:type="pct"/>
            <w:tcBorders>
              <w:top w:val="nil"/>
              <w:left w:val="nil"/>
              <w:bottom w:val="single" w:sz="4" w:space="0" w:color="auto"/>
              <w:right w:val="single" w:sz="4" w:space="0" w:color="auto"/>
            </w:tcBorders>
            <w:noWrap/>
            <w:hideMark/>
          </w:tcPr>
          <w:p w14:paraId="545615B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36</w:t>
            </w:r>
          </w:p>
        </w:tc>
        <w:tc>
          <w:tcPr>
            <w:tcW w:w="194" w:type="pct"/>
            <w:tcBorders>
              <w:top w:val="nil"/>
              <w:left w:val="nil"/>
              <w:bottom w:val="single" w:sz="4" w:space="0" w:color="auto"/>
              <w:right w:val="single" w:sz="4" w:space="0" w:color="auto"/>
            </w:tcBorders>
            <w:noWrap/>
            <w:hideMark/>
          </w:tcPr>
          <w:p w14:paraId="058C55B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3" w:type="pct"/>
            <w:tcBorders>
              <w:top w:val="nil"/>
              <w:left w:val="nil"/>
              <w:bottom w:val="single" w:sz="4" w:space="0" w:color="auto"/>
              <w:right w:val="single" w:sz="4" w:space="0" w:color="auto"/>
            </w:tcBorders>
            <w:hideMark/>
          </w:tcPr>
          <w:p w14:paraId="73C027F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29</w:t>
            </w:r>
          </w:p>
        </w:tc>
        <w:tc>
          <w:tcPr>
            <w:tcW w:w="243" w:type="pct"/>
            <w:tcBorders>
              <w:top w:val="nil"/>
              <w:left w:val="nil"/>
              <w:bottom w:val="single" w:sz="4" w:space="0" w:color="auto"/>
              <w:right w:val="single" w:sz="4" w:space="0" w:color="auto"/>
            </w:tcBorders>
            <w:hideMark/>
          </w:tcPr>
          <w:p w14:paraId="2DC9FF3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31</w:t>
            </w:r>
          </w:p>
        </w:tc>
        <w:tc>
          <w:tcPr>
            <w:tcW w:w="341" w:type="pct"/>
            <w:tcBorders>
              <w:top w:val="nil"/>
              <w:left w:val="nil"/>
              <w:bottom w:val="single" w:sz="4" w:space="0" w:color="auto"/>
              <w:right w:val="single" w:sz="4" w:space="0" w:color="auto"/>
            </w:tcBorders>
            <w:hideMark/>
          </w:tcPr>
          <w:p w14:paraId="39504B0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6,5%</w:t>
            </w:r>
          </w:p>
        </w:tc>
        <w:tc>
          <w:tcPr>
            <w:tcW w:w="438" w:type="pct"/>
            <w:tcBorders>
              <w:top w:val="nil"/>
              <w:left w:val="nil"/>
              <w:bottom w:val="single" w:sz="4" w:space="0" w:color="auto"/>
              <w:right w:val="single" w:sz="4" w:space="0" w:color="auto"/>
            </w:tcBorders>
            <w:hideMark/>
          </w:tcPr>
          <w:p w14:paraId="585B1CE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93,5%</w:t>
            </w:r>
          </w:p>
        </w:tc>
        <w:tc>
          <w:tcPr>
            <w:tcW w:w="446" w:type="pct"/>
            <w:tcBorders>
              <w:top w:val="nil"/>
              <w:left w:val="nil"/>
              <w:bottom w:val="single" w:sz="4" w:space="0" w:color="auto"/>
              <w:right w:val="single" w:sz="4" w:space="0" w:color="auto"/>
            </w:tcBorders>
            <w:noWrap/>
            <w:hideMark/>
          </w:tcPr>
          <w:p w14:paraId="3A7120E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w:t>
            </w:r>
          </w:p>
        </w:tc>
        <w:tc>
          <w:tcPr>
            <w:tcW w:w="333" w:type="pct"/>
            <w:tcBorders>
              <w:top w:val="nil"/>
              <w:left w:val="nil"/>
              <w:bottom w:val="single" w:sz="4" w:space="0" w:color="auto"/>
              <w:right w:val="single" w:sz="4" w:space="0" w:color="auto"/>
            </w:tcBorders>
            <w:noWrap/>
            <w:hideMark/>
          </w:tcPr>
          <w:p w14:paraId="2107832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4" w:type="pct"/>
            <w:tcBorders>
              <w:top w:val="nil"/>
              <w:left w:val="nil"/>
              <w:bottom w:val="single" w:sz="4" w:space="0" w:color="auto"/>
              <w:right w:val="single" w:sz="4" w:space="0" w:color="auto"/>
            </w:tcBorders>
            <w:hideMark/>
          </w:tcPr>
          <w:p w14:paraId="38401F9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28</w:t>
            </w:r>
          </w:p>
        </w:tc>
        <w:tc>
          <w:tcPr>
            <w:tcW w:w="340" w:type="pct"/>
            <w:tcBorders>
              <w:top w:val="nil"/>
              <w:left w:val="nil"/>
              <w:bottom w:val="single" w:sz="4" w:space="0" w:color="auto"/>
              <w:right w:val="single" w:sz="4" w:space="0" w:color="auto"/>
            </w:tcBorders>
            <w:hideMark/>
          </w:tcPr>
          <w:p w14:paraId="0F09310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30</w:t>
            </w:r>
          </w:p>
        </w:tc>
        <w:tc>
          <w:tcPr>
            <w:tcW w:w="439" w:type="pct"/>
            <w:tcBorders>
              <w:top w:val="nil"/>
              <w:left w:val="nil"/>
              <w:bottom w:val="single" w:sz="4" w:space="0" w:color="auto"/>
              <w:right w:val="single" w:sz="4" w:space="0" w:color="auto"/>
            </w:tcBorders>
            <w:hideMark/>
          </w:tcPr>
          <w:p w14:paraId="6EAA004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6,7%</w:t>
            </w:r>
          </w:p>
        </w:tc>
        <w:tc>
          <w:tcPr>
            <w:tcW w:w="292" w:type="pct"/>
            <w:tcBorders>
              <w:top w:val="nil"/>
              <w:left w:val="nil"/>
              <w:bottom w:val="single" w:sz="4" w:space="0" w:color="auto"/>
              <w:right w:val="single" w:sz="4" w:space="0" w:color="auto"/>
            </w:tcBorders>
            <w:hideMark/>
          </w:tcPr>
          <w:p w14:paraId="0ADA7D5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93,3%</w:t>
            </w:r>
          </w:p>
        </w:tc>
        <w:tc>
          <w:tcPr>
            <w:tcW w:w="377" w:type="pct"/>
            <w:tcBorders>
              <w:top w:val="nil"/>
              <w:left w:val="nil"/>
              <w:bottom w:val="single" w:sz="4" w:space="0" w:color="auto"/>
              <w:right w:val="single" w:sz="4" w:space="0" w:color="auto"/>
            </w:tcBorders>
            <w:noWrap/>
            <w:hideMark/>
          </w:tcPr>
          <w:p w14:paraId="7B08282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w:t>
            </w:r>
          </w:p>
        </w:tc>
      </w:tr>
      <w:tr w:rsidR="00BD1EFA" w:rsidRPr="001127D6" w14:paraId="1BF4BF87"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138283F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34</w:t>
            </w:r>
          </w:p>
        </w:tc>
        <w:tc>
          <w:tcPr>
            <w:tcW w:w="486" w:type="pct"/>
            <w:tcBorders>
              <w:top w:val="nil"/>
              <w:left w:val="nil"/>
              <w:bottom w:val="single" w:sz="4" w:space="0" w:color="auto"/>
              <w:right w:val="single" w:sz="4" w:space="0" w:color="auto"/>
            </w:tcBorders>
            <w:noWrap/>
            <w:hideMark/>
          </w:tcPr>
          <w:p w14:paraId="110D1C1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р. п. Кольцово</w:t>
            </w:r>
          </w:p>
        </w:tc>
        <w:tc>
          <w:tcPr>
            <w:tcW w:w="243" w:type="pct"/>
            <w:tcBorders>
              <w:top w:val="nil"/>
              <w:left w:val="nil"/>
              <w:bottom w:val="single" w:sz="4" w:space="0" w:color="auto"/>
              <w:right w:val="single" w:sz="4" w:space="0" w:color="auto"/>
            </w:tcBorders>
            <w:noWrap/>
            <w:hideMark/>
          </w:tcPr>
          <w:p w14:paraId="3EFB267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12</w:t>
            </w:r>
          </w:p>
        </w:tc>
        <w:tc>
          <w:tcPr>
            <w:tcW w:w="195" w:type="pct"/>
            <w:tcBorders>
              <w:top w:val="nil"/>
              <w:left w:val="nil"/>
              <w:bottom w:val="single" w:sz="4" w:space="0" w:color="auto"/>
              <w:right w:val="single" w:sz="4" w:space="0" w:color="auto"/>
            </w:tcBorders>
            <w:noWrap/>
            <w:hideMark/>
          </w:tcPr>
          <w:p w14:paraId="43FED4E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17</w:t>
            </w:r>
          </w:p>
        </w:tc>
        <w:tc>
          <w:tcPr>
            <w:tcW w:w="194" w:type="pct"/>
            <w:tcBorders>
              <w:top w:val="nil"/>
              <w:left w:val="nil"/>
              <w:bottom w:val="single" w:sz="4" w:space="0" w:color="auto"/>
              <w:right w:val="single" w:sz="4" w:space="0" w:color="auto"/>
            </w:tcBorders>
            <w:noWrap/>
            <w:hideMark/>
          </w:tcPr>
          <w:p w14:paraId="223B8F6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w:t>
            </w:r>
          </w:p>
        </w:tc>
        <w:tc>
          <w:tcPr>
            <w:tcW w:w="243" w:type="pct"/>
            <w:tcBorders>
              <w:top w:val="nil"/>
              <w:left w:val="nil"/>
              <w:bottom w:val="single" w:sz="4" w:space="0" w:color="auto"/>
              <w:right w:val="single" w:sz="4" w:space="0" w:color="auto"/>
            </w:tcBorders>
            <w:hideMark/>
          </w:tcPr>
          <w:p w14:paraId="61F9D75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15</w:t>
            </w:r>
          </w:p>
        </w:tc>
        <w:tc>
          <w:tcPr>
            <w:tcW w:w="243" w:type="pct"/>
            <w:tcBorders>
              <w:top w:val="nil"/>
              <w:left w:val="nil"/>
              <w:bottom w:val="single" w:sz="4" w:space="0" w:color="auto"/>
              <w:right w:val="single" w:sz="4" w:space="0" w:color="auto"/>
            </w:tcBorders>
            <w:hideMark/>
          </w:tcPr>
          <w:p w14:paraId="48C7B5F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16</w:t>
            </w:r>
          </w:p>
        </w:tc>
        <w:tc>
          <w:tcPr>
            <w:tcW w:w="341" w:type="pct"/>
            <w:tcBorders>
              <w:top w:val="nil"/>
              <w:left w:val="nil"/>
              <w:bottom w:val="single" w:sz="4" w:space="0" w:color="auto"/>
              <w:right w:val="single" w:sz="4" w:space="0" w:color="auto"/>
            </w:tcBorders>
            <w:hideMark/>
          </w:tcPr>
          <w:p w14:paraId="309BD05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6,3%</w:t>
            </w:r>
          </w:p>
        </w:tc>
        <w:tc>
          <w:tcPr>
            <w:tcW w:w="438" w:type="pct"/>
            <w:tcBorders>
              <w:top w:val="nil"/>
              <w:left w:val="nil"/>
              <w:bottom w:val="single" w:sz="4" w:space="0" w:color="auto"/>
              <w:right w:val="single" w:sz="4" w:space="0" w:color="auto"/>
            </w:tcBorders>
            <w:hideMark/>
          </w:tcPr>
          <w:p w14:paraId="64957C9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93,8%</w:t>
            </w:r>
          </w:p>
        </w:tc>
        <w:tc>
          <w:tcPr>
            <w:tcW w:w="446" w:type="pct"/>
            <w:tcBorders>
              <w:top w:val="nil"/>
              <w:left w:val="nil"/>
              <w:bottom w:val="single" w:sz="4" w:space="0" w:color="auto"/>
              <w:right w:val="single" w:sz="4" w:space="0" w:color="auto"/>
            </w:tcBorders>
            <w:noWrap/>
            <w:hideMark/>
          </w:tcPr>
          <w:p w14:paraId="55DA846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0,5%</w:t>
            </w:r>
          </w:p>
        </w:tc>
        <w:tc>
          <w:tcPr>
            <w:tcW w:w="333" w:type="pct"/>
            <w:tcBorders>
              <w:top w:val="nil"/>
              <w:left w:val="nil"/>
              <w:bottom w:val="single" w:sz="4" w:space="0" w:color="auto"/>
              <w:right w:val="single" w:sz="4" w:space="0" w:color="auto"/>
            </w:tcBorders>
            <w:noWrap/>
            <w:hideMark/>
          </w:tcPr>
          <w:p w14:paraId="3B16367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4" w:type="pct"/>
            <w:tcBorders>
              <w:top w:val="nil"/>
              <w:left w:val="nil"/>
              <w:bottom w:val="single" w:sz="4" w:space="0" w:color="auto"/>
              <w:right w:val="single" w:sz="4" w:space="0" w:color="auto"/>
            </w:tcBorders>
            <w:hideMark/>
          </w:tcPr>
          <w:p w14:paraId="5E334A6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19</w:t>
            </w:r>
          </w:p>
        </w:tc>
        <w:tc>
          <w:tcPr>
            <w:tcW w:w="340" w:type="pct"/>
            <w:tcBorders>
              <w:top w:val="nil"/>
              <w:left w:val="nil"/>
              <w:bottom w:val="single" w:sz="4" w:space="0" w:color="auto"/>
              <w:right w:val="single" w:sz="4" w:space="0" w:color="auto"/>
            </w:tcBorders>
            <w:hideMark/>
          </w:tcPr>
          <w:p w14:paraId="70BABBA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21</w:t>
            </w:r>
          </w:p>
        </w:tc>
        <w:tc>
          <w:tcPr>
            <w:tcW w:w="439" w:type="pct"/>
            <w:tcBorders>
              <w:top w:val="nil"/>
              <w:left w:val="nil"/>
              <w:bottom w:val="single" w:sz="4" w:space="0" w:color="auto"/>
              <w:right w:val="single" w:sz="4" w:space="0" w:color="auto"/>
            </w:tcBorders>
            <w:hideMark/>
          </w:tcPr>
          <w:p w14:paraId="46BD7B7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9,5%</w:t>
            </w:r>
          </w:p>
        </w:tc>
        <w:tc>
          <w:tcPr>
            <w:tcW w:w="292" w:type="pct"/>
            <w:tcBorders>
              <w:top w:val="nil"/>
              <w:left w:val="nil"/>
              <w:bottom w:val="single" w:sz="4" w:space="0" w:color="auto"/>
              <w:right w:val="single" w:sz="4" w:space="0" w:color="auto"/>
            </w:tcBorders>
            <w:hideMark/>
          </w:tcPr>
          <w:p w14:paraId="6E35511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90,5%</w:t>
            </w:r>
          </w:p>
        </w:tc>
        <w:tc>
          <w:tcPr>
            <w:tcW w:w="377" w:type="pct"/>
            <w:tcBorders>
              <w:top w:val="nil"/>
              <w:left w:val="nil"/>
              <w:bottom w:val="single" w:sz="4" w:space="0" w:color="auto"/>
              <w:right w:val="single" w:sz="4" w:space="0" w:color="auto"/>
            </w:tcBorders>
            <w:noWrap/>
            <w:hideMark/>
          </w:tcPr>
          <w:p w14:paraId="0E743A7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0,7%</w:t>
            </w:r>
          </w:p>
        </w:tc>
      </w:tr>
      <w:tr w:rsidR="00BD1EFA" w:rsidRPr="001127D6" w14:paraId="014F3417"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17646A0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35</w:t>
            </w:r>
          </w:p>
        </w:tc>
        <w:tc>
          <w:tcPr>
            <w:tcW w:w="486" w:type="pct"/>
            <w:tcBorders>
              <w:top w:val="nil"/>
              <w:left w:val="nil"/>
              <w:bottom w:val="single" w:sz="4" w:space="0" w:color="auto"/>
              <w:right w:val="single" w:sz="4" w:space="0" w:color="auto"/>
            </w:tcBorders>
            <w:noWrap/>
            <w:hideMark/>
          </w:tcPr>
          <w:p w14:paraId="024422B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г. Обь</w:t>
            </w:r>
          </w:p>
        </w:tc>
        <w:tc>
          <w:tcPr>
            <w:tcW w:w="243" w:type="pct"/>
            <w:tcBorders>
              <w:top w:val="nil"/>
              <w:left w:val="nil"/>
              <w:bottom w:val="single" w:sz="4" w:space="0" w:color="auto"/>
              <w:right w:val="single" w:sz="4" w:space="0" w:color="auto"/>
            </w:tcBorders>
            <w:noWrap/>
            <w:hideMark/>
          </w:tcPr>
          <w:p w14:paraId="0AF4018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w:t>
            </w:r>
          </w:p>
        </w:tc>
        <w:tc>
          <w:tcPr>
            <w:tcW w:w="195" w:type="pct"/>
            <w:tcBorders>
              <w:top w:val="nil"/>
              <w:left w:val="nil"/>
              <w:bottom w:val="single" w:sz="4" w:space="0" w:color="auto"/>
              <w:right w:val="single" w:sz="4" w:space="0" w:color="auto"/>
            </w:tcBorders>
            <w:noWrap/>
            <w:hideMark/>
          </w:tcPr>
          <w:p w14:paraId="4DEC2D8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17</w:t>
            </w:r>
          </w:p>
        </w:tc>
        <w:tc>
          <w:tcPr>
            <w:tcW w:w="194" w:type="pct"/>
            <w:tcBorders>
              <w:top w:val="nil"/>
              <w:left w:val="nil"/>
              <w:bottom w:val="single" w:sz="4" w:space="0" w:color="auto"/>
              <w:right w:val="single" w:sz="4" w:space="0" w:color="auto"/>
            </w:tcBorders>
            <w:noWrap/>
            <w:hideMark/>
          </w:tcPr>
          <w:p w14:paraId="789A8FE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3" w:type="pct"/>
            <w:tcBorders>
              <w:top w:val="nil"/>
              <w:left w:val="nil"/>
              <w:bottom w:val="single" w:sz="4" w:space="0" w:color="auto"/>
              <w:right w:val="single" w:sz="4" w:space="0" w:color="auto"/>
            </w:tcBorders>
            <w:hideMark/>
          </w:tcPr>
          <w:p w14:paraId="5C90ABD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13</w:t>
            </w:r>
          </w:p>
        </w:tc>
        <w:tc>
          <w:tcPr>
            <w:tcW w:w="243" w:type="pct"/>
            <w:tcBorders>
              <w:top w:val="nil"/>
              <w:left w:val="nil"/>
              <w:bottom w:val="single" w:sz="4" w:space="0" w:color="auto"/>
              <w:right w:val="single" w:sz="4" w:space="0" w:color="auto"/>
            </w:tcBorders>
            <w:hideMark/>
          </w:tcPr>
          <w:p w14:paraId="351C9BF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15</w:t>
            </w:r>
          </w:p>
        </w:tc>
        <w:tc>
          <w:tcPr>
            <w:tcW w:w="341" w:type="pct"/>
            <w:tcBorders>
              <w:top w:val="nil"/>
              <w:left w:val="nil"/>
              <w:bottom w:val="single" w:sz="4" w:space="0" w:color="auto"/>
              <w:right w:val="single" w:sz="4" w:space="0" w:color="auto"/>
            </w:tcBorders>
            <w:hideMark/>
          </w:tcPr>
          <w:p w14:paraId="259906B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13,3%</w:t>
            </w:r>
          </w:p>
        </w:tc>
        <w:tc>
          <w:tcPr>
            <w:tcW w:w="438" w:type="pct"/>
            <w:tcBorders>
              <w:top w:val="nil"/>
              <w:left w:val="nil"/>
              <w:bottom w:val="single" w:sz="4" w:space="0" w:color="auto"/>
              <w:right w:val="single" w:sz="4" w:space="0" w:color="auto"/>
            </w:tcBorders>
            <w:hideMark/>
          </w:tcPr>
          <w:p w14:paraId="7AA2563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86,7%</w:t>
            </w:r>
          </w:p>
        </w:tc>
        <w:tc>
          <w:tcPr>
            <w:tcW w:w="446" w:type="pct"/>
            <w:tcBorders>
              <w:top w:val="nil"/>
              <w:left w:val="nil"/>
              <w:bottom w:val="single" w:sz="4" w:space="0" w:color="auto"/>
              <w:right w:val="single" w:sz="4" w:space="0" w:color="auto"/>
            </w:tcBorders>
            <w:noWrap/>
            <w:hideMark/>
          </w:tcPr>
          <w:p w14:paraId="40D36D3A"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0,5%</w:t>
            </w:r>
          </w:p>
        </w:tc>
        <w:tc>
          <w:tcPr>
            <w:tcW w:w="333" w:type="pct"/>
            <w:tcBorders>
              <w:top w:val="nil"/>
              <w:left w:val="nil"/>
              <w:bottom w:val="single" w:sz="4" w:space="0" w:color="auto"/>
              <w:right w:val="single" w:sz="4" w:space="0" w:color="auto"/>
            </w:tcBorders>
            <w:noWrap/>
            <w:hideMark/>
          </w:tcPr>
          <w:p w14:paraId="0A1228B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w:t>
            </w:r>
          </w:p>
        </w:tc>
        <w:tc>
          <w:tcPr>
            <w:tcW w:w="244" w:type="pct"/>
            <w:tcBorders>
              <w:top w:val="nil"/>
              <w:left w:val="nil"/>
              <w:bottom w:val="single" w:sz="4" w:space="0" w:color="auto"/>
              <w:right w:val="single" w:sz="4" w:space="0" w:color="auto"/>
            </w:tcBorders>
            <w:hideMark/>
          </w:tcPr>
          <w:p w14:paraId="75B06B0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16</w:t>
            </w:r>
          </w:p>
        </w:tc>
        <w:tc>
          <w:tcPr>
            <w:tcW w:w="340" w:type="pct"/>
            <w:tcBorders>
              <w:top w:val="nil"/>
              <w:left w:val="nil"/>
              <w:bottom w:val="single" w:sz="4" w:space="0" w:color="auto"/>
              <w:right w:val="single" w:sz="4" w:space="0" w:color="auto"/>
            </w:tcBorders>
            <w:hideMark/>
          </w:tcPr>
          <w:p w14:paraId="0C073CD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18</w:t>
            </w:r>
          </w:p>
        </w:tc>
        <w:tc>
          <w:tcPr>
            <w:tcW w:w="439" w:type="pct"/>
            <w:tcBorders>
              <w:top w:val="nil"/>
              <w:left w:val="nil"/>
              <w:bottom w:val="single" w:sz="4" w:space="0" w:color="auto"/>
              <w:right w:val="single" w:sz="4" w:space="0" w:color="auto"/>
            </w:tcBorders>
            <w:hideMark/>
          </w:tcPr>
          <w:p w14:paraId="0CB50435"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11,1%</w:t>
            </w:r>
          </w:p>
        </w:tc>
        <w:tc>
          <w:tcPr>
            <w:tcW w:w="292" w:type="pct"/>
            <w:tcBorders>
              <w:top w:val="nil"/>
              <w:left w:val="nil"/>
              <w:bottom w:val="single" w:sz="4" w:space="0" w:color="auto"/>
              <w:right w:val="single" w:sz="4" w:space="0" w:color="auto"/>
            </w:tcBorders>
            <w:hideMark/>
          </w:tcPr>
          <w:p w14:paraId="176F166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88,9%</w:t>
            </w:r>
          </w:p>
        </w:tc>
        <w:tc>
          <w:tcPr>
            <w:tcW w:w="377" w:type="pct"/>
            <w:tcBorders>
              <w:top w:val="nil"/>
              <w:left w:val="nil"/>
              <w:bottom w:val="single" w:sz="4" w:space="0" w:color="auto"/>
              <w:right w:val="single" w:sz="4" w:space="0" w:color="auto"/>
            </w:tcBorders>
            <w:noWrap/>
            <w:hideMark/>
          </w:tcPr>
          <w:p w14:paraId="1BBB739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0,6%</w:t>
            </w:r>
          </w:p>
        </w:tc>
      </w:tr>
      <w:tr w:rsidR="00BD1EFA" w:rsidRPr="001127D6" w14:paraId="5E11A2AD"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568E18F7" w14:textId="77777777" w:rsidR="003F4CFF" w:rsidRPr="001127D6" w:rsidRDefault="003F4CFF" w:rsidP="003F4CFF">
            <w:pPr>
              <w:rPr>
                <w:rFonts w:ascii="Times New Roman" w:hAnsi="Times New Roman" w:cs="Times New Roman"/>
              </w:rPr>
            </w:pPr>
          </w:p>
        </w:tc>
        <w:tc>
          <w:tcPr>
            <w:tcW w:w="486" w:type="pct"/>
            <w:tcBorders>
              <w:top w:val="nil"/>
              <w:left w:val="nil"/>
              <w:bottom w:val="single" w:sz="4" w:space="0" w:color="auto"/>
              <w:right w:val="single" w:sz="4" w:space="0" w:color="auto"/>
            </w:tcBorders>
            <w:noWrap/>
            <w:hideMark/>
          </w:tcPr>
          <w:p w14:paraId="2460A7E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Нет данных</w:t>
            </w:r>
          </w:p>
        </w:tc>
        <w:tc>
          <w:tcPr>
            <w:tcW w:w="243" w:type="pct"/>
            <w:tcBorders>
              <w:top w:val="nil"/>
              <w:left w:val="nil"/>
              <w:bottom w:val="single" w:sz="4" w:space="0" w:color="auto"/>
              <w:right w:val="single" w:sz="4" w:space="0" w:color="auto"/>
            </w:tcBorders>
            <w:noWrap/>
            <w:hideMark/>
          </w:tcPr>
          <w:p w14:paraId="2B171F7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190</w:t>
            </w:r>
          </w:p>
        </w:tc>
        <w:tc>
          <w:tcPr>
            <w:tcW w:w="195" w:type="pct"/>
            <w:tcBorders>
              <w:top w:val="nil"/>
              <w:left w:val="nil"/>
              <w:bottom w:val="single" w:sz="4" w:space="0" w:color="auto"/>
              <w:right w:val="single" w:sz="4" w:space="0" w:color="auto"/>
            </w:tcBorders>
            <w:noWrap/>
            <w:hideMark/>
          </w:tcPr>
          <w:p w14:paraId="311FE9E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w:t>
            </w:r>
          </w:p>
        </w:tc>
        <w:tc>
          <w:tcPr>
            <w:tcW w:w="194" w:type="pct"/>
            <w:tcBorders>
              <w:top w:val="nil"/>
              <w:left w:val="nil"/>
              <w:bottom w:val="single" w:sz="4" w:space="0" w:color="auto"/>
              <w:right w:val="single" w:sz="4" w:space="0" w:color="auto"/>
            </w:tcBorders>
            <w:noWrap/>
            <w:hideMark/>
          </w:tcPr>
          <w:p w14:paraId="305E4267"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w:t>
            </w:r>
          </w:p>
        </w:tc>
        <w:tc>
          <w:tcPr>
            <w:tcW w:w="243" w:type="pct"/>
            <w:tcBorders>
              <w:top w:val="nil"/>
              <w:left w:val="nil"/>
              <w:bottom w:val="single" w:sz="4" w:space="0" w:color="auto"/>
              <w:right w:val="single" w:sz="4" w:space="0" w:color="auto"/>
            </w:tcBorders>
            <w:hideMark/>
          </w:tcPr>
          <w:p w14:paraId="2B26355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w:t>
            </w:r>
          </w:p>
        </w:tc>
        <w:tc>
          <w:tcPr>
            <w:tcW w:w="243" w:type="pct"/>
            <w:tcBorders>
              <w:top w:val="nil"/>
              <w:left w:val="nil"/>
              <w:bottom w:val="single" w:sz="4" w:space="0" w:color="auto"/>
              <w:right w:val="single" w:sz="4" w:space="0" w:color="auto"/>
            </w:tcBorders>
            <w:hideMark/>
          </w:tcPr>
          <w:p w14:paraId="73D864B3"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w:t>
            </w:r>
          </w:p>
        </w:tc>
        <w:tc>
          <w:tcPr>
            <w:tcW w:w="341" w:type="pct"/>
            <w:tcBorders>
              <w:top w:val="nil"/>
              <w:left w:val="nil"/>
              <w:bottom w:val="single" w:sz="4" w:space="0" w:color="auto"/>
              <w:right w:val="single" w:sz="4" w:space="0" w:color="auto"/>
            </w:tcBorders>
            <w:hideMark/>
          </w:tcPr>
          <w:p w14:paraId="4F9C260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0,0%</w:t>
            </w:r>
          </w:p>
        </w:tc>
        <w:tc>
          <w:tcPr>
            <w:tcW w:w="438" w:type="pct"/>
            <w:tcBorders>
              <w:top w:val="nil"/>
              <w:left w:val="nil"/>
              <w:bottom w:val="single" w:sz="4" w:space="0" w:color="auto"/>
              <w:right w:val="single" w:sz="4" w:space="0" w:color="auto"/>
            </w:tcBorders>
            <w:hideMark/>
          </w:tcPr>
          <w:p w14:paraId="346BD64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0,0%</w:t>
            </w:r>
          </w:p>
        </w:tc>
        <w:tc>
          <w:tcPr>
            <w:tcW w:w="446" w:type="pct"/>
            <w:tcBorders>
              <w:top w:val="nil"/>
              <w:left w:val="nil"/>
              <w:bottom w:val="single" w:sz="4" w:space="0" w:color="auto"/>
              <w:right w:val="single" w:sz="4" w:space="0" w:color="auto"/>
            </w:tcBorders>
            <w:noWrap/>
            <w:hideMark/>
          </w:tcPr>
          <w:p w14:paraId="28072AD2"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0,0%</w:t>
            </w:r>
          </w:p>
        </w:tc>
        <w:tc>
          <w:tcPr>
            <w:tcW w:w="333" w:type="pct"/>
            <w:tcBorders>
              <w:top w:val="nil"/>
              <w:left w:val="nil"/>
              <w:bottom w:val="single" w:sz="4" w:space="0" w:color="auto"/>
              <w:right w:val="single" w:sz="4" w:space="0" w:color="auto"/>
            </w:tcBorders>
            <w:noWrap/>
            <w:hideMark/>
          </w:tcPr>
          <w:p w14:paraId="36027E6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w:t>
            </w:r>
          </w:p>
        </w:tc>
        <w:tc>
          <w:tcPr>
            <w:tcW w:w="244" w:type="pct"/>
            <w:tcBorders>
              <w:top w:val="nil"/>
              <w:left w:val="nil"/>
              <w:bottom w:val="single" w:sz="4" w:space="0" w:color="auto"/>
              <w:right w:val="single" w:sz="4" w:space="0" w:color="auto"/>
            </w:tcBorders>
            <w:hideMark/>
          </w:tcPr>
          <w:p w14:paraId="18B7ED2B"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w:t>
            </w:r>
          </w:p>
        </w:tc>
        <w:tc>
          <w:tcPr>
            <w:tcW w:w="340" w:type="pct"/>
            <w:tcBorders>
              <w:top w:val="nil"/>
              <w:left w:val="nil"/>
              <w:bottom w:val="single" w:sz="4" w:space="0" w:color="auto"/>
              <w:right w:val="single" w:sz="4" w:space="0" w:color="auto"/>
            </w:tcBorders>
            <w:hideMark/>
          </w:tcPr>
          <w:p w14:paraId="6312437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0</w:t>
            </w:r>
          </w:p>
        </w:tc>
        <w:tc>
          <w:tcPr>
            <w:tcW w:w="439" w:type="pct"/>
            <w:tcBorders>
              <w:top w:val="nil"/>
              <w:left w:val="nil"/>
              <w:bottom w:val="single" w:sz="4" w:space="0" w:color="auto"/>
              <w:right w:val="single" w:sz="4" w:space="0" w:color="auto"/>
            </w:tcBorders>
            <w:hideMark/>
          </w:tcPr>
          <w:p w14:paraId="4EB40D7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w:t>
            </w:r>
          </w:p>
        </w:tc>
        <w:tc>
          <w:tcPr>
            <w:tcW w:w="292" w:type="pct"/>
            <w:tcBorders>
              <w:top w:val="nil"/>
              <w:left w:val="nil"/>
              <w:bottom w:val="single" w:sz="4" w:space="0" w:color="auto"/>
              <w:right w:val="single" w:sz="4" w:space="0" w:color="auto"/>
            </w:tcBorders>
            <w:hideMark/>
          </w:tcPr>
          <w:p w14:paraId="6C748BA1"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w:t>
            </w:r>
          </w:p>
        </w:tc>
        <w:tc>
          <w:tcPr>
            <w:tcW w:w="377" w:type="pct"/>
            <w:tcBorders>
              <w:top w:val="nil"/>
              <w:left w:val="nil"/>
              <w:bottom w:val="single" w:sz="4" w:space="0" w:color="auto"/>
              <w:right w:val="single" w:sz="4" w:space="0" w:color="auto"/>
            </w:tcBorders>
            <w:noWrap/>
            <w:hideMark/>
          </w:tcPr>
          <w:p w14:paraId="4E1D88B0"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w:t>
            </w:r>
          </w:p>
        </w:tc>
      </w:tr>
      <w:tr w:rsidR="00BD1EFA" w:rsidRPr="001127D6" w14:paraId="3C79E201" w14:textId="77777777" w:rsidTr="00BD1EFA">
        <w:trPr>
          <w:trHeight w:val="20"/>
        </w:trPr>
        <w:tc>
          <w:tcPr>
            <w:tcW w:w="145" w:type="pct"/>
            <w:tcBorders>
              <w:top w:val="nil"/>
              <w:left w:val="single" w:sz="4" w:space="0" w:color="auto"/>
              <w:bottom w:val="single" w:sz="4" w:space="0" w:color="auto"/>
              <w:right w:val="single" w:sz="4" w:space="0" w:color="auto"/>
            </w:tcBorders>
            <w:noWrap/>
            <w:hideMark/>
          </w:tcPr>
          <w:p w14:paraId="659A9F69" w14:textId="77777777" w:rsidR="003F4CFF" w:rsidRPr="001127D6" w:rsidRDefault="003F4CFF" w:rsidP="003F4CFF">
            <w:pPr>
              <w:rPr>
                <w:rFonts w:ascii="Times New Roman" w:hAnsi="Times New Roman" w:cs="Times New Roman"/>
              </w:rPr>
            </w:pPr>
          </w:p>
        </w:tc>
        <w:tc>
          <w:tcPr>
            <w:tcW w:w="486" w:type="pct"/>
            <w:tcBorders>
              <w:top w:val="nil"/>
              <w:left w:val="nil"/>
              <w:bottom w:val="single" w:sz="4" w:space="0" w:color="auto"/>
              <w:right w:val="single" w:sz="4" w:space="0" w:color="auto"/>
            </w:tcBorders>
            <w:noWrap/>
            <w:hideMark/>
          </w:tcPr>
          <w:p w14:paraId="77E273C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ИТОГО</w:t>
            </w:r>
          </w:p>
        </w:tc>
        <w:tc>
          <w:tcPr>
            <w:tcW w:w="243" w:type="pct"/>
            <w:tcBorders>
              <w:top w:val="nil"/>
              <w:left w:val="nil"/>
              <w:bottom w:val="single" w:sz="4" w:space="0" w:color="auto"/>
              <w:right w:val="single" w:sz="4" w:space="0" w:color="auto"/>
            </w:tcBorders>
            <w:noWrap/>
            <w:hideMark/>
          </w:tcPr>
          <w:p w14:paraId="45819EE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3067</w:t>
            </w:r>
          </w:p>
        </w:tc>
        <w:tc>
          <w:tcPr>
            <w:tcW w:w="195" w:type="pct"/>
            <w:tcBorders>
              <w:top w:val="nil"/>
              <w:left w:val="nil"/>
              <w:bottom w:val="single" w:sz="4" w:space="0" w:color="auto"/>
              <w:right w:val="single" w:sz="4" w:space="0" w:color="auto"/>
            </w:tcBorders>
            <w:noWrap/>
            <w:hideMark/>
          </w:tcPr>
          <w:p w14:paraId="18BA8B9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3018</w:t>
            </w:r>
          </w:p>
        </w:tc>
        <w:tc>
          <w:tcPr>
            <w:tcW w:w="194" w:type="pct"/>
            <w:tcBorders>
              <w:top w:val="nil"/>
              <w:left w:val="nil"/>
              <w:bottom w:val="single" w:sz="4" w:space="0" w:color="auto"/>
              <w:right w:val="single" w:sz="4" w:space="0" w:color="auto"/>
            </w:tcBorders>
            <w:noWrap/>
            <w:hideMark/>
          </w:tcPr>
          <w:p w14:paraId="478A011D"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320</w:t>
            </w:r>
          </w:p>
        </w:tc>
        <w:tc>
          <w:tcPr>
            <w:tcW w:w="243" w:type="pct"/>
            <w:tcBorders>
              <w:top w:val="nil"/>
              <w:left w:val="nil"/>
              <w:bottom w:val="single" w:sz="4" w:space="0" w:color="auto"/>
              <w:right w:val="single" w:sz="4" w:space="0" w:color="auto"/>
            </w:tcBorders>
            <w:hideMark/>
          </w:tcPr>
          <w:p w14:paraId="1459868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2662</w:t>
            </w:r>
          </w:p>
        </w:tc>
        <w:tc>
          <w:tcPr>
            <w:tcW w:w="243" w:type="pct"/>
            <w:tcBorders>
              <w:top w:val="nil"/>
              <w:left w:val="nil"/>
              <w:bottom w:val="single" w:sz="4" w:space="0" w:color="auto"/>
              <w:right w:val="single" w:sz="4" w:space="0" w:color="auto"/>
            </w:tcBorders>
            <w:hideMark/>
          </w:tcPr>
          <w:p w14:paraId="498AF6C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2982</w:t>
            </w:r>
          </w:p>
        </w:tc>
        <w:tc>
          <w:tcPr>
            <w:tcW w:w="341" w:type="pct"/>
            <w:tcBorders>
              <w:top w:val="nil"/>
              <w:left w:val="nil"/>
              <w:bottom w:val="single" w:sz="4" w:space="0" w:color="auto"/>
              <w:right w:val="single" w:sz="4" w:space="0" w:color="auto"/>
            </w:tcBorders>
            <w:hideMark/>
          </w:tcPr>
          <w:p w14:paraId="732B302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10,7%</w:t>
            </w:r>
          </w:p>
        </w:tc>
        <w:tc>
          <w:tcPr>
            <w:tcW w:w="438" w:type="pct"/>
            <w:tcBorders>
              <w:top w:val="nil"/>
              <w:left w:val="nil"/>
              <w:bottom w:val="single" w:sz="4" w:space="0" w:color="auto"/>
              <w:right w:val="single" w:sz="4" w:space="0" w:color="auto"/>
            </w:tcBorders>
            <w:hideMark/>
          </w:tcPr>
          <w:p w14:paraId="5AE3108C"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89,3%</w:t>
            </w:r>
          </w:p>
        </w:tc>
        <w:tc>
          <w:tcPr>
            <w:tcW w:w="446" w:type="pct"/>
            <w:tcBorders>
              <w:top w:val="nil"/>
              <w:left w:val="nil"/>
              <w:bottom w:val="single" w:sz="4" w:space="0" w:color="auto"/>
              <w:right w:val="single" w:sz="4" w:space="0" w:color="auto"/>
            </w:tcBorders>
            <w:noWrap/>
            <w:hideMark/>
          </w:tcPr>
          <w:p w14:paraId="53FEB6A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100,0%</w:t>
            </w:r>
          </w:p>
        </w:tc>
        <w:tc>
          <w:tcPr>
            <w:tcW w:w="333" w:type="pct"/>
            <w:tcBorders>
              <w:top w:val="nil"/>
              <w:left w:val="nil"/>
              <w:bottom w:val="single" w:sz="4" w:space="0" w:color="auto"/>
              <w:right w:val="single" w:sz="4" w:space="0" w:color="auto"/>
            </w:tcBorders>
            <w:noWrap/>
            <w:hideMark/>
          </w:tcPr>
          <w:p w14:paraId="6DB319A9"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287</w:t>
            </w:r>
          </w:p>
        </w:tc>
        <w:tc>
          <w:tcPr>
            <w:tcW w:w="244" w:type="pct"/>
            <w:tcBorders>
              <w:top w:val="nil"/>
              <w:left w:val="nil"/>
              <w:bottom w:val="single" w:sz="4" w:space="0" w:color="auto"/>
              <w:right w:val="single" w:sz="4" w:space="0" w:color="auto"/>
            </w:tcBorders>
            <w:hideMark/>
          </w:tcPr>
          <w:p w14:paraId="0AEC4A2E"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2663</w:t>
            </w:r>
          </w:p>
        </w:tc>
        <w:tc>
          <w:tcPr>
            <w:tcW w:w="340" w:type="pct"/>
            <w:tcBorders>
              <w:top w:val="nil"/>
              <w:left w:val="nil"/>
              <w:bottom w:val="single" w:sz="4" w:space="0" w:color="auto"/>
              <w:right w:val="single" w:sz="4" w:space="0" w:color="auto"/>
            </w:tcBorders>
            <w:hideMark/>
          </w:tcPr>
          <w:p w14:paraId="25E67BD6"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2950</w:t>
            </w:r>
          </w:p>
        </w:tc>
        <w:tc>
          <w:tcPr>
            <w:tcW w:w="439" w:type="pct"/>
            <w:tcBorders>
              <w:top w:val="nil"/>
              <w:left w:val="nil"/>
              <w:bottom w:val="single" w:sz="4" w:space="0" w:color="auto"/>
              <w:right w:val="single" w:sz="4" w:space="0" w:color="auto"/>
            </w:tcBorders>
            <w:hideMark/>
          </w:tcPr>
          <w:p w14:paraId="16299244"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9,7%</w:t>
            </w:r>
          </w:p>
        </w:tc>
        <w:tc>
          <w:tcPr>
            <w:tcW w:w="292" w:type="pct"/>
            <w:tcBorders>
              <w:top w:val="nil"/>
              <w:left w:val="nil"/>
              <w:bottom w:val="single" w:sz="4" w:space="0" w:color="auto"/>
              <w:right w:val="single" w:sz="4" w:space="0" w:color="auto"/>
            </w:tcBorders>
            <w:hideMark/>
          </w:tcPr>
          <w:p w14:paraId="53DD0628"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90,3%</w:t>
            </w:r>
          </w:p>
        </w:tc>
        <w:tc>
          <w:tcPr>
            <w:tcW w:w="377" w:type="pct"/>
            <w:tcBorders>
              <w:top w:val="nil"/>
              <w:left w:val="nil"/>
              <w:bottom w:val="single" w:sz="4" w:space="0" w:color="auto"/>
              <w:right w:val="single" w:sz="4" w:space="0" w:color="auto"/>
            </w:tcBorders>
            <w:noWrap/>
            <w:hideMark/>
          </w:tcPr>
          <w:p w14:paraId="614202FF" w14:textId="77777777" w:rsidR="003F4CFF" w:rsidRPr="001127D6" w:rsidRDefault="003F4CFF" w:rsidP="003F4CFF">
            <w:pPr>
              <w:rPr>
                <w:rFonts w:ascii="Times New Roman" w:hAnsi="Times New Roman" w:cs="Times New Roman"/>
              </w:rPr>
            </w:pPr>
            <w:r w:rsidRPr="001127D6">
              <w:rPr>
                <w:rFonts w:ascii="Times New Roman" w:hAnsi="Times New Roman" w:cs="Times New Roman"/>
              </w:rPr>
              <w:t>100,0%</w:t>
            </w:r>
          </w:p>
        </w:tc>
      </w:tr>
    </w:tbl>
    <w:p w14:paraId="2AE01363" w14:textId="77777777" w:rsidR="003F4CFF" w:rsidRDefault="003F4CFF" w:rsidP="003F4CFF">
      <w:pPr>
        <w:ind w:firstLine="567"/>
        <w:jc w:val="both"/>
        <w:rPr>
          <w:rFonts w:ascii="Times New Roman" w:hAnsi="Times New Roman" w:cs="Times New Roman"/>
          <w:sz w:val="28"/>
          <w:szCs w:val="28"/>
        </w:rPr>
        <w:sectPr w:rsidR="003F4CFF" w:rsidSect="00BD1EFA">
          <w:pgSz w:w="16838" w:h="11906" w:orient="landscape" w:code="9"/>
          <w:pgMar w:top="1276" w:right="1134" w:bottom="567" w:left="1134" w:header="709" w:footer="709" w:gutter="0"/>
          <w:pgNumType w:start="166"/>
          <w:cols w:space="720"/>
          <w:docGrid w:linePitch="286"/>
        </w:sectPr>
      </w:pPr>
    </w:p>
    <w:p w14:paraId="71547A54" w14:textId="77777777" w:rsidR="003F4CFF" w:rsidRDefault="003F4CFF" w:rsidP="00531BCC">
      <w:pPr>
        <w:ind w:right="-2" w:firstLine="567"/>
        <w:jc w:val="both"/>
        <w:rPr>
          <w:rFonts w:ascii="Times New Roman" w:hAnsi="Times New Roman" w:cs="Times New Roman"/>
          <w:sz w:val="28"/>
          <w:szCs w:val="28"/>
        </w:rPr>
      </w:pPr>
      <w:r w:rsidRPr="00067FE4">
        <w:rPr>
          <w:rFonts w:ascii="Times New Roman" w:hAnsi="Times New Roman" w:cs="Times New Roman"/>
          <w:sz w:val="28"/>
          <w:szCs w:val="28"/>
        </w:rPr>
        <w:lastRenderedPageBreak/>
        <w:t>Отраслевая структура</w:t>
      </w:r>
      <w:r w:rsidRPr="001127D6">
        <w:rPr>
          <w:rFonts w:ascii="Times New Roman" w:hAnsi="Times New Roman" w:cs="Times New Roman"/>
          <w:sz w:val="28"/>
          <w:szCs w:val="28"/>
        </w:rPr>
        <w:t xml:space="preserve"> организаций с долей государственной или муниципальной собственности 50% и более приведена в </w:t>
      </w:r>
      <w:r w:rsidRPr="00067FE4">
        <w:rPr>
          <w:rFonts w:ascii="Times New Roman" w:hAnsi="Times New Roman" w:cs="Times New Roman"/>
          <w:sz w:val="28"/>
          <w:szCs w:val="28"/>
        </w:rPr>
        <w:t>таблице</w:t>
      </w:r>
      <w:r w:rsidRPr="001127D6">
        <w:rPr>
          <w:rFonts w:ascii="Times New Roman" w:hAnsi="Times New Roman" w:cs="Times New Roman"/>
          <w:sz w:val="28"/>
          <w:szCs w:val="28"/>
        </w:rPr>
        <w:t xml:space="preserve"> </w:t>
      </w:r>
      <w:r>
        <w:rPr>
          <w:rFonts w:ascii="Times New Roman" w:hAnsi="Times New Roman" w:cs="Times New Roman"/>
          <w:sz w:val="28"/>
          <w:szCs w:val="28"/>
        </w:rPr>
        <w:t xml:space="preserve">23. </w:t>
      </w:r>
      <w:r w:rsidRPr="001127D6">
        <w:rPr>
          <w:rFonts w:ascii="Times New Roman" w:hAnsi="Times New Roman" w:cs="Times New Roman"/>
          <w:sz w:val="28"/>
          <w:szCs w:val="28"/>
        </w:rPr>
        <w:t>Наибольшее количество организаций данного типа ведет деятельность в сфере образования (60,9% от общего количества хозяйствующих субъектов, 1798 организаций). Услугами в сфере культуры занимается 645 организаций (21,9%), услугами ЖКХ и выполнения работ по благоустройству городской среды – 267 организации (9,1%), в медицинской сфере работает 95 организаций (3,2%), в сфере социального обслуживания 34 организации (1,2%). Остальные сферы деятельности организаций занимают менее 1% в отраслевой структуре, они встречаются в единичных случаях. По сравнению с 2018 г. отраслевая структура организаций с долей государственной или муниципальной собственности 50% существенно не изменилась. Наибольшие изменения касаются услуг ЖКХ (количество организаций уменьшилось на 77, динамика составила 77,6%), социального обслуживания (увеличение на 8 организаций, 130,8% к 2018 г.), ветеринарных услуг (количество организаций уменьшилось на 24, с 32 до 8, 25,0% к 2018 г.). В остальных отраслях динамика в абсолютных значениях незначительная</w:t>
      </w:r>
      <w:r>
        <w:rPr>
          <w:rFonts w:ascii="Times New Roman" w:hAnsi="Times New Roman" w:cs="Times New Roman"/>
          <w:sz w:val="28"/>
          <w:szCs w:val="28"/>
        </w:rPr>
        <w:t>.</w:t>
      </w:r>
    </w:p>
    <w:p w14:paraId="50E5DFA7" w14:textId="77777777" w:rsidR="003F4CFF" w:rsidRPr="003B3E01" w:rsidRDefault="003F4CFF" w:rsidP="00531BCC">
      <w:pPr>
        <w:tabs>
          <w:tab w:val="left" w:pos="0"/>
        </w:tabs>
        <w:ind w:right="-2" w:firstLine="567"/>
        <w:jc w:val="both"/>
        <w:rPr>
          <w:rFonts w:ascii="Times New Roman" w:hAnsi="Times New Roman" w:cs="Times New Roman"/>
          <w:sz w:val="28"/>
          <w:szCs w:val="28"/>
        </w:rPr>
      </w:pPr>
    </w:p>
    <w:p w14:paraId="1DC1DC51" w14:textId="23E1156F" w:rsidR="003F4CFF" w:rsidRPr="003B3E01" w:rsidRDefault="003F4CFF" w:rsidP="00531BCC">
      <w:pPr>
        <w:spacing w:line="259" w:lineRule="auto"/>
        <w:ind w:right="-2"/>
        <w:jc w:val="both"/>
        <w:rPr>
          <w:rFonts w:ascii="Times New Roman" w:hAnsi="Times New Roman" w:cs="Times New Roman"/>
          <w:sz w:val="28"/>
          <w:szCs w:val="28"/>
        </w:rPr>
      </w:pPr>
      <w:r w:rsidRPr="00531BCC">
        <w:rPr>
          <w:rFonts w:ascii="Times New Roman" w:hAnsi="Times New Roman" w:cs="Times New Roman"/>
          <w:sz w:val="28"/>
          <w:szCs w:val="28"/>
        </w:rPr>
        <w:t>Таблица</w:t>
      </w:r>
      <w:r w:rsidRPr="003B3E01">
        <w:rPr>
          <w:rFonts w:ascii="Times New Roman" w:hAnsi="Times New Roman" w:cs="Times New Roman"/>
          <w:sz w:val="28"/>
          <w:szCs w:val="28"/>
        </w:rPr>
        <w:t> 23 – Отраслевая структура</w:t>
      </w:r>
      <w:r w:rsidR="00D13B6E">
        <w:rPr>
          <w:rFonts w:ascii="Times New Roman" w:hAnsi="Times New Roman" w:cs="Times New Roman"/>
          <w:sz w:val="28"/>
          <w:szCs w:val="28"/>
        </w:rPr>
        <w:t xml:space="preserve"> </w:t>
      </w:r>
      <w:r w:rsidR="00F14334">
        <w:rPr>
          <w:rFonts w:ascii="Times New Roman" w:hAnsi="Times New Roman" w:cs="Times New Roman"/>
          <w:sz w:val="28"/>
          <w:szCs w:val="28"/>
        </w:rPr>
        <w:t>организаций</w:t>
      </w:r>
      <w:r w:rsidRPr="003B3E01">
        <w:rPr>
          <w:rFonts w:ascii="Times New Roman" w:hAnsi="Times New Roman" w:cs="Times New Roman"/>
          <w:sz w:val="28"/>
          <w:szCs w:val="28"/>
        </w:rPr>
        <w:t>, дол</w:t>
      </w:r>
      <w:r w:rsidR="00F14334">
        <w:rPr>
          <w:rFonts w:ascii="Times New Roman" w:hAnsi="Times New Roman" w:cs="Times New Roman"/>
          <w:sz w:val="28"/>
          <w:szCs w:val="28"/>
        </w:rPr>
        <w:t>я</w:t>
      </w:r>
      <w:r w:rsidRPr="003B3E01">
        <w:rPr>
          <w:rFonts w:ascii="Times New Roman" w:hAnsi="Times New Roman" w:cs="Times New Roman"/>
          <w:sz w:val="28"/>
          <w:szCs w:val="28"/>
        </w:rPr>
        <w:t xml:space="preserve"> участия субъекта Российской Федерации или муниципального образования в которых составляет 50 и более процентов</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3"/>
        <w:gridCol w:w="998"/>
        <w:gridCol w:w="968"/>
        <w:gridCol w:w="508"/>
        <w:gridCol w:w="774"/>
        <w:gridCol w:w="508"/>
        <w:gridCol w:w="762"/>
        <w:gridCol w:w="2010"/>
      </w:tblGrid>
      <w:tr w:rsidR="003F4CFF" w:rsidRPr="001127D6" w14:paraId="3F5DD11D" w14:textId="77777777" w:rsidTr="00F55DE5">
        <w:trPr>
          <w:tblHeader/>
          <w:jc w:val="center"/>
        </w:trPr>
        <w:tc>
          <w:tcPr>
            <w:tcW w:w="1710" w:type="pct"/>
            <w:vMerge w:val="restart"/>
            <w:tcBorders>
              <w:top w:val="single" w:sz="4" w:space="0" w:color="auto"/>
              <w:left w:val="nil"/>
              <w:bottom w:val="single" w:sz="4" w:space="0" w:color="auto"/>
              <w:right w:val="single" w:sz="4" w:space="0" w:color="auto"/>
            </w:tcBorders>
            <w:shd w:val="clear" w:color="auto" w:fill="auto"/>
            <w:noWrap/>
            <w:hideMark/>
          </w:tcPr>
          <w:p w14:paraId="312DD051"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Вид деятельности</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459D7271"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2017 г.</w:t>
            </w:r>
          </w:p>
        </w:tc>
        <w:tc>
          <w:tcPr>
            <w:tcW w:w="646" w:type="pct"/>
            <w:gridSpan w:val="2"/>
            <w:tcBorders>
              <w:top w:val="single" w:sz="4" w:space="0" w:color="auto"/>
              <w:left w:val="single" w:sz="4" w:space="0" w:color="auto"/>
              <w:bottom w:val="single" w:sz="4" w:space="0" w:color="auto"/>
              <w:right w:val="single" w:sz="4" w:space="0" w:color="auto"/>
            </w:tcBorders>
            <w:shd w:val="clear" w:color="auto" w:fill="auto"/>
            <w:hideMark/>
          </w:tcPr>
          <w:p w14:paraId="443C29AC"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2018 г.</w:t>
            </w:r>
          </w:p>
        </w:tc>
        <w:tc>
          <w:tcPr>
            <w:tcW w:w="640"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79668"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2019 г.</w:t>
            </w:r>
          </w:p>
        </w:tc>
        <w:tc>
          <w:tcPr>
            <w:tcW w:w="1013" w:type="pct"/>
            <w:vMerge w:val="restart"/>
            <w:tcBorders>
              <w:top w:val="single" w:sz="4" w:space="0" w:color="auto"/>
              <w:left w:val="single" w:sz="4" w:space="0" w:color="auto"/>
              <w:bottom w:val="single" w:sz="4" w:space="0" w:color="auto"/>
              <w:right w:val="nil"/>
            </w:tcBorders>
            <w:shd w:val="clear" w:color="auto" w:fill="auto"/>
            <w:noWrap/>
            <w:hideMark/>
          </w:tcPr>
          <w:p w14:paraId="4AF1F556"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Динамика изменения кол-ва организаций к 2018 г.</w:t>
            </w:r>
          </w:p>
        </w:tc>
      </w:tr>
      <w:tr w:rsidR="003F4CFF" w:rsidRPr="001127D6" w14:paraId="5AE763A4" w14:textId="77777777" w:rsidTr="00F55DE5">
        <w:trPr>
          <w:tblHeader/>
          <w:jc w:val="center"/>
        </w:trPr>
        <w:tc>
          <w:tcPr>
            <w:tcW w:w="1710" w:type="pct"/>
            <w:vMerge/>
            <w:tcBorders>
              <w:top w:val="single" w:sz="4" w:space="0" w:color="auto"/>
              <w:left w:val="nil"/>
              <w:bottom w:val="single" w:sz="4" w:space="0" w:color="auto"/>
              <w:right w:val="single" w:sz="4" w:space="0" w:color="auto"/>
            </w:tcBorders>
            <w:shd w:val="clear" w:color="auto" w:fill="auto"/>
            <w:hideMark/>
          </w:tcPr>
          <w:p w14:paraId="0D2C1C75" w14:textId="77777777" w:rsidR="003F4CFF" w:rsidRPr="001127D6" w:rsidRDefault="003F4CFF" w:rsidP="00F55DE5">
            <w:pPr>
              <w:rPr>
                <w:rFonts w:ascii="Times New Roman"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auto"/>
            <w:noWrap/>
            <w:hideMark/>
          </w:tcPr>
          <w:p w14:paraId="704C5C97"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Количество организаций</w:t>
            </w:r>
          </w:p>
        </w:tc>
        <w:tc>
          <w:tcPr>
            <w:tcW w:w="488" w:type="pct"/>
            <w:tcBorders>
              <w:top w:val="single" w:sz="4" w:space="0" w:color="auto"/>
              <w:left w:val="single" w:sz="4" w:space="0" w:color="auto"/>
              <w:bottom w:val="single" w:sz="4" w:space="0" w:color="auto"/>
              <w:right w:val="single" w:sz="4" w:space="0" w:color="auto"/>
            </w:tcBorders>
            <w:shd w:val="clear" w:color="auto" w:fill="auto"/>
            <w:noWrap/>
            <w:hideMark/>
          </w:tcPr>
          <w:p w14:paraId="3C88ED83"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 от числа организаций</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6C0CA0B7"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Количество организаций</w:t>
            </w:r>
          </w:p>
        </w:tc>
        <w:tc>
          <w:tcPr>
            <w:tcW w:w="390" w:type="pct"/>
            <w:tcBorders>
              <w:top w:val="single" w:sz="4" w:space="0" w:color="auto"/>
              <w:left w:val="single" w:sz="4" w:space="0" w:color="auto"/>
              <w:bottom w:val="single" w:sz="4" w:space="0" w:color="auto"/>
              <w:right w:val="single" w:sz="4" w:space="0" w:color="auto"/>
            </w:tcBorders>
            <w:shd w:val="clear" w:color="auto" w:fill="auto"/>
            <w:hideMark/>
          </w:tcPr>
          <w:p w14:paraId="3B7E7C6D"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 от числа организаций</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7E782375"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Количество организаций</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14:paraId="61F532B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 от числа организаций</w:t>
            </w:r>
          </w:p>
        </w:tc>
        <w:tc>
          <w:tcPr>
            <w:tcW w:w="1013" w:type="pct"/>
            <w:vMerge/>
            <w:tcBorders>
              <w:top w:val="single" w:sz="4" w:space="0" w:color="auto"/>
              <w:left w:val="single" w:sz="4" w:space="0" w:color="auto"/>
              <w:bottom w:val="single" w:sz="4" w:space="0" w:color="auto"/>
              <w:right w:val="nil"/>
            </w:tcBorders>
            <w:shd w:val="clear" w:color="auto" w:fill="auto"/>
            <w:hideMark/>
          </w:tcPr>
          <w:p w14:paraId="16A88AF4" w14:textId="77777777" w:rsidR="003F4CFF" w:rsidRPr="001127D6" w:rsidRDefault="003F4CFF" w:rsidP="00F55DE5">
            <w:pPr>
              <w:rPr>
                <w:rFonts w:ascii="Times New Roman" w:hAnsi="Times New Roman" w:cs="Times New Roman"/>
                <w:lang w:eastAsia="en-US"/>
              </w:rPr>
            </w:pPr>
          </w:p>
        </w:tc>
      </w:tr>
      <w:tr w:rsidR="003F4CFF" w:rsidRPr="001127D6" w14:paraId="7E31A5A2" w14:textId="77777777" w:rsidTr="00F55DE5">
        <w:trPr>
          <w:jc w:val="center"/>
        </w:trPr>
        <w:tc>
          <w:tcPr>
            <w:tcW w:w="1710" w:type="pct"/>
            <w:tcBorders>
              <w:top w:val="single" w:sz="4" w:space="0" w:color="auto"/>
              <w:left w:val="nil"/>
              <w:bottom w:val="single" w:sz="4" w:space="0" w:color="auto"/>
              <w:right w:val="single" w:sz="4" w:space="0" w:color="auto"/>
            </w:tcBorders>
            <w:shd w:val="clear" w:color="auto" w:fill="auto"/>
            <w:noWrap/>
            <w:hideMark/>
          </w:tcPr>
          <w:p w14:paraId="79E682D6"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Образование (дошкольное, основное общее, среднее общее, дополнительное, профессиональное)</w:t>
            </w:r>
          </w:p>
        </w:tc>
        <w:tc>
          <w:tcPr>
            <w:tcW w:w="503" w:type="pct"/>
            <w:tcBorders>
              <w:top w:val="single" w:sz="4" w:space="0" w:color="auto"/>
              <w:left w:val="single" w:sz="4" w:space="0" w:color="auto"/>
              <w:bottom w:val="single" w:sz="4" w:space="0" w:color="auto"/>
              <w:right w:val="single" w:sz="4" w:space="0" w:color="auto"/>
            </w:tcBorders>
            <w:shd w:val="clear" w:color="auto" w:fill="auto"/>
            <w:noWrap/>
            <w:hideMark/>
          </w:tcPr>
          <w:p w14:paraId="1B363A0A"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1823</w:t>
            </w:r>
          </w:p>
        </w:tc>
        <w:tc>
          <w:tcPr>
            <w:tcW w:w="488" w:type="pct"/>
            <w:tcBorders>
              <w:top w:val="single" w:sz="4" w:space="0" w:color="auto"/>
              <w:left w:val="single" w:sz="4" w:space="0" w:color="auto"/>
              <w:bottom w:val="single" w:sz="4" w:space="0" w:color="auto"/>
              <w:right w:val="single" w:sz="4" w:space="0" w:color="auto"/>
            </w:tcBorders>
            <w:shd w:val="clear" w:color="auto" w:fill="auto"/>
            <w:noWrap/>
            <w:hideMark/>
          </w:tcPr>
          <w:p w14:paraId="0A5D5380"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60,4%</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3958FC0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1786</w:t>
            </w:r>
          </w:p>
        </w:tc>
        <w:tc>
          <w:tcPr>
            <w:tcW w:w="390" w:type="pct"/>
            <w:tcBorders>
              <w:top w:val="single" w:sz="4" w:space="0" w:color="auto"/>
              <w:left w:val="single" w:sz="4" w:space="0" w:color="auto"/>
              <w:bottom w:val="single" w:sz="4" w:space="0" w:color="auto"/>
              <w:right w:val="single" w:sz="4" w:space="0" w:color="auto"/>
            </w:tcBorders>
            <w:shd w:val="clear" w:color="auto" w:fill="auto"/>
            <w:hideMark/>
          </w:tcPr>
          <w:p w14:paraId="25C8E6D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59,9%</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274D9C1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1798</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14:paraId="67698567"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60,9%</w:t>
            </w:r>
          </w:p>
        </w:tc>
        <w:tc>
          <w:tcPr>
            <w:tcW w:w="1013" w:type="pct"/>
            <w:tcBorders>
              <w:top w:val="single" w:sz="4" w:space="0" w:color="auto"/>
              <w:left w:val="single" w:sz="4" w:space="0" w:color="auto"/>
              <w:bottom w:val="single" w:sz="4" w:space="0" w:color="auto"/>
              <w:right w:val="nil"/>
            </w:tcBorders>
            <w:shd w:val="clear" w:color="auto" w:fill="auto"/>
            <w:noWrap/>
            <w:hideMark/>
          </w:tcPr>
          <w:p w14:paraId="562FADF6"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100,7%</w:t>
            </w:r>
          </w:p>
        </w:tc>
      </w:tr>
      <w:tr w:rsidR="003F4CFF" w:rsidRPr="001127D6" w14:paraId="5ECFF05B"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51AC2DF0"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Культура</w:t>
            </w:r>
          </w:p>
        </w:tc>
        <w:tc>
          <w:tcPr>
            <w:tcW w:w="503" w:type="pct"/>
            <w:tcBorders>
              <w:top w:val="single" w:sz="4" w:space="0" w:color="auto"/>
              <w:left w:val="single" w:sz="4" w:space="0" w:color="auto"/>
              <w:bottom w:val="single" w:sz="4" w:space="0" w:color="auto"/>
              <w:right w:val="single" w:sz="4" w:space="0" w:color="auto"/>
            </w:tcBorders>
            <w:noWrap/>
            <w:hideMark/>
          </w:tcPr>
          <w:p w14:paraId="556B3437"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639</w:t>
            </w:r>
          </w:p>
        </w:tc>
        <w:tc>
          <w:tcPr>
            <w:tcW w:w="488" w:type="pct"/>
            <w:tcBorders>
              <w:top w:val="single" w:sz="4" w:space="0" w:color="auto"/>
              <w:left w:val="single" w:sz="4" w:space="0" w:color="auto"/>
              <w:bottom w:val="single" w:sz="4" w:space="0" w:color="auto"/>
              <w:right w:val="single" w:sz="4" w:space="0" w:color="auto"/>
            </w:tcBorders>
            <w:noWrap/>
            <w:hideMark/>
          </w:tcPr>
          <w:p w14:paraId="0CBF0EA1"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21,2%</w:t>
            </w:r>
          </w:p>
        </w:tc>
        <w:tc>
          <w:tcPr>
            <w:tcW w:w="256" w:type="pct"/>
            <w:tcBorders>
              <w:top w:val="single" w:sz="4" w:space="0" w:color="auto"/>
              <w:left w:val="single" w:sz="4" w:space="0" w:color="auto"/>
              <w:bottom w:val="single" w:sz="4" w:space="0" w:color="auto"/>
              <w:right w:val="single" w:sz="4" w:space="0" w:color="auto"/>
            </w:tcBorders>
            <w:hideMark/>
          </w:tcPr>
          <w:p w14:paraId="18A0F881"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638</w:t>
            </w:r>
          </w:p>
        </w:tc>
        <w:tc>
          <w:tcPr>
            <w:tcW w:w="390" w:type="pct"/>
            <w:tcBorders>
              <w:top w:val="single" w:sz="4" w:space="0" w:color="auto"/>
              <w:left w:val="single" w:sz="4" w:space="0" w:color="auto"/>
              <w:bottom w:val="single" w:sz="4" w:space="0" w:color="auto"/>
              <w:right w:val="single" w:sz="4" w:space="0" w:color="auto"/>
            </w:tcBorders>
            <w:hideMark/>
          </w:tcPr>
          <w:p w14:paraId="726A214F"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21,4%</w:t>
            </w:r>
          </w:p>
        </w:tc>
        <w:tc>
          <w:tcPr>
            <w:tcW w:w="256" w:type="pct"/>
            <w:tcBorders>
              <w:top w:val="single" w:sz="4" w:space="0" w:color="auto"/>
              <w:left w:val="single" w:sz="4" w:space="0" w:color="auto"/>
              <w:bottom w:val="single" w:sz="4" w:space="0" w:color="auto"/>
              <w:right w:val="single" w:sz="4" w:space="0" w:color="auto"/>
            </w:tcBorders>
            <w:hideMark/>
          </w:tcPr>
          <w:p w14:paraId="6C8CD998"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645</w:t>
            </w:r>
          </w:p>
        </w:tc>
        <w:tc>
          <w:tcPr>
            <w:tcW w:w="384" w:type="pct"/>
            <w:tcBorders>
              <w:top w:val="single" w:sz="4" w:space="0" w:color="auto"/>
              <w:left w:val="single" w:sz="4" w:space="0" w:color="auto"/>
              <w:bottom w:val="single" w:sz="4" w:space="0" w:color="auto"/>
              <w:right w:val="single" w:sz="4" w:space="0" w:color="auto"/>
            </w:tcBorders>
            <w:hideMark/>
          </w:tcPr>
          <w:p w14:paraId="72848CD5"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21,9%</w:t>
            </w:r>
          </w:p>
        </w:tc>
        <w:tc>
          <w:tcPr>
            <w:tcW w:w="1013" w:type="pct"/>
            <w:tcBorders>
              <w:top w:val="single" w:sz="4" w:space="0" w:color="auto"/>
              <w:left w:val="single" w:sz="4" w:space="0" w:color="auto"/>
              <w:bottom w:val="single" w:sz="4" w:space="0" w:color="auto"/>
              <w:right w:val="nil"/>
            </w:tcBorders>
            <w:noWrap/>
            <w:hideMark/>
          </w:tcPr>
          <w:p w14:paraId="621BC7E1"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101,1%</w:t>
            </w:r>
          </w:p>
        </w:tc>
      </w:tr>
      <w:tr w:rsidR="003F4CFF" w:rsidRPr="001127D6" w14:paraId="2AE23058"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6A44C94B"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Услуги ЖКХ и выполнения работ по благоустройству городской среды</w:t>
            </w:r>
          </w:p>
        </w:tc>
        <w:tc>
          <w:tcPr>
            <w:tcW w:w="503" w:type="pct"/>
            <w:tcBorders>
              <w:top w:val="single" w:sz="4" w:space="0" w:color="auto"/>
              <w:left w:val="single" w:sz="4" w:space="0" w:color="auto"/>
              <w:bottom w:val="single" w:sz="4" w:space="0" w:color="auto"/>
              <w:right w:val="single" w:sz="4" w:space="0" w:color="auto"/>
            </w:tcBorders>
            <w:noWrap/>
            <w:hideMark/>
          </w:tcPr>
          <w:p w14:paraId="6BEB3436"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276</w:t>
            </w:r>
          </w:p>
        </w:tc>
        <w:tc>
          <w:tcPr>
            <w:tcW w:w="488" w:type="pct"/>
            <w:tcBorders>
              <w:top w:val="single" w:sz="4" w:space="0" w:color="auto"/>
              <w:left w:val="single" w:sz="4" w:space="0" w:color="auto"/>
              <w:bottom w:val="single" w:sz="4" w:space="0" w:color="auto"/>
              <w:right w:val="single" w:sz="4" w:space="0" w:color="auto"/>
            </w:tcBorders>
            <w:noWrap/>
            <w:hideMark/>
          </w:tcPr>
          <w:p w14:paraId="393EE006"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9,1%</w:t>
            </w:r>
          </w:p>
        </w:tc>
        <w:tc>
          <w:tcPr>
            <w:tcW w:w="256" w:type="pct"/>
            <w:tcBorders>
              <w:top w:val="single" w:sz="4" w:space="0" w:color="auto"/>
              <w:left w:val="single" w:sz="4" w:space="0" w:color="auto"/>
              <w:bottom w:val="single" w:sz="4" w:space="0" w:color="auto"/>
              <w:right w:val="single" w:sz="4" w:space="0" w:color="auto"/>
            </w:tcBorders>
            <w:hideMark/>
          </w:tcPr>
          <w:p w14:paraId="3C2508F1"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344</w:t>
            </w:r>
          </w:p>
        </w:tc>
        <w:tc>
          <w:tcPr>
            <w:tcW w:w="390" w:type="pct"/>
            <w:tcBorders>
              <w:top w:val="single" w:sz="4" w:space="0" w:color="auto"/>
              <w:left w:val="single" w:sz="4" w:space="0" w:color="auto"/>
              <w:bottom w:val="single" w:sz="4" w:space="0" w:color="auto"/>
              <w:right w:val="single" w:sz="4" w:space="0" w:color="auto"/>
            </w:tcBorders>
            <w:hideMark/>
          </w:tcPr>
          <w:p w14:paraId="73D4D951"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11,5%</w:t>
            </w:r>
          </w:p>
        </w:tc>
        <w:tc>
          <w:tcPr>
            <w:tcW w:w="256" w:type="pct"/>
            <w:tcBorders>
              <w:top w:val="single" w:sz="4" w:space="0" w:color="auto"/>
              <w:left w:val="single" w:sz="4" w:space="0" w:color="auto"/>
              <w:bottom w:val="single" w:sz="4" w:space="0" w:color="auto"/>
              <w:right w:val="single" w:sz="4" w:space="0" w:color="auto"/>
            </w:tcBorders>
            <w:hideMark/>
          </w:tcPr>
          <w:p w14:paraId="47A1FB7A"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267</w:t>
            </w:r>
          </w:p>
        </w:tc>
        <w:tc>
          <w:tcPr>
            <w:tcW w:w="384" w:type="pct"/>
            <w:tcBorders>
              <w:top w:val="single" w:sz="4" w:space="0" w:color="auto"/>
              <w:left w:val="single" w:sz="4" w:space="0" w:color="auto"/>
              <w:bottom w:val="single" w:sz="4" w:space="0" w:color="auto"/>
              <w:right w:val="single" w:sz="4" w:space="0" w:color="auto"/>
            </w:tcBorders>
            <w:hideMark/>
          </w:tcPr>
          <w:p w14:paraId="2C394552"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9,1%</w:t>
            </w:r>
          </w:p>
        </w:tc>
        <w:tc>
          <w:tcPr>
            <w:tcW w:w="1013" w:type="pct"/>
            <w:tcBorders>
              <w:top w:val="single" w:sz="4" w:space="0" w:color="auto"/>
              <w:left w:val="single" w:sz="4" w:space="0" w:color="auto"/>
              <w:bottom w:val="single" w:sz="4" w:space="0" w:color="auto"/>
              <w:right w:val="nil"/>
            </w:tcBorders>
            <w:noWrap/>
            <w:hideMark/>
          </w:tcPr>
          <w:p w14:paraId="2C253800"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77,6%</w:t>
            </w:r>
          </w:p>
        </w:tc>
      </w:tr>
      <w:tr w:rsidR="003F4CFF" w:rsidRPr="001127D6" w14:paraId="78586371"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4265595D"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Медицинские услуги</w:t>
            </w:r>
          </w:p>
        </w:tc>
        <w:tc>
          <w:tcPr>
            <w:tcW w:w="503" w:type="pct"/>
            <w:tcBorders>
              <w:top w:val="single" w:sz="4" w:space="0" w:color="auto"/>
              <w:left w:val="single" w:sz="4" w:space="0" w:color="auto"/>
              <w:bottom w:val="single" w:sz="4" w:space="0" w:color="auto"/>
              <w:right w:val="single" w:sz="4" w:space="0" w:color="auto"/>
            </w:tcBorders>
            <w:noWrap/>
            <w:hideMark/>
          </w:tcPr>
          <w:p w14:paraId="452223DF"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111</w:t>
            </w:r>
          </w:p>
        </w:tc>
        <w:tc>
          <w:tcPr>
            <w:tcW w:w="488" w:type="pct"/>
            <w:tcBorders>
              <w:top w:val="single" w:sz="4" w:space="0" w:color="auto"/>
              <w:left w:val="single" w:sz="4" w:space="0" w:color="auto"/>
              <w:bottom w:val="single" w:sz="4" w:space="0" w:color="auto"/>
              <w:right w:val="single" w:sz="4" w:space="0" w:color="auto"/>
            </w:tcBorders>
            <w:noWrap/>
            <w:hideMark/>
          </w:tcPr>
          <w:p w14:paraId="49C6E8B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3,7%</w:t>
            </w:r>
          </w:p>
        </w:tc>
        <w:tc>
          <w:tcPr>
            <w:tcW w:w="256" w:type="pct"/>
            <w:tcBorders>
              <w:top w:val="single" w:sz="4" w:space="0" w:color="auto"/>
              <w:left w:val="single" w:sz="4" w:space="0" w:color="auto"/>
              <w:bottom w:val="single" w:sz="4" w:space="0" w:color="auto"/>
              <w:right w:val="single" w:sz="4" w:space="0" w:color="auto"/>
            </w:tcBorders>
            <w:hideMark/>
          </w:tcPr>
          <w:p w14:paraId="6EDBACD8"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99</w:t>
            </w:r>
          </w:p>
        </w:tc>
        <w:tc>
          <w:tcPr>
            <w:tcW w:w="390" w:type="pct"/>
            <w:tcBorders>
              <w:top w:val="single" w:sz="4" w:space="0" w:color="auto"/>
              <w:left w:val="single" w:sz="4" w:space="0" w:color="auto"/>
              <w:bottom w:val="single" w:sz="4" w:space="0" w:color="auto"/>
              <w:right w:val="single" w:sz="4" w:space="0" w:color="auto"/>
            </w:tcBorders>
            <w:hideMark/>
          </w:tcPr>
          <w:p w14:paraId="7C82C2EA"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3,3%</w:t>
            </w:r>
          </w:p>
        </w:tc>
        <w:tc>
          <w:tcPr>
            <w:tcW w:w="256" w:type="pct"/>
            <w:tcBorders>
              <w:top w:val="single" w:sz="4" w:space="0" w:color="auto"/>
              <w:left w:val="single" w:sz="4" w:space="0" w:color="auto"/>
              <w:bottom w:val="single" w:sz="4" w:space="0" w:color="auto"/>
              <w:right w:val="single" w:sz="4" w:space="0" w:color="auto"/>
            </w:tcBorders>
            <w:hideMark/>
          </w:tcPr>
          <w:p w14:paraId="3F7C934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95</w:t>
            </w:r>
          </w:p>
        </w:tc>
        <w:tc>
          <w:tcPr>
            <w:tcW w:w="384" w:type="pct"/>
            <w:tcBorders>
              <w:top w:val="single" w:sz="4" w:space="0" w:color="auto"/>
              <w:left w:val="single" w:sz="4" w:space="0" w:color="auto"/>
              <w:bottom w:val="single" w:sz="4" w:space="0" w:color="auto"/>
              <w:right w:val="single" w:sz="4" w:space="0" w:color="auto"/>
            </w:tcBorders>
            <w:hideMark/>
          </w:tcPr>
          <w:p w14:paraId="292BDA66"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3,2%</w:t>
            </w:r>
          </w:p>
        </w:tc>
        <w:tc>
          <w:tcPr>
            <w:tcW w:w="1013" w:type="pct"/>
            <w:tcBorders>
              <w:top w:val="single" w:sz="4" w:space="0" w:color="auto"/>
              <w:left w:val="single" w:sz="4" w:space="0" w:color="auto"/>
              <w:bottom w:val="single" w:sz="4" w:space="0" w:color="auto"/>
              <w:right w:val="nil"/>
            </w:tcBorders>
            <w:noWrap/>
            <w:hideMark/>
          </w:tcPr>
          <w:p w14:paraId="12664456"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96,0%</w:t>
            </w:r>
          </w:p>
        </w:tc>
      </w:tr>
      <w:tr w:rsidR="003F4CFF" w:rsidRPr="001127D6" w14:paraId="428BEC68"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71EBDBD6"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Социальное обслуживание</w:t>
            </w:r>
          </w:p>
        </w:tc>
        <w:tc>
          <w:tcPr>
            <w:tcW w:w="503" w:type="pct"/>
            <w:tcBorders>
              <w:top w:val="single" w:sz="4" w:space="0" w:color="auto"/>
              <w:left w:val="single" w:sz="4" w:space="0" w:color="auto"/>
              <w:bottom w:val="single" w:sz="4" w:space="0" w:color="auto"/>
              <w:right w:val="single" w:sz="4" w:space="0" w:color="auto"/>
            </w:tcBorders>
            <w:noWrap/>
            <w:hideMark/>
          </w:tcPr>
          <w:p w14:paraId="005D8F4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26</w:t>
            </w:r>
          </w:p>
        </w:tc>
        <w:tc>
          <w:tcPr>
            <w:tcW w:w="488" w:type="pct"/>
            <w:tcBorders>
              <w:top w:val="single" w:sz="4" w:space="0" w:color="auto"/>
              <w:left w:val="single" w:sz="4" w:space="0" w:color="auto"/>
              <w:bottom w:val="single" w:sz="4" w:space="0" w:color="auto"/>
              <w:right w:val="single" w:sz="4" w:space="0" w:color="auto"/>
            </w:tcBorders>
            <w:noWrap/>
            <w:hideMark/>
          </w:tcPr>
          <w:p w14:paraId="204DD42F"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0,9%</w:t>
            </w:r>
          </w:p>
        </w:tc>
        <w:tc>
          <w:tcPr>
            <w:tcW w:w="256" w:type="pct"/>
            <w:tcBorders>
              <w:top w:val="single" w:sz="4" w:space="0" w:color="auto"/>
              <w:left w:val="single" w:sz="4" w:space="0" w:color="auto"/>
              <w:bottom w:val="single" w:sz="4" w:space="0" w:color="auto"/>
              <w:right w:val="single" w:sz="4" w:space="0" w:color="auto"/>
            </w:tcBorders>
            <w:hideMark/>
          </w:tcPr>
          <w:p w14:paraId="64D1D68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26</w:t>
            </w:r>
          </w:p>
        </w:tc>
        <w:tc>
          <w:tcPr>
            <w:tcW w:w="390" w:type="pct"/>
            <w:tcBorders>
              <w:top w:val="single" w:sz="4" w:space="0" w:color="auto"/>
              <w:left w:val="single" w:sz="4" w:space="0" w:color="auto"/>
              <w:bottom w:val="single" w:sz="4" w:space="0" w:color="auto"/>
              <w:right w:val="single" w:sz="4" w:space="0" w:color="auto"/>
            </w:tcBorders>
            <w:hideMark/>
          </w:tcPr>
          <w:p w14:paraId="6120F8C0"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0,9%</w:t>
            </w:r>
          </w:p>
        </w:tc>
        <w:tc>
          <w:tcPr>
            <w:tcW w:w="256" w:type="pct"/>
            <w:tcBorders>
              <w:top w:val="single" w:sz="4" w:space="0" w:color="auto"/>
              <w:left w:val="single" w:sz="4" w:space="0" w:color="auto"/>
              <w:bottom w:val="single" w:sz="4" w:space="0" w:color="auto"/>
              <w:right w:val="single" w:sz="4" w:space="0" w:color="auto"/>
            </w:tcBorders>
            <w:hideMark/>
          </w:tcPr>
          <w:p w14:paraId="48F3BE8F"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34</w:t>
            </w:r>
          </w:p>
        </w:tc>
        <w:tc>
          <w:tcPr>
            <w:tcW w:w="384" w:type="pct"/>
            <w:tcBorders>
              <w:top w:val="single" w:sz="4" w:space="0" w:color="auto"/>
              <w:left w:val="single" w:sz="4" w:space="0" w:color="auto"/>
              <w:bottom w:val="single" w:sz="4" w:space="0" w:color="auto"/>
              <w:right w:val="single" w:sz="4" w:space="0" w:color="auto"/>
            </w:tcBorders>
            <w:hideMark/>
          </w:tcPr>
          <w:p w14:paraId="49E24180"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1,2%</w:t>
            </w:r>
          </w:p>
        </w:tc>
        <w:tc>
          <w:tcPr>
            <w:tcW w:w="1013" w:type="pct"/>
            <w:tcBorders>
              <w:top w:val="single" w:sz="4" w:space="0" w:color="auto"/>
              <w:left w:val="single" w:sz="4" w:space="0" w:color="auto"/>
              <w:bottom w:val="single" w:sz="4" w:space="0" w:color="auto"/>
              <w:right w:val="nil"/>
            </w:tcBorders>
            <w:noWrap/>
            <w:hideMark/>
          </w:tcPr>
          <w:p w14:paraId="07F7A545"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130,8%</w:t>
            </w:r>
          </w:p>
        </w:tc>
      </w:tr>
      <w:tr w:rsidR="003F4CFF" w:rsidRPr="001127D6" w14:paraId="689C5783" w14:textId="77777777" w:rsidTr="00F55DE5">
        <w:trPr>
          <w:jc w:val="center"/>
        </w:trPr>
        <w:tc>
          <w:tcPr>
            <w:tcW w:w="1710" w:type="pct"/>
            <w:tcBorders>
              <w:top w:val="single" w:sz="4" w:space="0" w:color="auto"/>
              <w:left w:val="nil"/>
              <w:bottom w:val="single" w:sz="4" w:space="0" w:color="auto"/>
              <w:right w:val="single" w:sz="4" w:space="0" w:color="auto"/>
            </w:tcBorders>
            <w:hideMark/>
          </w:tcPr>
          <w:p w14:paraId="0CF92F4C"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Обработка древесины и производство изделий из дерева</w:t>
            </w:r>
          </w:p>
        </w:tc>
        <w:tc>
          <w:tcPr>
            <w:tcW w:w="503" w:type="pct"/>
            <w:tcBorders>
              <w:top w:val="single" w:sz="4" w:space="0" w:color="auto"/>
              <w:left w:val="single" w:sz="4" w:space="0" w:color="auto"/>
              <w:bottom w:val="single" w:sz="4" w:space="0" w:color="auto"/>
              <w:right w:val="single" w:sz="4" w:space="0" w:color="auto"/>
            </w:tcBorders>
            <w:noWrap/>
            <w:hideMark/>
          </w:tcPr>
          <w:p w14:paraId="4E981E19"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22</w:t>
            </w:r>
          </w:p>
        </w:tc>
        <w:tc>
          <w:tcPr>
            <w:tcW w:w="488" w:type="pct"/>
            <w:tcBorders>
              <w:top w:val="single" w:sz="4" w:space="0" w:color="auto"/>
              <w:left w:val="single" w:sz="4" w:space="0" w:color="auto"/>
              <w:bottom w:val="single" w:sz="4" w:space="0" w:color="auto"/>
              <w:right w:val="single" w:sz="4" w:space="0" w:color="auto"/>
            </w:tcBorders>
            <w:noWrap/>
            <w:hideMark/>
          </w:tcPr>
          <w:p w14:paraId="3CC7745B"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0,7%</w:t>
            </w:r>
          </w:p>
        </w:tc>
        <w:tc>
          <w:tcPr>
            <w:tcW w:w="256" w:type="pct"/>
            <w:tcBorders>
              <w:top w:val="single" w:sz="4" w:space="0" w:color="auto"/>
              <w:left w:val="single" w:sz="4" w:space="0" w:color="auto"/>
              <w:bottom w:val="single" w:sz="4" w:space="0" w:color="auto"/>
              <w:right w:val="single" w:sz="4" w:space="0" w:color="auto"/>
            </w:tcBorders>
            <w:noWrap/>
            <w:hideMark/>
          </w:tcPr>
          <w:p w14:paraId="4AC7A7A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23</w:t>
            </w:r>
          </w:p>
        </w:tc>
        <w:tc>
          <w:tcPr>
            <w:tcW w:w="390" w:type="pct"/>
            <w:tcBorders>
              <w:top w:val="single" w:sz="4" w:space="0" w:color="auto"/>
              <w:left w:val="single" w:sz="4" w:space="0" w:color="auto"/>
              <w:bottom w:val="single" w:sz="4" w:space="0" w:color="auto"/>
              <w:right w:val="single" w:sz="4" w:space="0" w:color="auto"/>
            </w:tcBorders>
            <w:hideMark/>
          </w:tcPr>
          <w:p w14:paraId="68771D96"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0,8%</w:t>
            </w:r>
          </w:p>
        </w:tc>
        <w:tc>
          <w:tcPr>
            <w:tcW w:w="256" w:type="pct"/>
            <w:tcBorders>
              <w:top w:val="single" w:sz="4" w:space="0" w:color="auto"/>
              <w:left w:val="single" w:sz="4" w:space="0" w:color="auto"/>
              <w:bottom w:val="single" w:sz="4" w:space="0" w:color="auto"/>
              <w:right w:val="single" w:sz="4" w:space="0" w:color="auto"/>
            </w:tcBorders>
            <w:hideMark/>
          </w:tcPr>
          <w:p w14:paraId="3CB6E99F"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22</w:t>
            </w:r>
          </w:p>
        </w:tc>
        <w:tc>
          <w:tcPr>
            <w:tcW w:w="384" w:type="pct"/>
            <w:tcBorders>
              <w:top w:val="single" w:sz="4" w:space="0" w:color="auto"/>
              <w:left w:val="single" w:sz="4" w:space="0" w:color="auto"/>
              <w:bottom w:val="single" w:sz="4" w:space="0" w:color="auto"/>
              <w:right w:val="single" w:sz="4" w:space="0" w:color="auto"/>
            </w:tcBorders>
            <w:hideMark/>
          </w:tcPr>
          <w:p w14:paraId="502D4257"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0,7%</w:t>
            </w:r>
          </w:p>
        </w:tc>
        <w:tc>
          <w:tcPr>
            <w:tcW w:w="1013" w:type="pct"/>
            <w:tcBorders>
              <w:top w:val="single" w:sz="4" w:space="0" w:color="auto"/>
              <w:left w:val="single" w:sz="4" w:space="0" w:color="auto"/>
              <w:bottom w:val="single" w:sz="4" w:space="0" w:color="auto"/>
              <w:right w:val="nil"/>
            </w:tcBorders>
            <w:noWrap/>
            <w:hideMark/>
          </w:tcPr>
          <w:p w14:paraId="7356EBA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95,7%</w:t>
            </w:r>
          </w:p>
        </w:tc>
      </w:tr>
      <w:tr w:rsidR="003F4CFF" w:rsidRPr="001127D6" w14:paraId="314363C3"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50D62C9B"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Услуги в сфере пассажирских и грузовых перевозок</w:t>
            </w:r>
          </w:p>
        </w:tc>
        <w:tc>
          <w:tcPr>
            <w:tcW w:w="503" w:type="pct"/>
            <w:tcBorders>
              <w:top w:val="single" w:sz="4" w:space="0" w:color="auto"/>
              <w:left w:val="single" w:sz="4" w:space="0" w:color="auto"/>
              <w:bottom w:val="single" w:sz="4" w:space="0" w:color="auto"/>
              <w:right w:val="single" w:sz="4" w:space="0" w:color="auto"/>
            </w:tcBorders>
            <w:noWrap/>
            <w:hideMark/>
          </w:tcPr>
          <w:p w14:paraId="437A255A"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488" w:type="pct"/>
            <w:tcBorders>
              <w:top w:val="single" w:sz="4" w:space="0" w:color="auto"/>
              <w:left w:val="single" w:sz="4" w:space="0" w:color="auto"/>
              <w:bottom w:val="single" w:sz="4" w:space="0" w:color="auto"/>
              <w:right w:val="single" w:sz="4" w:space="0" w:color="auto"/>
            </w:tcBorders>
            <w:noWrap/>
            <w:hideMark/>
          </w:tcPr>
          <w:p w14:paraId="3FF7CEE1"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256" w:type="pct"/>
            <w:tcBorders>
              <w:top w:val="single" w:sz="4" w:space="0" w:color="auto"/>
              <w:left w:val="single" w:sz="4" w:space="0" w:color="auto"/>
              <w:bottom w:val="single" w:sz="4" w:space="0" w:color="auto"/>
              <w:right w:val="single" w:sz="4" w:space="0" w:color="auto"/>
            </w:tcBorders>
            <w:noWrap/>
            <w:hideMark/>
          </w:tcPr>
          <w:p w14:paraId="20C857C5"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390" w:type="pct"/>
            <w:tcBorders>
              <w:top w:val="single" w:sz="4" w:space="0" w:color="auto"/>
              <w:left w:val="single" w:sz="4" w:space="0" w:color="auto"/>
              <w:bottom w:val="single" w:sz="4" w:space="0" w:color="auto"/>
              <w:right w:val="single" w:sz="4" w:space="0" w:color="auto"/>
            </w:tcBorders>
            <w:noWrap/>
            <w:hideMark/>
          </w:tcPr>
          <w:p w14:paraId="40DBE5BA"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256" w:type="pct"/>
            <w:tcBorders>
              <w:top w:val="single" w:sz="4" w:space="0" w:color="auto"/>
              <w:left w:val="single" w:sz="4" w:space="0" w:color="auto"/>
              <w:bottom w:val="single" w:sz="4" w:space="0" w:color="auto"/>
              <w:right w:val="single" w:sz="4" w:space="0" w:color="auto"/>
            </w:tcBorders>
            <w:hideMark/>
          </w:tcPr>
          <w:p w14:paraId="4F08DD25"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18</w:t>
            </w:r>
          </w:p>
        </w:tc>
        <w:tc>
          <w:tcPr>
            <w:tcW w:w="384" w:type="pct"/>
            <w:tcBorders>
              <w:top w:val="single" w:sz="4" w:space="0" w:color="auto"/>
              <w:left w:val="single" w:sz="4" w:space="0" w:color="auto"/>
              <w:bottom w:val="single" w:sz="4" w:space="0" w:color="auto"/>
              <w:right w:val="single" w:sz="4" w:space="0" w:color="auto"/>
            </w:tcBorders>
            <w:hideMark/>
          </w:tcPr>
          <w:p w14:paraId="2218C6B6"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0,6%</w:t>
            </w:r>
          </w:p>
        </w:tc>
        <w:tc>
          <w:tcPr>
            <w:tcW w:w="1013" w:type="pct"/>
            <w:tcBorders>
              <w:top w:val="single" w:sz="4" w:space="0" w:color="auto"/>
              <w:left w:val="single" w:sz="4" w:space="0" w:color="auto"/>
              <w:bottom w:val="single" w:sz="4" w:space="0" w:color="auto"/>
              <w:right w:val="nil"/>
            </w:tcBorders>
            <w:noWrap/>
            <w:hideMark/>
          </w:tcPr>
          <w:p w14:paraId="2B8BE7AB"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w:t>
            </w:r>
          </w:p>
        </w:tc>
      </w:tr>
      <w:tr w:rsidR="003F4CFF" w:rsidRPr="001127D6" w14:paraId="510D2CBA"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0157051D"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Физкультура и спорт</w:t>
            </w:r>
          </w:p>
        </w:tc>
        <w:tc>
          <w:tcPr>
            <w:tcW w:w="503" w:type="pct"/>
            <w:tcBorders>
              <w:top w:val="single" w:sz="4" w:space="0" w:color="auto"/>
              <w:left w:val="single" w:sz="4" w:space="0" w:color="auto"/>
              <w:bottom w:val="single" w:sz="4" w:space="0" w:color="auto"/>
              <w:right w:val="single" w:sz="4" w:space="0" w:color="auto"/>
            </w:tcBorders>
            <w:noWrap/>
            <w:hideMark/>
          </w:tcPr>
          <w:p w14:paraId="026BD1C7"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53</w:t>
            </w:r>
          </w:p>
        </w:tc>
        <w:tc>
          <w:tcPr>
            <w:tcW w:w="488" w:type="pct"/>
            <w:tcBorders>
              <w:top w:val="single" w:sz="4" w:space="0" w:color="auto"/>
              <w:left w:val="single" w:sz="4" w:space="0" w:color="auto"/>
              <w:bottom w:val="single" w:sz="4" w:space="0" w:color="auto"/>
              <w:right w:val="single" w:sz="4" w:space="0" w:color="auto"/>
            </w:tcBorders>
            <w:noWrap/>
            <w:hideMark/>
          </w:tcPr>
          <w:p w14:paraId="7D5B6129"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1,8%</w:t>
            </w:r>
          </w:p>
        </w:tc>
        <w:tc>
          <w:tcPr>
            <w:tcW w:w="256" w:type="pct"/>
            <w:tcBorders>
              <w:top w:val="single" w:sz="4" w:space="0" w:color="auto"/>
              <w:left w:val="single" w:sz="4" w:space="0" w:color="auto"/>
              <w:bottom w:val="single" w:sz="4" w:space="0" w:color="auto"/>
              <w:right w:val="single" w:sz="4" w:space="0" w:color="auto"/>
            </w:tcBorders>
            <w:noWrap/>
            <w:hideMark/>
          </w:tcPr>
          <w:p w14:paraId="35AB4B21"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390" w:type="pct"/>
            <w:tcBorders>
              <w:top w:val="single" w:sz="4" w:space="0" w:color="auto"/>
              <w:left w:val="single" w:sz="4" w:space="0" w:color="auto"/>
              <w:bottom w:val="single" w:sz="4" w:space="0" w:color="auto"/>
              <w:right w:val="single" w:sz="4" w:space="0" w:color="auto"/>
            </w:tcBorders>
            <w:noWrap/>
            <w:hideMark/>
          </w:tcPr>
          <w:p w14:paraId="076E0B6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256" w:type="pct"/>
            <w:tcBorders>
              <w:top w:val="single" w:sz="4" w:space="0" w:color="auto"/>
              <w:left w:val="single" w:sz="4" w:space="0" w:color="auto"/>
              <w:bottom w:val="single" w:sz="4" w:space="0" w:color="auto"/>
              <w:right w:val="single" w:sz="4" w:space="0" w:color="auto"/>
            </w:tcBorders>
            <w:hideMark/>
          </w:tcPr>
          <w:p w14:paraId="23B937A8"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11</w:t>
            </w:r>
          </w:p>
        </w:tc>
        <w:tc>
          <w:tcPr>
            <w:tcW w:w="384" w:type="pct"/>
            <w:tcBorders>
              <w:top w:val="single" w:sz="4" w:space="0" w:color="auto"/>
              <w:left w:val="single" w:sz="4" w:space="0" w:color="auto"/>
              <w:bottom w:val="single" w:sz="4" w:space="0" w:color="auto"/>
              <w:right w:val="single" w:sz="4" w:space="0" w:color="auto"/>
            </w:tcBorders>
            <w:hideMark/>
          </w:tcPr>
          <w:p w14:paraId="1398E075"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0,4%</w:t>
            </w:r>
          </w:p>
        </w:tc>
        <w:tc>
          <w:tcPr>
            <w:tcW w:w="1013" w:type="pct"/>
            <w:tcBorders>
              <w:top w:val="single" w:sz="4" w:space="0" w:color="auto"/>
              <w:left w:val="single" w:sz="4" w:space="0" w:color="auto"/>
              <w:bottom w:val="single" w:sz="4" w:space="0" w:color="auto"/>
              <w:right w:val="nil"/>
            </w:tcBorders>
            <w:noWrap/>
            <w:hideMark/>
          </w:tcPr>
          <w:p w14:paraId="6AE7935C"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w:t>
            </w:r>
          </w:p>
        </w:tc>
      </w:tr>
      <w:tr w:rsidR="003F4CFF" w:rsidRPr="001127D6" w14:paraId="5A236C90"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0179C29A"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Ветеринарные услуги</w:t>
            </w:r>
          </w:p>
        </w:tc>
        <w:tc>
          <w:tcPr>
            <w:tcW w:w="503" w:type="pct"/>
            <w:tcBorders>
              <w:top w:val="single" w:sz="4" w:space="0" w:color="auto"/>
              <w:left w:val="single" w:sz="4" w:space="0" w:color="auto"/>
              <w:bottom w:val="single" w:sz="4" w:space="0" w:color="auto"/>
              <w:right w:val="single" w:sz="4" w:space="0" w:color="auto"/>
            </w:tcBorders>
            <w:noWrap/>
            <w:hideMark/>
          </w:tcPr>
          <w:p w14:paraId="372B380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488" w:type="pct"/>
            <w:tcBorders>
              <w:top w:val="single" w:sz="4" w:space="0" w:color="auto"/>
              <w:left w:val="single" w:sz="4" w:space="0" w:color="auto"/>
              <w:bottom w:val="single" w:sz="4" w:space="0" w:color="auto"/>
              <w:right w:val="single" w:sz="4" w:space="0" w:color="auto"/>
            </w:tcBorders>
            <w:noWrap/>
            <w:hideMark/>
          </w:tcPr>
          <w:p w14:paraId="10124E1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256" w:type="pct"/>
            <w:tcBorders>
              <w:top w:val="single" w:sz="4" w:space="0" w:color="auto"/>
              <w:left w:val="single" w:sz="4" w:space="0" w:color="auto"/>
              <w:bottom w:val="single" w:sz="4" w:space="0" w:color="auto"/>
              <w:right w:val="single" w:sz="4" w:space="0" w:color="auto"/>
            </w:tcBorders>
            <w:hideMark/>
          </w:tcPr>
          <w:p w14:paraId="2949FDC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32</w:t>
            </w:r>
          </w:p>
        </w:tc>
        <w:tc>
          <w:tcPr>
            <w:tcW w:w="390" w:type="pct"/>
            <w:tcBorders>
              <w:top w:val="single" w:sz="4" w:space="0" w:color="auto"/>
              <w:left w:val="single" w:sz="4" w:space="0" w:color="auto"/>
              <w:bottom w:val="single" w:sz="4" w:space="0" w:color="auto"/>
              <w:right w:val="single" w:sz="4" w:space="0" w:color="auto"/>
            </w:tcBorders>
            <w:hideMark/>
          </w:tcPr>
          <w:p w14:paraId="169A859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1,1%</w:t>
            </w:r>
          </w:p>
        </w:tc>
        <w:tc>
          <w:tcPr>
            <w:tcW w:w="256" w:type="pct"/>
            <w:tcBorders>
              <w:top w:val="single" w:sz="4" w:space="0" w:color="auto"/>
              <w:left w:val="single" w:sz="4" w:space="0" w:color="auto"/>
              <w:bottom w:val="single" w:sz="4" w:space="0" w:color="auto"/>
              <w:right w:val="single" w:sz="4" w:space="0" w:color="auto"/>
            </w:tcBorders>
            <w:hideMark/>
          </w:tcPr>
          <w:p w14:paraId="41034C0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8</w:t>
            </w:r>
          </w:p>
        </w:tc>
        <w:tc>
          <w:tcPr>
            <w:tcW w:w="384" w:type="pct"/>
            <w:tcBorders>
              <w:top w:val="single" w:sz="4" w:space="0" w:color="auto"/>
              <w:left w:val="single" w:sz="4" w:space="0" w:color="auto"/>
              <w:bottom w:val="single" w:sz="4" w:space="0" w:color="auto"/>
              <w:right w:val="single" w:sz="4" w:space="0" w:color="auto"/>
            </w:tcBorders>
            <w:hideMark/>
          </w:tcPr>
          <w:p w14:paraId="368819B5"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0,3%</w:t>
            </w:r>
          </w:p>
        </w:tc>
        <w:tc>
          <w:tcPr>
            <w:tcW w:w="1013" w:type="pct"/>
            <w:tcBorders>
              <w:top w:val="single" w:sz="4" w:space="0" w:color="auto"/>
              <w:left w:val="single" w:sz="4" w:space="0" w:color="auto"/>
              <w:bottom w:val="single" w:sz="4" w:space="0" w:color="auto"/>
              <w:right w:val="nil"/>
            </w:tcBorders>
            <w:noWrap/>
            <w:hideMark/>
          </w:tcPr>
          <w:p w14:paraId="1E4F0FF2"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25,0%</w:t>
            </w:r>
          </w:p>
        </w:tc>
      </w:tr>
      <w:tr w:rsidR="003F4CFF" w:rsidRPr="001127D6" w14:paraId="69C6D14A"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1C08AC41"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Рынок услуг детского отдыха и оздоровления</w:t>
            </w:r>
          </w:p>
        </w:tc>
        <w:tc>
          <w:tcPr>
            <w:tcW w:w="503" w:type="pct"/>
            <w:tcBorders>
              <w:top w:val="single" w:sz="4" w:space="0" w:color="auto"/>
              <w:left w:val="single" w:sz="4" w:space="0" w:color="auto"/>
              <w:bottom w:val="single" w:sz="4" w:space="0" w:color="auto"/>
              <w:right w:val="single" w:sz="4" w:space="0" w:color="auto"/>
            </w:tcBorders>
            <w:noWrap/>
            <w:hideMark/>
          </w:tcPr>
          <w:p w14:paraId="13C4E839"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5</w:t>
            </w:r>
          </w:p>
        </w:tc>
        <w:tc>
          <w:tcPr>
            <w:tcW w:w="488" w:type="pct"/>
            <w:tcBorders>
              <w:top w:val="single" w:sz="4" w:space="0" w:color="auto"/>
              <w:left w:val="single" w:sz="4" w:space="0" w:color="auto"/>
              <w:bottom w:val="single" w:sz="4" w:space="0" w:color="auto"/>
              <w:right w:val="single" w:sz="4" w:space="0" w:color="auto"/>
            </w:tcBorders>
            <w:noWrap/>
            <w:hideMark/>
          </w:tcPr>
          <w:p w14:paraId="040D8570"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0,2%</w:t>
            </w:r>
          </w:p>
        </w:tc>
        <w:tc>
          <w:tcPr>
            <w:tcW w:w="256" w:type="pct"/>
            <w:tcBorders>
              <w:top w:val="single" w:sz="4" w:space="0" w:color="auto"/>
              <w:left w:val="single" w:sz="4" w:space="0" w:color="auto"/>
              <w:bottom w:val="single" w:sz="4" w:space="0" w:color="auto"/>
              <w:right w:val="single" w:sz="4" w:space="0" w:color="auto"/>
            </w:tcBorders>
            <w:hideMark/>
          </w:tcPr>
          <w:p w14:paraId="15C4CC0B"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5</w:t>
            </w:r>
          </w:p>
        </w:tc>
        <w:tc>
          <w:tcPr>
            <w:tcW w:w="390" w:type="pct"/>
            <w:tcBorders>
              <w:top w:val="single" w:sz="4" w:space="0" w:color="auto"/>
              <w:left w:val="single" w:sz="4" w:space="0" w:color="auto"/>
              <w:bottom w:val="single" w:sz="4" w:space="0" w:color="auto"/>
              <w:right w:val="single" w:sz="4" w:space="0" w:color="auto"/>
            </w:tcBorders>
            <w:hideMark/>
          </w:tcPr>
          <w:p w14:paraId="39D477DF"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0,2%</w:t>
            </w:r>
          </w:p>
        </w:tc>
        <w:tc>
          <w:tcPr>
            <w:tcW w:w="256" w:type="pct"/>
            <w:tcBorders>
              <w:top w:val="single" w:sz="4" w:space="0" w:color="auto"/>
              <w:left w:val="single" w:sz="4" w:space="0" w:color="auto"/>
              <w:bottom w:val="single" w:sz="4" w:space="0" w:color="auto"/>
              <w:right w:val="single" w:sz="4" w:space="0" w:color="auto"/>
            </w:tcBorders>
            <w:hideMark/>
          </w:tcPr>
          <w:p w14:paraId="2707707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7</w:t>
            </w:r>
          </w:p>
        </w:tc>
        <w:tc>
          <w:tcPr>
            <w:tcW w:w="384" w:type="pct"/>
            <w:tcBorders>
              <w:top w:val="single" w:sz="4" w:space="0" w:color="auto"/>
              <w:left w:val="single" w:sz="4" w:space="0" w:color="auto"/>
              <w:bottom w:val="single" w:sz="4" w:space="0" w:color="auto"/>
              <w:right w:val="single" w:sz="4" w:space="0" w:color="auto"/>
            </w:tcBorders>
            <w:hideMark/>
          </w:tcPr>
          <w:p w14:paraId="63735A61"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0,2%</w:t>
            </w:r>
          </w:p>
        </w:tc>
        <w:tc>
          <w:tcPr>
            <w:tcW w:w="1013" w:type="pct"/>
            <w:tcBorders>
              <w:top w:val="single" w:sz="4" w:space="0" w:color="auto"/>
              <w:left w:val="single" w:sz="4" w:space="0" w:color="auto"/>
              <w:bottom w:val="single" w:sz="4" w:space="0" w:color="auto"/>
              <w:right w:val="nil"/>
            </w:tcBorders>
            <w:noWrap/>
            <w:hideMark/>
          </w:tcPr>
          <w:p w14:paraId="5B5F1573"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140,0%</w:t>
            </w:r>
          </w:p>
        </w:tc>
      </w:tr>
      <w:tr w:rsidR="003F4CFF" w:rsidRPr="001127D6" w14:paraId="2B85A912"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0B57EF09"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Строительство, архитектура, капитальный ремонт</w:t>
            </w:r>
          </w:p>
        </w:tc>
        <w:tc>
          <w:tcPr>
            <w:tcW w:w="503" w:type="pct"/>
            <w:tcBorders>
              <w:top w:val="single" w:sz="4" w:space="0" w:color="auto"/>
              <w:left w:val="single" w:sz="4" w:space="0" w:color="auto"/>
              <w:bottom w:val="single" w:sz="4" w:space="0" w:color="auto"/>
              <w:right w:val="single" w:sz="4" w:space="0" w:color="auto"/>
            </w:tcBorders>
            <w:noWrap/>
            <w:hideMark/>
          </w:tcPr>
          <w:p w14:paraId="4779D601"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488" w:type="pct"/>
            <w:tcBorders>
              <w:top w:val="single" w:sz="4" w:space="0" w:color="auto"/>
              <w:left w:val="single" w:sz="4" w:space="0" w:color="auto"/>
              <w:bottom w:val="single" w:sz="4" w:space="0" w:color="auto"/>
              <w:right w:val="single" w:sz="4" w:space="0" w:color="auto"/>
            </w:tcBorders>
            <w:noWrap/>
            <w:hideMark/>
          </w:tcPr>
          <w:p w14:paraId="2813C4DF"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256" w:type="pct"/>
            <w:tcBorders>
              <w:top w:val="single" w:sz="4" w:space="0" w:color="auto"/>
              <w:left w:val="single" w:sz="4" w:space="0" w:color="auto"/>
              <w:bottom w:val="single" w:sz="4" w:space="0" w:color="auto"/>
              <w:right w:val="single" w:sz="4" w:space="0" w:color="auto"/>
            </w:tcBorders>
            <w:hideMark/>
          </w:tcPr>
          <w:p w14:paraId="1974770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4</w:t>
            </w:r>
          </w:p>
        </w:tc>
        <w:tc>
          <w:tcPr>
            <w:tcW w:w="390" w:type="pct"/>
            <w:tcBorders>
              <w:top w:val="single" w:sz="4" w:space="0" w:color="auto"/>
              <w:left w:val="single" w:sz="4" w:space="0" w:color="auto"/>
              <w:bottom w:val="single" w:sz="4" w:space="0" w:color="auto"/>
              <w:right w:val="single" w:sz="4" w:space="0" w:color="auto"/>
            </w:tcBorders>
            <w:hideMark/>
          </w:tcPr>
          <w:p w14:paraId="240817F9"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0,1%</w:t>
            </w:r>
          </w:p>
        </w:tc>
        <w:tc>
          <w:tcPr>
            <w:tcW w:w="256" w:type="pct"/>
            <w:tcBorders>
              <w:top w:val="single" w:sz="4" w:space="0" w:color="auto"/>
              <w:left w:val="single" w:sz="4" w:space="0" w:color="auto"/>
              <w:bottom w:val="single" w:sz="4" w:space="0" w:color="auto"/>
              <w:right w:val="single" w:sz="4" w:space="0" w:color="auto"/>
            </w:tcBorders>
            <w:hideMark/>
          </w:tcPr>
          <w:p w14:paraId="658C74A9"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4</w:t>
            </w:r>
          </w:p>
        </w:tc>
        <w:tc>
          <w:tcPr>
            <w:tcW w:w="384" w:type="pct"/>
            <w:tcBorders>
              <w:top w:val="single" w:sz="4" w:space="0" w:color="auto"/>
              <w:left w:val="single" w:sz="4" w:space="0" w:color="auto"/>
              <w:bottom w:val="single" w:sz="4" w:space="0" w:color="auto"/>
              <w:right w:val="single" w:sz="4" w:space="0" w:color="auto"/>
            </w:tcBorders>
            <w:hideMark/>
          </w:tcPr>
          <w:p w14:paraId="586462F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0,1%</w:t>
            </w:r>
          </w:p>
        </w:tc>
        <w:tc>
          <w:tcPr>
            <w:tcW w:w="1013" w:type="pct"/>
            <w:tcBorders>
              <w:top w:val="single" w:sz="4" w:space="0" w:color="auto"/>
              <w:left w:val="single" w:sz="4" w:space="0" w:color="auto"/>
              <w:bottom w:val="single" w:sz="4" w:space="0" w:color="auto"/>
              <w:right w:val="nil"/>
            </w:tcBorders>
            <w:noWrap/>
            <w:hideMark/>
          </w:tcPr>
          <w:p w14:paraId="1E367DD2"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100,0%</w:t>
            </w:r>
          </w:p>
        </w:tc>
      </w:tr>
      <w:tr w:rsidR="003F4CFF" w:rsidRPr="001127D6" w14:paraId="4FC5CD37"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41B3F1D4"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Услуги в сфере развития предпринимательства</w:t>
            </w:r>
          </w:p>
        </w:tc>
        <w:tc>
          <w:tcPr>
            <w:tcW w:w="503" w:type="pct"/>
            <w:tcBorders>
              <w:top w:val="single" w:sz="4" w:space="0" w:color="auto"/>
              <w:left w:val="single" w:sz="4" w:space="0" w:color="auto"/>
              <w:bottom w:val="single" w:sz="4" w:space="0" w:color="auto"/>
              <w:right w:val="single" w:sz="4" w:space="0" w:color="auto"/>
            </w:tcBorders>
            <w:noWrap/>
            <w:hideMark/>
          </w:tcPr>
          <w:p w14:paraId="2F512723"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488" w:type="pct"/>
            <w:tcBorders>
              <w:top w:val="single" w:sz="4" w:space="0" w:color="auto"/>
              <w:left w:val="single" w:sz="4" w:space="0" w:color="auto"/>
              <w:bottom w:val="single" w:sz="4" w:space="0" w:color="auto"/>
              <w:right w:val="single" w:sz="4" w:space="0" w:color="auto"/>
            </w:tcBorders>
            <w:noWrap/>
            <w:hideMark/>
          </w:tcPr>
          <w:p w14:paraId="57572A60"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256" w:type="pct"/>
            <w:tcBorders>
              <w:top w:val="single" w:sz="4" w:space="0" w:color="auto"/>
              <w:left w:val="single" w:sz="4" w:space="0" w:color="auto"/>
              <w:bottom w:val="single" w:sz="4" w:space="0" w:color="auto"/>
              <w:right w:val="single" w:sz="4" w:space="0" w:color="auto"/>
            </w:tcBorders>
            <w:hideMark/>
          </w:tcPr>
          <w:p w14:paraId="46019BB6"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4</w:t>
            </w:r>
          </w:p>
        </w:tc>
        <w:tc>
          <w:tcPr>
            <w:tcW w:w="390" w:type="pct"/>
            <w:tcBorders>
              <w:top w:val="single" w:sz="4" w:space="0" w:color="auto"/>
              <w:left w:val="single" w:sz="4" w:space="0" w:color="auto"/>
              <w:bottom w:val="single" w:sz="4" w:space="0" w:color="auto"/>
              <w:right w:val="single" w:sz="4" w:space="0" w:color="auto"/>
            </w:tcBorders>
            <w:hideMark/>
          </w:tcPr>
          <w:p w14:paraId="46BF721A"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0,1%</w:t>
            </w:r>
          </w:p>
        </w:tc>
        <w:tc>
          <w:tcPr>
            <w:tcW w:w="256" w:type="pct"/>
            <w:tcBorders>
              <w:top w:val="single" w:sz="4" w:space="0" w:color="auto"/>
              <w:left w:val="single" w:sz="4" w:space="0" w:color="auto"/>
              <w:bottom w:val="single" w:sz="4" w:space="0" w:color="auto"/>
              <w:right w:val="single" w:sz="4" w:space="0" w:color="auto"/>
            </w:tcBorders>
            <w:hideMark/>
          </w:tcPr>
          <w:p w14:paraId="3989393F"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w:t>
            </w:r>
          </w:p>
        </w:tc>
        <w:tc>
          <w:tcPr>
            <w:tcW w:w="384" w:type="pct"/>
            <w:tcBorders>
              <w:top w:val="single" w:sz="4" w:space="0" w:color="auto"/>
              <w:left w:val="single" w:sz="4" w:space="0" w:color="auto"/>
              <w:bottom w:val="single" w:sz="4" w:space="0" w:color="auto"/>
              <w:right w:val="single" w:sz="4" w:space="0" w:color="auto"/>
            </w:tcBorders>
            <w:hideMark/>
          </w:tcPr>
          <w:p w14:paraId="6065EBA5"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0,0%</w:t>
            </w:r>
          </w:p>
        </w:tc>
        <w:tc>
          <w:tcPr>
            <w:tcW w:w="1013" w:type="pct"/>
            <w:tcBorders>
              <w:top w:val="single" w:sz="4" w:space="0" w:color="auto"/>
              <w:left w:val="single" w:sz="4" w:space="0" w:color="auto"/>
              <w:bottom w:val="single" w:sz="4" w:space="0" w:color="auto"/>
              <w:right w:val="nil"/>
            </w:tcBorders>
            <w:noWrap/>
            <w:hideMark/>
          </w:tcPr>
          <w:p w14:paraId="410DF6E7"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0,0%</w:t>
            </w:r>
          </w:p>
        </w:tc>
      </w:tr>
      <w:tr w:rsidR="003F4CFF" w:rsidRPr="001127D6" w14:paraId="4EAC9682"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725E93E4"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Услуги по производству, переработке и хранению с/х продукции</w:t>
            </w:r>
          </w:p>
        </w:tc>
        <w:tc>
          <w:tcPr>
            <w:tcW w:w="503" w:type="pct"/>
            <w:tcBorders>
              <w:top w:val="single" w:sz="4" w:space="0" w:color="auto"/>
              <w:left w:val="single" w:sz="4" w:space="0" w:color="auto"/>
              <w:bottom w:val="single" w:sz="4" w:space="0" w:color="auto"/>
              <w:right w:val="single" w:sz="4" w:space="0" w:color="auto"/>
            </w:tcBorders>
            <w:noWrap/>
            <w:hideMark/>
          </w:tcPr>
          <w:p w14:paraId="315C74A9"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488" w:type="pct"/>
            <w:tcBorders>
              <w:top w:val="single" w:sz="4" w:space="0" w:color="auto"/>
              <w:left w:val="single" w:sz="4" w:space="0" w:color="auto"/>
              <w:bottom w:val="single" w:sz="4" w:space="0" w:color="auto"/>
              <w:right w:val="single" w:sz="4" w:space="0" w:color="auto"/>
            </w:tcBorders>
            <w:noWrap/>
            <w:hideMark/>
          </w:tcPr>
          <w:p w14:paraId="42F44159"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256" w:type="pct"/>
            <w:tcBorders>
              <w:top w:val="single" w:sz="4" w:space="0" w:color="auto"/>
              <w:left w:val="single" w:sz="4" w:space="0" w:color="auto"/>
              <w:bottom w:val="single" w:sz="4" w:space="0" w:color="auto"/>
              <w:right w:val="single" w:sz="4" w:space="0" w:color="auto"/>
            </w:tcBorders>
            <w:hideMark/>
          </w:tcPr>
          <w:p w14:paraId="2F7BD7E3"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3</w:t>
            </w:r>
          </w:p>
        </w:tc>
        <w:tc>
          <w:tcPr>
            <w:tcW w:w="390" w:type="pct"/>
            <w:tcBorders>
              <w:top w:val="single" w:sz="4" w:space="0" w:color="auto"/>
              <w:left w:val="single" w:sz="4" w:space="0" w:color="auto"/>
              <w:bottom w:val="single" w:sz="4" w:space="0" w:color="auto"/>
              <w:right w:val="single" w:sz="4" w:space="0" w:color="auto"/>
            </w:tcBorders>
            <w:hideMark/>
          </w:tcPr>
          <w:p w14:paraId="3D15F02A"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0,1%</w:t>
            </w:r>
          </w:p>
        </w:tc>
        <w:tc>
          <w:tcPr>
            <w:tcW w:w="256" w:type="pct"/>
            <w:tcBorders>
              <w:top w:val="single" w:sz="4" w:space="0" w:color="auto"/>
              <w:left w:val="single" w:sz="4" w:space="0" w:color="auto"/>
              <w:bottom w:val="single" w:sz="4" w:space="0" w:color="auto"/>
              <w:right w:val="single" w:sz="4" w:space="0" w:color="auto"/>
            </w:tcBorders>
            <w:hideMark/>
          </w:tcPr>
          <w:p w14:paraId="0DAB46CA"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w:t>
            </w:r>
          </w:p>
        </w:tc>
        <w:tc>
          <w:tcPr>
            <w:tcW w:w="384" w:type="pct"/>
            <w:tcBorders>
              <w:top w:val="single" w:sz="4" w:space="0" w:color="auto"/>
              <w:left w:val="single" w:sz="4" w:space="0" w:color="auto"/>
              <w:bottom w:val="single" w:sz="4" w:space="0" w:color="auto"/>
              <w:right w:val="single" w:sz="4" w:space="0" w:color="auto"/>
            </w:tcBorders>
            <w:hideMark/>
          </w:tcPr>
          <w:p w14:paraId="7EC76A7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0,0%</w:t>
            </w:r>
          </w:p>
        </w:tc>
        <w:tc>
          <w:tcPr>
            <w:tcW w:w="1013" w:type="pct"/>
            <w:tcBorders>
              <w:top w:val="single" w:sz="4" w:space="0" w:color="auto"/>
              <w:left w:val="single" w:sz="4" w:space="0" w:color="auto"/>
              <w:bottom w:val="single" w:sz="4" w:space="0" w:color="auto"/>
              <w:right w:val="nil"/>
            </w:tcBorders>
            <w:noWrap/>
            <w:hideMark/>
          </w:tcPr>
          <w:p w14:paraId="434BD163"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0,0%</w:t>
            </w:r>
          </w:p>
        </w:tc>
      </w:tr>
      <w:tr w:rsidR="003F4CFF" w:rsidRPr="001127D6" w14:paraId="0D54BDBC"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4E16E75F"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Аренда имущества</w:t>
            </w:r>
          </w:p>
        </w:tc>
        <w:tc>
          <w:tcPr>
            <w:tcW w:w="503" w:type="pct"/>
            <w:tcBorders>
              <w:top w:val="single" w:sz="4" w:space="0" w:color="auto"/>
              <w:left w:val="single" w:sz="4" w:space="0" w:color="auto"/>
              <w:bottom w:val="single" w:sz="4" w:space="0" w:color="auto"/>
              <w:right w:val="single" w:sz="4" w:space="0" w:color="auto"/>
            </w:tcBorders>
            <w:noWrap/>
            <w:hideMark/>
          </w:tcPr>
          <w:p w14:paraId="5FB701CC"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488" w:type="pct"/>
            <w:tcBorders>
              <w:top w:val="single" w:sz="4" w:space="0" w:color="auto"/>
              <w:left w:val="single" w:sz="4" w:space="0" w:color="auto"/>
              <w:bottom w:val="single" w:sz="4" w:space="0" w:color="auto"/>
              <w:right w:val="single" w:sz="4" w:space="0" w:color="auto"/>
            </w:tcBorders>
            <w:noWrap/>
            <w:hideMark/>
          </w:tcPr>
          <w:p w14:paraId="0ACCEA98"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256" w:type="pct"/>
            <w:tcBorders>
              <w:top w:val="single" w:sz="4" w:space="0" w:color="auto"/>
              <w:left w:val="single" w:sz="4" w:space="0" w:color="auto"/>
              <w:bottom w:val="single" w:sz="4" w:space="0" w:color="auto"/>
              <w:right w:val="single" w:sz="4" w:space="0" w:color="auto"/>
            </w:tcBorders>
            <w:hideMark/>
          </w:tcPr>
          <w:p w14:paraId="725089E1"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w:t>
            </w:r>
          </w:p>
        </w:tc>
        <w:tc>
          <w:tcPr>
            <w:tcW w:w="390" w:type="pct"/>
            <w:tcBorders>
              <w:top w:val="single" w:sz="4" w:space="0" w:color="auto"/>
              <w:left w:val="single" w:sz="4" w:space="0" w:color="auto"/>
              <w:bottom w:val="single" w:sz="4" w:space="0" w:color="auto"/>
              <w:right w:val="single" w:sz="4" w:space="0" w:color="auto"/>
            </w:tcBorders>
            <w:hideMark/>
          </w:tcPr>
          <w:p w14:paraId="16C6739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0,1%</w:t>
            </w:r>
          </w:p>
        </w:tc>
        <w:tc>
          <w:tcPr>
            <w:tcW w:w="256" w:type="pct"/>
            <w:tcBorders>
              <w:top w:val="single" w:sz="4" w:space="0" w:color="auto"/>
              <w:left w:val="single" w:sz="4" w:space="0" w:color="auto"/>
              <w:bottom w:val="single" w:sz="4" w:space="0" w:color="auto"/>
              <w:right w:val="single" w:sz="4" w:space="0" w:color="auto"/>
            </w:tcBorders>
            <w:hideMark/>
          </w:tcPr>
          <w:p w14:paraId="564CAB8A"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w:t>
            </w:r>
          </w:p>
        </w:tc>
        <w:tc>
          <w:tcPr>
            <w:tcW w:w="384" w:type="pct"/>
            <w:tcBorders>
              <w:top w:val="single" w:sz="4" w:space="0" w:color="auto"/>
              <w:left w:val="single" w:sz="4" w:space="0" w:color="auto"/>
              <w:bottom w:val="single" w:sz="4" w:space="0" w:color="auto"/>
              <w:right w:val="single" w:sz="4" w:space="0" w:color="auto"/>
            </w:tcBorders>
            <w:hideMark/>
          </w:tcPr>
          <w:p w14:paraId="565D9E81"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0,0%</w:t>
            </w:r>
          </w:p>
        </w:tc>
        <w:tc>
          <w:tcPr>
            <w:tcW w:w="1013" w:type="pct"/>
            <w:tcBorders>
              <w:top w:val="single" w:sz="4" w:space="0" w:color="auto"/>
              <w:left w:val="single" w:sz="4" w:space="0" w:color="auto"/>
              <w:bottom w:val="single" w:sz="4" w:space="0" w:color="auto"/>
              <w:right w:val="nil"/>
            </w:tcBorders>
            <w:noWrap/>
            <w:hideMark/>
          </w:tcPr>
          <w:p w14:paraId="60969EB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50,0%</w:t>
            </w:r>
          </w:p>
        </w:tc>
      </w:tr>
      <w:tr w:rsidR="003F4CFF" w:rsidRPr="001127D6" w14:paraId="654DBB7C"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06FF9F8E"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lastRenderedPageBreak/>
              <w:t>Услуги архивов</w:t>
            </w:r>
          </w:p>
        </w:tc>
        <w:tc>
          <w:tcPr>
            <w:tcW w:w="503" w:type="pct"/>
            <w:tcBorders>
              <w:top w:val="single" w:sz="4" w:space="0" w:color="auto"/>
              <w:left w:val="single" w:sz="4" w:space="0" w:color="auto"/>
              <w:bottom w:val="single" w:sz="4" w:space="0" w:color="auto"/>
              <w:right w:val="single" w:sz="4" w:space="0" w:color="auto"/>
            </w:tcBorders>
            <w:noWrap/>
            <w:hideMark/>
          </w:tcPr>
          <w:p w14:paraId="1798BE4A"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488" w:type="pct"/>
            <w:tcBorders>
              <w:top w:val="single" w:sz="4" w:space="0" w:color="auto"/>
              <w:left w:val="single" w:sz="4" w:space="0" w:color="auto"/>
              <w:bottom w:val="single" w:sz="4" w:space="0" w:color="auto"/>
              <w:right w:val="single" w:sz="4" w:space="0" w:color="auto"/>
            </w:tcBorders>
            <w:noWrap/>
            <w:hideMark/>
          </w:tcPr>
          <w:p w14:paraId="59C8DD18"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256" w:type="pct"/>
            <w:tcBorders>
              <w:top w:val="single" w:sz="4" w:space="0" w:color="auto"/>
              <w:left w:val="single" w:sz="4" w:space="0" w:color="auto"/>
              <w:bottom w:val="single" w:sz="4" w:space="0" w:color="auto"/>
              <w:right w:val="single" w:sz="4" w:space="0" w:color="auto"/>
            </w:tcBorders>
            <w:hideMark/>
          </w:tcPr>
          <w:p w14:paraId="09D6D51D"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w:t>
            </w:r>
          </w:p>
        </w:tc>
        <w:tc>
          <w:tcPr>
            <w:tcW w:w="390" w:type="pct"/>
            <w:tcBorders>
              <w:top w:val="single" w:sz="4" w:space="0" w:color="auto"/>
              <w:left w:val="single" w:sz="4" w:space="0" w:color="auto"/>
              <w:bottom w:val="single" w:sz="4" w:space="0" w:color="auto"/>
              <w:right w:val="single" w:sz="4" w:space="0" w:color="auto"/>
            </w:tcBorders>
            <w:hideMark/>
          </w:tcPr>
          <w:p w14:paraId="11BA6286"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0,1%</w:t>
            </w:r>
          </w:p>
        </w:tc>
        <w:tc>
          <w:tcPr>
            <w:tcW w:w="256" w:type="pct"/>
            <w:tcBorders>
              <w:top w:val="single" w:sz="4" w:space="0" w:color="auto"/>
              <w:left w:val="single" w:sz="4" w:space="0" w:color="auto"/>
              <w:bottom w:val="single" w:sz="4" w:space="0" w:color="auto"/>
              <w:right w:val="single" w:sz="4" w:space="0" w:color="auto"/>
            </w:tcBorders>
            <w:hideMark/>
          </w:tcPr>
          <w:p w14:paraId="36626FD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w:t>
            </w:r>
          </w:p>
        </w:tc>
        <w:tc>
          <w:tcPr>
            <w:tcW w:w="384" w:type="pct"/>
            <w:tcBorders>
              <w:top w:val="single" w:sz="4" w:space="0" w:color="auto"/>
              <w:left w:val="single" w:sz="4" w:space="0" w:color="auto"/>
              <w:bottom w:val="single" w:sz="4" w:space="0" w:color="auto"/>
              <w:right w:val="single" w:sz="4" w:space="0" w:color="auto"/>
            </w:tcBorders>
            <w:hideMark/>
          </w:tcPr>
          <w:p w14:paraId="796A7289"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0,0%</w:t>
            </w:r>
          </w:p>
        </w:tc>
        <w:tc>
          <w:tcPr>
            <w:tcW w:w="1013" w:type="pct"/>
            <w:tcBorders>
              <w:top w:val="single" w:sz="4" w:space="0" w:color="auto"/>
              <w:left w:val="single" w:sz="4" w:space="0" w:color="auto"/>
              <w:bottom w:val="single" w:sz="4" w:space="0" w:color="auto"/>
              <w:right w:val="nil"/>
            </w:tcBorders>
            <w:noWrap/>
            <w:hideMark/>
          </w:tcPr>
          <w:p w14:paraId="03B8D847"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50,0%</w:t>
            </w:r>
          </w:p>
        </w:tc>
      </w:tr>
      <w:tr w:rsidR="003F4CFF" w:rsidRPr="001127D6" w14:paraId="6DDB37F1"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721E7DE1"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Финансовое посредничество</w:t>
            </w:r>
          </w:p>
        </w:tc>
        <w:tc>
          <w:tcPr>
            <w:tcW w:w="503" w:type="pct"/>
            <w:tcBorders>
              <w:top w:val="single" w:sz="4" w:space="0" w:color="auto"/>
              <w:left w:val="single" w:sz="4" w:space="0" w:color="auto"/>
              <w:bottom w:val="single" w:sz="4" w:space="0" w:color="auto"/>
              <w:right w:val="single" w:sz="4" w:space="0" w:color="auto"/>
            </w:tcBorders>
            <w:noWrap/>
            <w:hideMark/>
          </w:tcPr>
          <w:p w14:paraId="16D007EB"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488" w:type="pct"/>
            <w:tcBorders>
              <w:top w:val="single" w:sz="4" w:space="0" w:color="auto"/>
              <w:left w:val="single" w:sz="4" w:space="0" w:color="auto"/>
              <w:bottom w:val="single" w:sz="4" w:space="0" w:color="auto"/>
              <w:right w:val="single" w:sz="4" w:space="0" w:color="auto"/>
            </w:tcBorders>
            <w:noWrap/>
            <w:hideMark/>
          </w:tcPr>
          <w:p w14:paraId="45CC7A7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256" w:type="pct"/>
            <w:tcBorders>
              <w:top w:val="single" w:sz="4" w:space="0" w:color="auto"/>
              <w:left w:val="single" w:sz="4" w:space="0" w:color="auto"/>
              <w:bottom w:val="single" w:sz="4" w:space="0" w:color="auto"/>
              <w:right w:val="single" w:sz="4" w:space="0" w:color="auto"/>
            </w:tcBorders>
            <w:hideMark/>
          </w:tcPr>
          <w:p w14:paraId="50840F7C"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w:t>
            </w:r>
          </w:p>
        </w:tc>
        <w:tc>
          <w:tcPr>
            <w:tcW w:w="390" w:type="pct"/>
            <w:tcBorders>
              <w:top w:val="single" w:sz="4" w:space="0" w:color="auto"/>
              <w:left w:val="single" w:sz="4" w:space="0" w:color="auto"/>
              <w:bottom w:val="single" w:sz="4" w:space="0" w:color="auto"/>
              <w:right w:val="single" w:sz="4" w:space="0" w:color="auto"/>
            </w:tcBorders>
            <w:hideMark/>
          </w:tcPr>
          <w:p w14:paraId="7552EE79"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0,1%</w:t>
            </w:r>
          </w:p>
        </w:tc>
        <w:tc>
          <w:tcPr>
            <w:tcW w:w="256" w:type="pct"/>
            <w:tcBorders>
              <w:top w:val="single" w:sz="4" w:space="0" w:color="auto"/>
              <w:left w:val="single" w:sz="4" w:space="0" w:color="auto"/>
              <w:bottom w:val="single" w:sz="4" w:space="0" w:color="auto"/>
              <w:right w:val="single" w:sz="4" w:space="0" w:color="auto"/>
            </w:tcBorders>
            <w:hideMark/>
          </w:tcPr>
          <w:p w14:paraId="09937D6A"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w:t>
            </w:r>
          </w:p>
        </w:tc>
        <w:tc>
          <w:tcPr>
            <w:tcW w:w="384" w:type="pct"/>
            <w:tcBorders>
              <w:top w:val="single" w:sz="4" w:space="0" w:color="auto"/>
              <w:left w:val="single" w:sz="4" w:space="0" w:color="auto"/>
              <w:bottom w:val="single" w:sz="4" w:space="0" w:color="auto"/>
              <w:right w:val="single" w:sz="4" w:space="0" w:color="auto"/>
            </w:tcBorders>
            <w:hideMark/>
          </w:tcPr>
          <w:p w14:paraId="7A3EFCE2"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0,0%</w:t>
            </w:r>
          </w:p>
        </w:tc>
        <w:tc>
          <w:tcPr>
            <w:tcW w:w="1013" w:type="pct"/>
            <w:tcBorders>
              <w:top w:val="single" w:sz="4" w:space="0" w:color="auto"/>
              <w:left w:val="single" w:sz="4" w:space="0" w:color="auto"/>
              <w:bottom w:val="single" w:sz="4" w:space="0" w:color="auto"/>
              <w:right w:val="nil"/>
            </w:tcBorders>
            <w:noWrap/>
            <w:hideMark/>
          </w:tcPr>
          <w:p w14:paraId="5D785ED7"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50,0%</w:t>
            </w:r>
          </w:p>
        </w:tc>
      </w:tr>
      <w:tr w:rsidR="003F4CFF" w:rsidRPr="001127D6" w14:paraId="506B6F6D"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0DFE1097"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Телекоммуникационные услуги</w:t>
            </w:r>
          </w:p>
        </w:tc>
        <w:tc>
          <w:tcPr>
            <w:tcW w:w="503" w:type="pct"/>
            <w:tcBorders>
              <w:top w:val="single" w:sz="4" w:space="0" w:color="auto"/>
              <w:left w:val="single" w:sz="4" w:space="0" w:color="auto"/>
              <w:bottom w:val="single" w:sz="4" w:space="0" w:color="auto"/>
              <w:right w:val="single" w:sz="4" w:space="0" w:color="auto"/>
            </w:tcBorders>
            <w:noWrap/>
            <w:hideMark/>
          </w:tcPr>
          <w:p w14:paraId="66CF2408"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488" w:type="pct"/>
            <w:tcBorders>
              <w:top w:val="single" w:sz="4" w:space="0" w:color="auto"/>
              <w:left w:val="single" w:sz="4" w:space="0" w:color="auto"/>
              <w:bottom w:val="single" w:sz="4" w:space="0" w:color="auto"/>
              <w:right w:val="single" w:sz="4" w:space="0" w:color="auto"/>
            </w:tcBorders>
            <w:noWrap/>
            <w:hideMark/>
          </w:tcPr>
          <w:p w14:paraId="33A62312"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256" w:type="pct"/>
            <w:tcBorders>
              <w:top w:val="single" w:sz="4" w:space="0" w:color="auto"/>
              <w:left w:val="single" w:sz="4" w:space="0" w:color="auto"/>
              <w:bottom w:val="single" w:sz="4" w:space="0" w:color="auto"/>
              <w:right w:val="single" w:sz="4" w:space="0" w:color="auto"/>
            </w:tcBorders>
            <w:hideMark/>
          </w:tcPr>
          <w:p w14:paraId="079C2D0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w:t>
            </w:r>
          </w:p>
        </w:tc>
        <w:tc>
          <w:tcPr>
            <w:tcW w:w="390" w:type="pct"/>
            <w:tcBorders>
              <w:top w:val="single" w:sz="4" w:space="0" w:color="auto"/>
              <w:left w:val="single" w:sz="4" w:space="0" w:color="auto"/>
              <w:bottom w:val="single" w:sz="4" w:space="0" w:color="auto"/>
              <w:right w:val="single" w:sz="4" w:space="0" w:color="auto"/>
            </w:tcBorders>
            <w:hideMark/>
          </w:tcPr>
          <w:p w14:paraId="0D79187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0,0%</w:t>
            </w:r>
          </w:p>
        </w:tc>
        <w:tc>
          <w:tcPr>
            <w:tcW w:w="256" w:type="pct"/>
            <w:tcBorders>
              <w:top w:val="single" w:sz="4" w:space="0" w:color="auto"/>
              <w:left w:val="single" w:sz="4" w:space="0" w:color="auto"/>
              <w:bottom w:val="single" w:sz="4" w:space="0" w:color="auto"/>
              <w:right w:val="single" w:sz="4" w:space="0" w:color="auto"/>
            </w:tcBorders>
            <w:hideMark/>
          </w:tcPr>
          <w:p w14:paraId="79ABCD9D"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w:t>
            </w:r>
          </w:p>
        </w:tc>
        <w:tc>
          <w:tcPr>
            <w:tcW w:w="384" w:type="pct"/>
            <w:tcBorders>
              <w:top w:val="single" w:sz="4" w:space="0" w:color="auto"/>
              <w:left w:val="single" w:sz="4" w:space="0" w:color="auto"/>
              <w:bottom w:val="single" w:sz="4" w:space="0" w:color="auto"/>
              <w:right w:val="single" w:sz="4" w:space="0" w:color="auto"/>
            </w:tcBorders>
            <w:hideMark/>
          </w:tcPr>
          <w:p w14:paraId="4EFBF812"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0,0%</w:t>
            </w:r>
          </w:p>
        </w:tc>
        <w:tc>
          <w:tcPr>
            <w:tcW w:w="1013" w:type="pct"/>
            <w:tcBorders>
              <w:top w:val="single" w:sz="4" w:space="0" w:color="auto"/>
              <w:left w:val="single" w:sz="4" w:space="0" w:color="auto"/>
              <w:bottom w:val="single" w:sz="4" w:space="0" w:color="auto"/>
              <w:right w:val="nil"/>
            </w:tcBorders>
            <w:noWrap/>
            <w:hideMark/>
          </w:tcPr>
          <w:p w14:paraId="3368A41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0,0%</w:t>
            </w:r>
          </w:p>
        </w:tc>
      </w:tr>
      <w:tr w:rsidR="003F4CFF" w:rsidRPr="001127D6" w14:paraId="042FE845"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449E9279"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Средства массовой информации</w:t>
            </w:r>
          </w:p>
        </w:tc>
        <w:tc>
          <w:tcPr>
            <w:tcW w:w="503" w:type="pct"/>
            <w:tcBorders>
              <w:top w:val="single" w:sz="4" w:space="0" w:color="auto"/>
              <w:left w:val="single" w:sz="4" w:space="0" w:color="auto"/>
              <w:bottom w:val="single" w:sz="4" w:space="0" w:color="auto"/>
              <w:right w:val="single" w:sz="4" w:space="0" w:color="auto"/>
            </w:tcBorders>
            <w:noWrap/>
            <w:hideMark/>
          </w:tcPr>
          <w:p w14:paraId="1265F8B0"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488" w:type="pct"/>
            <w:tcBorders>
              <w:top w:val="single" w:sz="4" w:space="0" w:color="auto"/>
              <w:left w:val="single" w:sz="4" w:space="0" w:color="auto"/>
              <w:bottom w:val="single" w:sz="4" w:space="0" w:color="auto"/>
              <w:right w:val="single" w:sz="4" w:space="0" w:color="auto"/>
            </w:tcBorders>
            <w:noWrap/>
            <w:hideMark/>
          </w:tcPr>
          <w:p w14:paraId="6D022B69"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256" w:type="pct"/>
            <w:tcBorders>
              <w:top w:val="single" w:sz="4" w:space="0" w:color="auto"/>
              <w:left w:val="single" w:sz="4" w:space="0" w:color="auto"/>
              <w:bottom w:val="single" w:sz="4" w:space="0" w:color="auto"/>
              <w:right w:val="single" w:sz="4" w:space="0" w:color="auto"/>
            </w:tcBorders>
            <w:hideMark/>
          </w:tcPr>
          <w:p w14:paraId="0748532F"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w:t>
            </w:r>
          </w:p>
        </w:tc>
        <w:tc>
          <w:tcPr>
            <w:tcW w:w="390" w:type="pct"/>
            <w:tcBorders>
              <w:top w:val="single" w:sz="4" w:space="0" w:color="auto"/>
              <w:left w:val="single" w:sz="4" w:space="0" w:color="auto"/>
              <w:bottom w:val="single" w:sz="4" w:space="0" w:color="auto"/>
              <w:right w:val="single" w:sz="4" w:space="0" w:color="auto"/>
            </w:tcBorders>
            <w:hideMark/>
          </w:tcPr>
          <w:p w14:paraId="7CABE53F"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0,0%</w:t>
            </w:r>
          </w:p>
        </w:tc>
        <w:tc>
          <w:tcPr>
            <w:tcW w:w="256" w:type="pct"/>
            <w:tcBorders>
              <w:top w:val="single" w:sz="4" w:space="0" w:color="auto"/>
              <w:left w:val="single" w:sz="4" w:space="0" w:color="auto"/>
              <w:bottom w:val="single" w:sz="4" w:space="0" w:color="auto"/>
              <w:right w:val="single" w:sz="4" w:space="0" w:color="auto"/>
            </w:tcBorders>
            <w:hideMark/>
          </w:tcPr>
          <w:p w14:paraId="6986A469"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w:t>
            </w:r>
          </w:p>
        </w:tc>
        <w:tc>
          <w:tcPr>
            <w:tcW w:w="384" w:type="pct"/>
            <w:tcBorders>
              <w:top w:val="single" w:sz="4" w:space="0" w:color="auto"/>
              <w:left w:val="single" w:sz="4" w:space="0" w:color="auto"/>
              <w:bottom w:val="single" w:sz="4" w:space="0" w:color="auto"/>
              <w:right w:val="single" w:sz="4" w:space="0" w:color="auto"/>
            </w:tcBorders>
            <w:hideMark/>
          </w:tcPr>
          <w:p w14:paraId="6D5E3A2A"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0,0%</w:t>
            </w:r>
          </w:p>
        </w:tc>
        <w:tc>
          <w:tcPr>
            <w:tcW w:w="1013" w:type="pct"/>
            <w:tcBorders>
              <w:top w:val="single" w:sz="4" w:space="0" w:color="auto"/>
              <w:left w:val="single" w:sz="4" w:space="0" w:color="auto"/>
              <w:bottom w:val="single" w:sz="4" w:space="0" w:color="auto"/>
              <w:right w:val="nil"/>
            </w:tcBorders>
            <w:noWrap/>
            <w:hideMark/>
          </w:tcPr>
          <w:p w14:paraId="52EA5E49"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0,0%</w:t>
            </w:r>
          </w:p>
        </w:tc>
      </w:tr>
      <w:tr w:rsidR="003F4CFF" w:rsidRPr="001127D6" w14:paraId="24770E41"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3CEE5910"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Государственные услуги в сфере содействия занятости населения</w:t>
            </w:r>
          </w:p>
        </w:tc>
        <w:tc>
          <w:tcPr>
            <w:tcW w:w="503" w:type="pct"/>
            <w:tcBorders>
              <w:top w:val="single" w:sz="4" w:space="0" w:color="auto"/>
              <w:left w:val="single" w:sz="4" w:space="0" w:color="auto"/>
              <w:bottom w:val="single" w:sz="4" w:space="0" w:color="auto"/>
              <w:right w:val="single" w:sz="4" w:space="0" w:color="auto"/>
            </w:tcBorders>
            <w:noWrap/>
            <w:hideMark/>
          </w:tcPr>
          <w:p w14:paraId="1EDB84EB"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33</w:t>
            </w:r>
          </w:p>
        </w:tc>
        <w:tc>
          <w:tcPr>
            <w:tcW w:w="488" w:type="pct"/>
            <w:tcBorders>
              <w:top w:val="single" w:sz="4" w:space="0" w:color="auto"/>
              <w:left w:val="single" w:sz="4" w:space="0" w:color="auto"/>
              <w:bottom w:val="single" w:sz="4" w:space="0" w:color="auto"/>
              <w:right w:val="single" w:sz="4" w:space="0" w:color="auto"/>
            </w:tcBorders>
            <w:noWrap/>
            <w:hideMark/>
          </w:tcPr>
          <w:p w14:paraId="6686F77F"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1,1%</w:t>
            </w:r>
          </w:p>
        </w:tc>
        <w:tc>
          <w:tcPr>
            <w:tcW w:w="256" w:type="pct"/>
            <w:tcBorders>
              <w:top w:val="single" w:sz="4" w:space="0" w:color="auto"/>
              <w:left w:val="single" w:sz="4" w:space="0" w:color="auto"/>
              <w:bottom w:val="single" w:sz="4" w:space="0" w:color="auto"/>
              <w:right w:val="single" w:sz="4" w:space="0" w:color="auto"/>
            </w:tcBorders>
            <w:noWrap/>
            <w:hideMark/>
          </w:tcPr>
          <w:p w14:paraId="62D1B1F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390" w:type="pct"/>
            <w:tcBorders>
              <w:top w:val="single" w:sz="4" w:space="0" w:color="auto"/>
              <w:left w:val="single" w:sz="4" w:space="0" w:color="auto"/>
              <w:bottom w:val="single" w:sz="4" w:space="0" w:color="auto"/>
              <w:right w:val="single" w:sz="4" w:space="0" w:color="auto"/>
            </w:tcBorders>
            <w:noWrap/>
            <w:hideMark/>
          </w:tcPr>
          <w:p w14:paraId="21A4D048"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256" w:type="pct"/>
            <w:tcBorders>
              <w:top w:val="single" w:sz="4" w:space="0" w:color="auto"/>
              <w:left w:val="single" w:sz="4" w:space="0" w:color="auto"/>
              <w:bottom w:val="single" w:sz="4" w:space="0" w:color="auto"/>
              <w:right w:val="single" w:sz="4" w:space="0" w:color="auto"/>
            </w:tcBorders>
            <w:noWrap/>
            <w:hideMark/>
          </w:tcPr>
          <w:p w14:paraId="4AD7308C"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384" w:type="pct"/>
            <w:tcBorders>
              <w:top w:val="single" w:sz="4" w:space="0" w:color="auto"/>
              <w:left w:val="single" w:sz="4" w:space="0" w:color="auto"/>
              <w:bottom w:val="single" w:sz="4" w:space="0" w:color="auto"/>
              <w:right w:val="single" w:sz="4" w:space="0" w:color="auto"/>
            </w:tcBorders>
            <w:noWrap/>
            <w:hideMark/>
          </w:tcPr>
          <w:p w14:paraId="3C6E5542"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н/д</w:t>
            </w:r>
          </w:p>
        </w:tc>
        <w:tc>
          <w:tcPr>
            <w:tcW w:w="1013" w:type="pct"/>
            <w:tcBorders>
              <w:top w:val="single" w:sz="4" w:space="0" w:color="auto"/>
              <w:left w:val="single" w:sz="4" w:space="0" w:color="auto"/>
              <w:bottom w:val="single" w:sz="4" w:space="0" w:color="auto"/>
              <w:right w:val="nil"/>
            </w:tcBorders>
            <w:noWrap/>
            <w:hideMark/>
          </w:tcPr>
          <w:p w14:paraId="6FC99C1E"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w:t>
            </w:r>
          </w:p>
        </w:tc>
      </w:tr>
      <w:tr w:rsidR="003F4CFF" w:rsidRPr="001127D6" w14:paraId="78AF18EE" w14:textId="77777777" w:rsidTr="00F55DE5">
        <w:trPr>
          <w:jc w:val="center"/>
        </w:trPr>
        <w:tc>
          <w:tcPr>
            <w:tcW w:w="1710" w:type="pct"/>
            <w:tcBorders>
              <w:top w:val="single" w:sz="4" w:space="0" w:color="auto"/>
              <w:left w:val="nil"/>
              <w:bottom w:val="single" w:sz="4" w:space="0" w:color="auto"/>
              <w:right w:val="single" w:sz="4" w:space="0" w:color="auto"/>
            </w:tcBorders>
            <w:noWrap/>
            <w:hideMark/>
          </w:tcPr>
          <w:p w14:paraId="066AA810"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Прочие</w:t>
            </w:r>
          </w:p>
        </w:tc>
        <w:tc>
          <w:tcPr>
            <w:tcW w:w="503" w:type="pct"/>
            <w:tcBorders>
              <w:top w:val="single" w:sz="4" w:space="0" w:color="auto"/>
              <w:left w:val="single" w:sz="4" w:space="0" w:color="auto"/>
              <w:bottom w:val="single" w:sz="4" w:space="0" w:color="auto"/>
              <w:right w:val="single" w:sz="4" w:space="0" w:color="auto"/>
            </w:tcBorders>
            <w:noWrap/>
            <w:hideMark/>
          </w:tcPr>
          <w:p w14:paraId="44BE1620"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30</w:t>
            </w:r>
          </w:p>
        </w:tc>
        <w:tc>
          <w:tcPr>
            <w:tcW w:w="488" w:type="pct"/>
            <w:tcBorders>
              <w:top w:val="single" w:sz="4" w:space="0" w:color="auto"/>
              <w:left w:val="single" w:sz="4" w:space="0" w:color="auto"/>
              <w:bottom w:val="single" w:sz="4" w:space="0" w:color="auto"/>
              <w:right w:val="single" w:sz="4" w:space="0" w:color="auto"/>
            </w:tcBorders>
            <w:noWrap/>
            <w:hideMark/>
          </w:tcPr>
          <w:p w14:paraId="4B6398D3"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1,0%</w:t>
            </w:r>
          </w:p>
        </w:tc>
        <w:tc>
          <w:tcPr>
            <w:tcW w:w="256" w:type="pct"/>
            <w:tcBorders>
              <w:top w:val="single" w:sz="4" w:space="0" w:color="auto"/>
              <w:left w:val="single" w:sz="4" w:space="0" w:color="auto"/>
              <w:bottom w:val="single" w:sz="4" w:space="0" w:color="auto"/>
              <w:right w:val="single" w:sz="4" w:space="0" w:color="auto"/>
            </w:tcBorders>
            <w:hideMark/>
          </w:tcPr>
          <w:p w14:paraId="46EAB04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10</w:t>
            </w:r>
          </w:p>
        </w:tc>
        <w:tc>
          <w:tcPr>
            <w:tcW w:w="390" w:type="pct"/>
            <w:tcBorders>
              <w:top w:val="single" w:sz="4" w:space="0" w:color="auto"/>
              <w:left w:val="single" w:sz="4" w:space="0" w:color="auto"/>
              <w:bottom w:val="single" w:sz="4" w:space="0" w:color="auto"/>
              <w:right w:val="single" w:sz="4" w:space="0" w:color="auto"/>
            </w:tcBorders>
            <w:hideMark/>
          </w:tcPr>
          <w:p w14:paraId="347903D6"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0,3%</w:t>
            </w:r>
          </w:p>
        </w:tc>
        <w:tc>
          <w:tcPr>
            <w:tcW w:w="256" w:type="pct"/>
            <w:tcBorders>
              <w:top w:val="single" w:sz="4" w:space="0" w:color="auto"/>
              <w:left w:val="single" w:sz="4" w:space="0" w:color="auto"/>
              <w:bottom w:val="single" w:sz="4" w:space="0" w:color="auto"/>
              <w:right w:val="single" w:sz="4" w:space="0" w:color="auto"/>
            </w:tcBorders>
            <w:hideMark/>
          </w:tcPr>
          <w:p w14:paraId="2194E822"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38</w:t>
            </w:r>
          </w:p>
        </w:tc>
        <w:tc>
          <w:tcPr>
            <w:tcW w:w="384" w:type="pct"/>
            <w:tcBorders>
              <w:top w:val="single" w:sz="4" w:space="0" w:color="auto"/>
              <w:left w:val="single" w:sz="4" w:space="0" w:color="auto"/>
              <w:bottom w:val="single" w:sz="4" w:space="0" w:color="auto"/>
              <w:right w:val="single" w:sz="4" w:space="0" w:color="auto"/>
            </w:tcBorders>
            <w:hideMark/>
          </w:tcPr>
          <w:p w14:paraId="689A2D73"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1,3%</w:t>
            </w:r>
          </w:p>
        </w:tc>
        <w:tc>
          <w:tcPr>
            <w:tcW w:w="1013" w:type="pct"/>
            <w:tcBorders>
              <w:top w:val="single" w:sz="4" w:space="0" w:color="auto"/>
              <w:left w:val="single" w:sz="4" w:space="0" w:color="auto"/>
              <w:bottom w:val="single" w:sz="4" w:space="0" w:color="auto"/>
              <w:right w:val="nil"/>
            </w:tcBorders>
            <w:noWrap/>
            <w:hideMark/>
          </w:tcPr>
          <w:p w14:paraId="7DCE9174"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380,0%</w:t>
            </w:r>
          </w:p>
        </w:tc>
      </w:tr>
      <w:tr w:rsidR="003F4CFF" w:rsidRPr="001127D6" w14:paraId="1BE4A260" w14:textId="77777777" w:rsidTr="00F55DE5">
        <w:trPr>
          <w:trHeight w:val="90"/>
          <w:jc w:val="center"/>
        </w:trPr>
        <w:tc>
          <w:tcPr>
            <w:tcW w:w="1710" w:type="pct"/>
            <w:tcBorders>
              <w:top w:val="single" w:sz="4" w:space="0" w:color="auto"/>
              <w:left w:val="nil"/>
              <w:bottom w:val="single" w:sz="4" w:space="0" w:color="auto"/>
              <w:right w:val="single" w:sz="4" w:space="0" w:color="auto"/>
            </w:tcBorders>
            <w:noWrap/>
            <w:hideMark/>
          </w:tcPr>
          <w:p w14:paraId="705C6429" w14:textId="77777777" w:rsidR="003F4CFF" w:rsidRPr="001127D6" w:rsidRDefault="003F4CFF" w:rsidP="00F55DE5">
            <w:pPr>
              <w:jc w:val="left"/>
              <w:rPr>
                <w:rFonts w:ascii="Times New Roman" w:hAnsi="Times New Roman" w:cs="Times New Roman"/>
              </w:rPr>
            </w:pPr>
            <w:r w:rsidRPr="001127D6">
              <w:rPr>
                <w:rFonts w:ascii="Times New Roman" w:hAnsi="Times New Roman" w:cs="Times New Roman"/>
              </w:rPr>
              <w:t>ВСЕГО</w:t>
            </w:r>
          </w:p>
        </w:tc>
        <w:tc>
          <w:tcPr>
            <w:tcW w:w="503" w:type="pct"/>
            <w:tcBorders>
              <w:top w:val="single" w:sz="4" w:space="0" w:color="auto"/>
              <w:left w:val="single" w:sz="4" w:space="0" w:color="auto"/>
              <w:bottom w:val="single" w:sz="4" w:space="0" w:color="auto"/>
              <w:right w:val="single" w:sz="4" w:space="0" w:color="auto"/>
            </w:tcBorders>
            <w:noWrap/>
            <w:hideMark/>
          </w:tcPr>
          <w:p w14:paraId="237B62EC"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3018</w:t>
            </w:r>
          </w:p>
        </w:tc>
        <w:tc>
          <w:tcPr>
            <w:tcW w:w="488" w:type="pct"/>
            <w:tcBorders>
              <w:top w:val="single" w:sz="4" w:space="0" w:color="auto"/>
              <w:left w:val="single" w:sz="4" w:space="0" w:color="auto"/>
              <w:bottom w:val="single" w:sz="4" w:space="0" w:color="auto"/>
              <w:right w:val="single" w:sz="4" w:space="0" w:color="auto"/>
            </w:tcBorders>
            <w:noWrap/>
            <w:hideMark/>
          </w:tcPr>
          <w:p w14:paraId="4F8EAC1C"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100,0%</w:t>
            </w:r>
          </w:p>
        </w:tc>
        <w:tc>
          <w:tcPr>
            <w:tcW w:w="256" w:type="pct"/>
            <w:tcBorders>
              <w:top w:val="single" w:sz="4" w:space="0" w:color="auto"/>
              <w:left w:val="single" w:sz="4" w:space="0" w:color="auto"/>
              <w:bottom w:val="single" w:sz="4" w:space="0" w:color="auto"/>
              <w:right w:val="single" w:sz="4" w:space="0" w:color="auto"/>
            </w:tcBorders>
            <w:hideMark/>
          </w:tcPr>
          <w:p w14:paraId="2F6D86BD"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2982</w:t>
            </w:r>
          </w:p>
        </w:tc>
        <w:tc>
          <w:tcPr>
            <w:tcW w:w="390" w:type="pct"/>
            <w:tcBorders>
              <w:top w:val="single" w:sz="4" w:space="0" w:color="auto"/>
              <w:left w:val="single" w:sz="4" w:space="0" w:color="auto"/>
              <w:bottom w:val="single" w:sz="4" w:space="0" w:color="auto"/>
              <w:right w:val="single" w:sz="4" w:space="0" w:color="auto"/>
            </w:tcBorders>
            <w:hideMark/>
          </w:tcPr>
          <w:p w14:paraId="17D6CEF7"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100,0%</w:t>
            </w:r>
          </w:p>
        </w:tc>
        <w:tc>
          <w:tcPr>
            <w:tcW w:w="256" w:type="pct"/>
            <w:tcBorders>
              <w:top w:val="single" w:sz="4" w:space="0" w:color="auto"/>
              <w:left w:val="single" w:sz="4" w:space="0" w:color="auto"/>
              <w:bottom w:val="single" w:sz="4" w:space="0" w:color="auto"/>
              <w:right w:val="single" w:sz="4" w:space="0" w:color="auto"/>
            </w:tcBorders>
            <w:hideMark/>
          </w:tcPr>
          <w:p w14:paraId="26CE8617"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2950</w:t>
            </w:r>
          </w:p>
        </w:tc>
        <w:tc>
          <w:tcPr>
            <w:tcW w:w="384" w:type="pct"/>
            <w:tcBorders>
              <w:top w:val="single" w:sz="4" w:space="0" w:color="auto"/>
              <w:left w:val="single" w:sz="4" w:space="0" w:color="auto"/>
              <w:bottom w:val="single" w:sz="4" w:space="0" w:color="auto"/>
              <w:right w:val="single" w:sz="4" w:space="0" w:color="auto"/>
            </w:tcBorders>
            <w:hideMark/>
          </w:tcPr>
          <w:p w14:paraId="5BFAE836"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100,0%</w:t>
            </w:r>
          </w:p>
        </w:tc>
        <w:tc>
          <w:tcPr>
            <w:tcW w:w="1013" w:type="pct"/>
            <w:tcBorders>
              <w:top w:val="single" w:sz="4" w:space="0" w:color="auto"/>
              <w:left w:val="single" w:sz="4" w:space="0" w:color="auto"/>
              <w:bottom w:val="single" w:sz="4" w:space="0" w:color="auto"/>
              <w:right w:val="nil"/>
            </w:tcBorders>
            <w:noWrap/>
            <w:hideMark/>
          </w:tcPr>
          <w:p w14:paraId="43AB40E0" w14:textId="77777777" w:rsidR="003F4CFF" w:rsidRPr="001127D6" w:rsidRDefault="003F4CFF" w:rsidP="00F55DE5">
            <w:pPr>
              <w:rPr>
                <w:rFonts w:ascii="Times New Roman" w:hAnsi="Times New Roman" w:cs="Times New Roman"/>
              </w:rPr>
            </w:pPr>
            <w:r w:rsidRPr="001127D6">
              <w:rPr>
                <w:rFonts w:ascii="Times New Roman" w:hAnsi="Times New Roman" w:cs="Times New Roman"/>
              </w:rPr>
              <w:t>98,9%</w:t>
            </w:r>
          </w:p>
        </w:tc>
      </w:tr>
    </w:tbl>
    <w:p w14:paraId="2D35FDEA" w14:textId="77777777" w:rsidR="003F4CFF" w:rsidRDefault="003F4CFF" w:rsidP="003F4CFF">
      <w:pPr>
        <w:ind w:firstLine="709"/>
        <w:jc w:val="both"/>
        <w:rPr>
          <w:rFonts w:ascii="Times New Roman" w:hAnsi="Times New Roman" w:cs="Times New Roman"/>
          <w:sz w:val="28"/>
          <w:szCs w:val="28"/>
        </w:rPr>
      </w:pPr>
    </w:p>
    <w:p w14:paraId="0B5AC6F6" w14:textId="36906D5C" w:rsidR="003F4CFF" w:rsidRDefault="003F4CFF" w:rsidP="00E77388">
      <w:pPr>
        <w:spacing w:line="259" w:lineRule="auto"/>
        <w:ind w:firstLine="709"/>
        <w:jc w:val="both"/>
        <w:rPr>
          <w:rFonts w:ascii="Times New Roman" w:hAnsi="Times New Roman" w:cs="Times New Roman"/>
          <w:sz w:val="28"/>
          <w:szCs w:val="28"/>
        </w:rPr>
      </w:pPr>
      <w:r w:rsidRPr="001127D6">
        <w:rPr>
          <w:rFonts w:ascii="Times New Roman" w:hAnsi="Times New Roman" w:cs="Times New Roman"/>
          <w:sz w:val="28"/>
          <w:szCs w:val="28"/>
        </w:rPr>
        <w:t xml:space="preserve"> </w:t>
      </w:r>
      <w:r w:rsidR="00F14334">
        <w:rPr>
          <w:rFonts w:ascii="Times New Roman" w:hAnsi="Times New Roman" w:cs="Times New Roman"/>
          <w:sz w:val="28"/>
          <w:szCs w:val="28"/>
        </w:rPr>
        <w:t>Максимальное количество организаций</w:t>
      </w:r>
      <w:r w:rsidR="00FE5869">
        <w:rPr>
          <w:rFonts w:ascii="Times New Roman" w:hAnsi="Times New Roman" w:cs="Times New Roman"/>
          <w:sz w:val="28"/>
          <w:szCs w:val="28"/>
        </w:rPr>
        <w:t xml:space="preserve">, </w:t>
      </w:r>
      <w:r w:rsidR="00FE5869" w:rsidRPr="003B3E01">
        <w:rPr>
          <w:rFonts w:ascii="Times New Roman" w:hAnsi="Times New Roman" w:cs="Times New Roman"/>
          <w:sz w:val="28"/>
          <w:szCs w:val="28"/>
        </w:rPr>
        <w:t>дол</w:t>
      </w:r>
      <w:r w:rsidR="00FE5869">
        <w:rPr>
          <w:rFonts w:ascii="Times New Roman" w:hAnsi="Times New Roman" w:cs="Times New Roman"/>
          <w:sz w:val="28"/>
          <w:szCs w:val="28"/>
        </w:rPr>
        <w:t>я</w:t>
      </w:r>
      <w:r w:rsidR="00FE5869" w:rsidRPr="003B3E01">
        <w:rPr>
          <w:rFonts w:ascii="Times New Roman" w:hAnsi="Times New Roman" w:cs="Times New Roman"/>
          <w:sz w:val="28"/>
          <w:szCs w:val="28"/>
        </w:rPr>
        <w:t xml:space="preserve"> участия субъекта Российской Федерации или муниципального образования в которых составляет 50 и более процентов</w:t>
      </w:r>
      <w:r w:rsidR="00FE5869">
        <w:rPr>
          <w:rFonts w:ascii="Times New Roman" w:hAnsi="Times New Roman" w:cs="Times New Roman"/>
          <w:sz w:val="28"/>
          <w:szCs w:val="28"/>
        </w:rPr>
        <w:t xml:space="preserve">, предоставляют </w:t>
      </w:r>
      <w:r w:rsidRPr="001127D6">
        <w:rPr>
          <w:rFonts w:ascii="Times New Roman" w:hAnsi="Times New Roman" w:cs="Times New Roman"/>
          <w:sz w:val="28"/>
          <w:szCs w:val="28"/>
        </w:rPr>
        <w:t xml:space="preserve">услуги в сфере образования (79%), услуги в сфере социального обслуживания (78%), медицинские услуги (71%), услуги в сфере культуры (24%). </w:t>
      </w:r>
    </w:p>
    <w:p w14:paraId="348F93C0" w14:textId="77777777" w:rsidR="003F4CFF" w:rsidRPr="00470E59" w:rsidRDefault="003F4CFF" w:rsidP="003F4CFF">
      <w:pPr>
        <w:ind w:firstLine="567"/>
        <w:rPr>
          <w:rFonts w:ascii="Times New Roman" w:hAnsi="Times New Roman" w:cs="Times New Roman"/>
          <w:sz w:val="28"/>
          <w:szCs w:val="28"/>
        </w:rPr>
      </w:pPr>
    </w:p>
    <w:p w14:paraId="0323F210" w14:textId="77777777" w:rsidR="003F4CFF" w:rsidRPr="00F732D1" w:rsidRDefault="003F4CFF" w:rsidP="003F4CFF">
      <w:pPr>
        <w:pStyle w:val="ac"/>
        <w:ind w:firstLine="567"/>
        <w:jc w:val="both"/>
        <w:outlineLvl w:val="2"/>
        <w:rPr>
          <w:rFonts w:ascii="Times New Roman" w:hAnsi="Times New Roman"/>
          <w:b/>
        </w:rPr>
      </w:pPr>
      <w:bookmarkStart w:id="89" w:name="_Toc31983980"/>
      <w:bookmarkStart w:id="90" w:name="_Toc32240320"/>
      <w:bookmarkStart w:id="91" w:name="_Toc32421905"/>
      <w:bookmarkStart w:id="92" w:name="_Toc34129184"/>
      <w:r w:rsidRPr="00F732D1">
        <w:rPr>
          <w:rFonts w:ascii="Times New Roman" w:hAnsi="Times New Roman"/>
          <w:b/>
        </w:rPr>
        <w:t>2.3.7.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w:t>
      </w:r>
      <w:r>
        <w:rPr>
          <w:rFonts w:ascii="Times New Roman" w:hAnsi="Times New Roman"/>
          <w:b/>
        </w:rPr>
        <w:t>и субъекта Российской Федерации</w:t>
      </w:r>
      <w:bookmarkEnd w:id="89"/>
      <w:bookmarkEnd w:id="90"/>
      <w:bookmarkEnd w:id="91"/>
      <w:bookmarkEnd w:id="92"/>
    </w:p>
    <w:p w14:paraId="150A03F7"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 xml:space="preserve">Мониторинг проведен методом личного формализованного интервью с потребителями (населением) товаров, работ и услуг по случайно сгенерированным стационарным и мобильным телефонам (онлайн-опрос и телефонный опрос) в объеме 2680 чел. Анализ данных мониторинга проводился в разрезе основных социально-демографических характеристик респондентов: пол, возраст, род занятий, наличие детей, образование, среднемесячный доход, тип населенного пункта и муниципальное образование. Кроме того, данные опроса по населению Новосибирской области проанализированы в сравнении с результатами общероссийского опроса, проводимого Центральным банком Российской Федерации в рамках ежегодного мониторинга финансовой доступности. </w:t>
      </w:r>
    </w:p>
    <w:p w14:paraId="3C46DE65" w14:textId="77777777" w:rsidR="003F4CFF" w:rsidRPr="00D132FF" w:rsidRDefault="003F4CFF" w:rsidP="003F4CFF">
      <w:pPr>
        <w:ind w:firstLine="567"/>
        <w:jc w:val="both"/>
        <w:rPr>
          <w:rFonts w:ascii="Times New Roman" w:hAnsi="Times New Roman" w:cs="Times New Roman"/>
          <w:b/>
          <w:sz w:val="28"/>
          <w:szCs w:val="28"/>
        </w:rPr>
      </w:pPr>
      <w:r w:rsidRPr="001127D6">
        <w:rPr>
          <w:rFonts w:ascii="Times New Roman" w:hAnsi="Times New Roman" w:cs="Times New Roman"/>
          <w:b/>
          <w:sz w:val="28"/>
          <w:szCs w:val="28"/>
        </w:rPr>
        <w:t>Оценка уровня удовлетворенности населения деятельностью финансовых организаций</w:t>
      </w:r>
      <w:r>
        <w:rPr>
          <w:rFonts w:ascii="Times New Roman" w:hAnsi="Times New Roman" w:cs="Times New Roman"/>
          <w:b/>
          <w:sz w:val="28"/>
          <w:szCs w:val="28"/>
        </w:rPr>
        <w:t xml:space="preserve">. </w:t>
      </w:r>
      <w:r w:rsidRPr="001127D6">
        <w:rPr>
          <w:rFonts w:ascii="Times New Roman" w:hAnsi="Times New Roman" w:cs="Times New Roman"/>
          <w:sz w:val="28"/>
          <w:szCs w:val="28"/>
        </w:rPr>
        <w:t>Уровень удовлетворенности деятельностью финансовых организаций равен 92,6% и соответствует высокой отметке (75,0% и выше). В большинстве муниципальных образований зафиксирован высокий уровень удовлетворенности населения деятельностью ф</w:t>
      </w:r>
      <w:r>
        <w:rPr>
          <w:rFonts w:ascii="Times New Roman" w:hAnsi="Times New Roman" w:cs="Times New Roman"/>
          <w:sz w:val="28"/>
          <w:szCs w:val="28"/>
        </w:rPr>
        <w:t>инансовых организаций (34</w:t>
      </w:r>
      <w:r>
        <w:rPr>
          <w:rFonts w:ascii="Times New Roman" w:hAnsi="Times New Roman" w:cs="Times New Roman"/>
          <w:sz w:val="28"/>
          <w:szCs w:val="28"/>
          <w:lang w:val="en-US"/>
        </w:rPr>
        <w:t> </w:t>
      </w:r>
      <w:r w:rsidRPr="001127D6">
        <w:rPr>
          <w:rFonts w:ascii="Times New Roman" w:hAnsi="Times New Roman" w:cs="Times New Roman"/>
          <w:sz w:val="28"/>
          <w:szCs w:val="28"/>
        </w:rPr>
        <w:t>МО).</w:t>
      </w:r>
    </w:p>
    <w:p w14:paraId="05CE9400" w14:textId="77777777" w:rsidR="003F4CFF" w:rsidRPr="008F6ED4" w:rsidRDefault="003F4CFF" w:rsidP="003F4CFF">
      <w:pPr>
        <w:ind w:firstLine="567"/>
        <w:jc w:val="both"/>
        <w:rPr>
          <w:rFonts w:ascii="Times New Roman" w:hAnsi="Times New Roman" w:cs="Times New Roman"/>
          <w:sz w:val="28"/>
          <w:szCs w:val="28"/>
        </w:rPr>
      </w:pPr>
      <w:r w:rsidRPr="008F6ED4">
        <w:rPr>
          <w:rFonts w:ascii="Times New Roman" w:hAnsi="Times New Roman" w:cs="Times New Roman"/>
          <w:sz w:val="28"/>
          <w:szCs w:val="28"/>
        </w:rPr>
        <w:t xml:space="preserve">Уровень удовлетворенности деятельностью банков в среднем по Новосибирской области незначительно выше (на 4,5%), чем в среднем по РФ. </w:t>
      </w:r>
    </w:p>
    <w:p w14:paraId="6110662A" w14:textId="77777777" w:rsidR="003F4CFF" w:rsidRPr="008F6ED4" w:rsidRDefault="003F4CFF" w:rsidP="003F4CFF">
      <w:pPr>
        <w:ind w:firstLine="567"/>
        <w:jc w:val="both"/>
        <w:rPr>
          <w:rFonts w:ascii="Times New Roman" w:hAnsi="Times New Roman" w:cs="Times New Roman"/>
          <w:sz w:val="28"/>
          <w:szCs w:val="28"/>
        </w:rPr>
      </w:pPr>
      <w:r w:rsidRPr="008F6ED4">
        <w:rPr>
          <w:rFonts w:ascii="Times New Roman" w:hAnsi="Times New Roman" w:cs="Times New Roman"/>
          <w:sz w:val="28"/>
          <w:szCs w:val="28"/>
        </w:rPr>
        <w:t xml:space="preserve">К респондентам, которые удовлетворены банковскими услугами, чаще всего относятся учащиеся и студенты (79,8%), не имеющие детей (60,5%), проживающие в районных центрах, городских округах (62,7%), а именно в г. Оби и Куйбышевском районе (по 80,0%). </w:t>
      </w:r>
    </w:p>
    <w:p w14:paraId="4D2C52DE" w14:textId="77777777" w:rsidR="003F4CFF" w:rsidRPr="008F6ED4" w:rsidRDefault="003F4CFF" w:rsidP="003F4CFF">
      <w:pPr>
        <w:ind w:firstLine="567"/>
        <w:jc w:val="both"/>
        <w:rPr>
          <w:rFonts w:ascii="Times New Roman" w:hAnsi="Times New Roman" w:cs="Times New Roman"/>
          <w:sz w:val="28"/>
          <w:szCs w:val="28"/>
        </w:rPr>
      </w:pPr>
      <w:r w:rsidRPr="008F6ED4">
        <w:rPr>
          <w:rFonts w:ascii="Times New Roman" w:hAnsi="Times New Roman" w:cs="Times New Roman"/>
          <w:sz w:val="28"/>
          <w:szCs w:val="28"/>
        </w:rPr>
        <w:lastRenderedPageBreak/>
        <w:t>Оценка уровня удовлетворенности качеством, доступностью, стоимостью финансовых продуктов (услуг). Потребители товаров, работ и услуг Новосибирской области в большей степени удовлетворены доступностью (72,5% опрошенных) и качеством финансовых продуктов (64,2%), в меньшей степени удовлетворены стоимостью финансовых продуктов (услуг) – 29,5%.</w:t>
      </w:r>
    </w:p>
    <w:p w14:paraId="3873E0EC" w14:textId="77777777" w:rsidR="003F4CFF" w:rsidRPr="001127D6" w:rsidRDefault="003F4CFF" w:rsidP="003F4CFF">
      <w:pPr>
        <w:ind w:firstLine="709"/>
        <w:jc w:val="both"/>
        <w:rPr>
          <w:rFonts w:ascii="Times New Roman" w:hAnsi="Times New Roman" w:cs="Times New Roman"/>
          <w:sz w:val="28"/>
          <w:szCs w:val="28"/>
        </w:rPr>
      </w:pPr>
    </w:p>
    <w:p w14:paraId="50888225" w14:textId="77777777" w:rsidR="003F4CFF" w:rsidRPr="001127D6" w:rsidRDefault="003F4CFF" w:rsidP="003F4CFF">
      <w:pPr>
        <w:spacing w:after="160" w:line="259" w:lineRule="auto"/>
        <w:rPr>
          <w:rFonts w:cs="Times New Roman"/>
          <w:sz w:val="22"/>
          <w:szCs w:val="22"/>
        </w:rPr>
      </w:pPr>
      <w:r w:rsidRPr="001127D6">
        <w:rPr>
          <w:rFonts w:cs="Times New Roman"/>
          <w:noProof/>
          <w:sz w:val="22"/>
          <w:szCs w:val="22"/>
        </w:rPr>
        <w:drawing>
          <wp:inline distT="0" distB="0" distL="0" distR="0" wp14:anchorId="6084264B" wp14:editId="48BDF711">
            <wp:extent cx="5875655" cy="151574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FF59910" w14:textId="77777777" w:rsidR="003F4CFF" w:rsidRPr="001127D6" w:rsidRDefault="003F4CFF" w:rsidP="003F4CFF">
      <w:pPr>
        <w:spacing w:after="160" w:line="259" w:lineRule="auto"/>
        <w:rPr>
          <w:rFonts w:ascii="Times New Roman" w:hAnsi="Times New Roman" w:cs="Times New Roman"/>
          <w:b/>
          <w:sz w:val="24"/>
          <w:szCs w:val="24"/>
        </w:rPr>
      </w:pPr>
      <w:r w:rsidRPr="00E636ED">
        <w:rPr>
          <w:rFonts w:ascii="Times New Roman" w:hAnsi="Times New Roman" w:cs="Times New Roman"/>
          <w:b/>
          <w:sz w:val="24"/>
          <w:szCs w:val="24"/>
        </w:rPr>
        <w:t>Диаграмма</w:t>
      </w:r>
      <w:r w:rsidRPr="001127D6">
        <w:rPr>
          <w:rFonts w:ascii="Times New Roman" w:hAnsi="Times New Roman" w:cs="Times New Roman"/>
          <w:b/>
          <w:sz w:val="24"/>
          <w:szCs w:val="24"/>
        </w:rPr>
        <w:t xml:space="preserve"> </w:t>
      </w:r>
      <w:r>
        <w:rPr>
          <w:rFonts w:ascii="Times New Roman" w:hAnsi="Times New Roman" w:cs="Times New Roman"/>
          <w:b/>
          <w:sz w:val="24"/>
          <w:szCs w:val="24"/>
        </w:rPr>
        <w:t xml:space="preserve">16 </w:t>
      </w:r>
      <w:r w:rsidRPr="001127D6">
        <w:rPr>
          <w:rFonts w:ascii="Times New Roman" w:hAnsi="Times New Roman" w:cs="Times New Roman"/>
          <w:b/>
          <w:sz w:val="24"/>
          <w:szCs w:val="24"/>
        </w:rPr>
        <w:t>– Уровень удовлетворенности качеством, доступностью и стоимостью финансовых продуктов (услуг), % от числа опрошенных</w:t>
      </w:r>
    </w:p>
    <w:p w14:paraId="2BFDC990" w14:textId="77777777" w:rsidR="003F4CFF"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Большинство потребителей товаров, работ и услуг Новосибирской области удовлетворены доступност</w:t>
      </w:r>
      <w:r>
        <w:rPr>
          <w:rFonts w:ascii="Times New Roman" w:hAnsi="Times New Roman" w:cs="Times New Roman"/>
          <w:sz w:val="28"/>
          <w:szCs w:val="28"/>
        </w:rPr>
        <w:t>ью финансовых продуктов (72,5%/</w:t>
      </w:r>
    </w:p>
    <w:p w14:paraId="422A6F7B" w14:textId="77777777" w:rsidR="003F4CFF" w:rsidRPr="001127D6" w:rsidRDefault="003F4CFF" w:rsidP="008F6ED4">
      <w:pPr>
        <w:ind w:right="-2" w:firstLine="567"/>
        <w:jc w:val="both"/>
        <w:rPr>
          <w:rFonts w:ascii="Times New Roman" w:hAnsi="Times New Roman" w:cs="Times New Roman"/>
          <w:sz w:val="28"/>
          <w:szCs w:val="28"/>
        </w:rPr>
      </w:pPr>
      <w:r w:rsidRPr="001127D6">
        <w:rPr>
          <w:rFonts w:ascii="Times New Roman" w:hAnsi="Times New Roman" w:cs="Times New Roman"/>
          <w:sz w:val="28"/>
          <w:szCs w:val="28"/>
        </w:rPr>
        <w:t>По группам населения реже других удовлетворены доступностью финансовых продуктов потребители с общим образованием (51,3%), имеющие ежемесячный доход до 10 тыс. рублей (59,8%) и проживающие в селе, деревне и других сельских поселениях (53,3%). В большинстве муниципальных образований зафиксирован средний уровень удовлетворенности доступностью финансовых продуктов – 14 МО (размах от 52,9% до 74,3%). В Новосибирской области на 22,1% реже, чем в среднем по РФ удовлетворены доступностью финансовых продуктов (72,5%).</w:t>
      </w:r>
    </w:p>
    <w:p w14:paraId="7103972D" w14:textId="77777777" w:rsidR="003F4CFF" w:rsidRPr="001127D6"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Более половины потребителей товаров, работ и услуг Новосибирской области удовлетворены качест</w:t>
      </w:r>
      <w:r>
        <w:rPr>
          <w:rFonts w:ascii="Times New Roman" w:hAnsi="Times New Roman" w:cs="Times New Roman"/>
          <w:sz w:val="28"/>
          <w:szCs w:val="28"/>
        </w:rPr>
        <w:t>вом финансовых продуктов (64,2%)</w:t>
      </w:r>
      <w:r w:rsidRPr="001127D6">
        <w:rPr>
          <w:rFonts w:ascii="Times New Roman" w:hAnsi="Times New Roman" w:cs="Times New Roman"/>
          <w:sz w:val="28"/>
          <w:szCs w:val="28"/>
        </w:rPr>
        <w:t>. Чаще других удовлетворены качеством финансовых продуктов респонденты, имеющие научную степень (81,9%). В большинстве муниципальных образований зафиксирован средний уровень удовлетворенности качеством финансовых продуктов – 21 МО (размах от 51,4% до 74,3%). Сравнение результатов с данными общероссийского опроса, проводимого Центральным банком РФ, невозможно в силу различий в инструментарии опросов.</w:t>
      </w:r>
    </w:p>
    <w:p w14:paraId="31CB7CDB" w14:textId="77777777" w:rsidR="003F4CFF" w:rsidRDefault="003F4CFF" w:rsidP="003F4CFF">
      <w:pPr>
        <w:ind w:firstLine="567"/>
        <w:jc w:val="both"/>
        <w:rPr>
          <w:rFonts w:ascii="Times New Roman" w:hAnsi="Times New Roman" w:cs="Times New Roman"/>
          <w:sz w:val="28"/>
          <w:szCs w:val="28"/>
        </w:rPr>
      </w:pPr>
      <w:r w:rsidRPr="001127D6">
        <w:rPr>
          <w:rFonts w:ascii="Times New Roman" w:hAnsi="Times New Roman" w:cs="Times New Roman"/>
          <w:sz w:val="28"/>
          <w:szCs w:val="28"/>
        </w:rPr>
        <w:t>Потребители товаров, работ и услуг чаще не удовлетворены стоимостью финансовых продуктов (56,3%). Чаще других удовлетворены стоимостью финансовых продуктов (услуг) следующие группы населения: респонденты, имеющие научную степень (66,8%), проживающие в районном центре, городском округе (44%) и в ПГТ (41,4%). В большинстве муниципальных образований (24 МО) Новосибирской области зафиксирован низкий уровень значений показателя (разброс от 4,3% до 48,6%).</w:t>
      </w:r>
    </w:p>
    <w:p w14:paraId="6681996D" w14:textId="77777777" w:rsidR="003F4CFF" w:rsidRPr="00252839" w:rsidRDefault="003F4CFF" w:rsidP="003F4CFF">
      <w:pPr>
        <w:ind w:firstLine="567"/>
        <w:rPr>
          <w:rFonts w:ascii="Times New Roman" w:hAnsi="Times New Roman" w:cs="Times New Roman"/>
          <w:sz w:val="28"/>
          <w:szCs w:val="28"/>
        </w:rPr>
      </w:pPr>
    </w:p>
    <w:p w14:paraId="14E7C976" w14:textId="77777777" w:rsidR="003F4CFF" w:rsidRPr="00F732D1" w:rsidRDefault="003F4CFF" w:rsidP="003F4CFF">
      <w:pPr>
        <w:pStyle w:val="ac"/>
        <w:ind w:firstLine="567"/>
        <w:jc w:val="both"/>
        <w:outlineLvl w:val="2"/>
        <w:rPr>
          <w:rFonts w:ascii="Times New Roman" w:hAnsi="Times New Roman"/>
          <w:b/>
        </w:rPr>
      </w:pPr>
      <w:bookmarkStart w:id="93" w:name="_Toc31983981"/>
      <w:bookmarkStart w:id="94" w:name="_Toc32240321"/>
      <w:bookmarkStart w:id="95" w:name="_Toc32421906"/>
      <w:bookmarkStart w:id="96" w:name="_Toc34129185"/>
      <w:r w:rsidRPr="00F732D1">
        <w:rPr>
          <w:rFonts w:ascii="Times New Roman" w:hAnsi="Times New Roman"/>
          <w:b/>
        </w:rPr>
        <w:lastRenderedPageBreak/>
        <w:t>2.3.8. Результаты мониторинга доступности для населения и субъектов малого и среднего предпринимательства финансовых услуг, оказываемых на территории субъекта Российской Федерации</w:t>
      </w:r>
      <w:bookmarkStart w:id="97" w:name="page24"/>
      <w:bookmarkEnd w:id="93"/>
      <w:bookmarkEnd w:id="94"/>
      <w:bookmarkEnd w:id="95"/>
      <w:bookmarkEnd w:id="96"/>
      <w:bookmarkEnd w:id="97"/>
    </w:p>
    <w:p w14:paraId="1B2865B2"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 xml:space="preserve">Мониторинг проведен методом личного формализованного интервью с потребителями (населением) товаров, работ и услуг по случайно сгенерированным стационарным и мобильным телефонам (онлайн-опрос и телефонный опрос) в объеме 2680 чел. Анализ данных мониторинга проводился в разрезе основных социально-демографических характеристик респондентов: пол, возраст, род занятий, наличие детей, образование, среднемесячный доход, тип населенного пункта и муниципальное образование. Кроме того, данные опроса по населению Новосибирской области проанализированы в сравнении с результатами общероссийского опроса, проводимого Центральным банком Российской Федерации в рамках ежегодного мониторинга финансовой доступности. </w:t>
      </w:r>
    </w:p>
    <w:p w14:paraId="77D22F7C" w14:textId="77777777" w:rsidR="003F4CFF" w:rsidRPr="00D132FF" w:rsidRDefault="003F4CFF" w:rsidP="003F4CFF">
      <w:pPr>
        <w:ind w:firstLine="567"/>
        <w:jc w:val="both"/>
        <w:rPr>
          <w:rFonts w:ascii="Times New Roman" w:hAnsi="Times New Roman" w:cs="Times New Roman"/>
          <w:b/>
          <w:sz w:val="28"/>
          <w:szCs w:val="28"/>
        </w:rPr>
      </w:pPr>
      <w:r w:rsidRPr="0069184F">
        <w:rPr>
          <w:rFonts w:ascii="Times New Roman" w:hAnsi="Times New Roman" w:cs="Times New Roman"/>
          <w:b/>
          <w:sz w:val="28"/>
          <w:szCs w:val="28"/>
        </w:rPr>
        <w:t>Структура использован</w:t>
      </w:r>
      <w:r>
        <w:rPr>
          <w:rFonts w:ascii="Times New Roman" w:hAnsi="Times New Roman" w:cs="Times New Roman"/>
          <w:b/>
          <w:sz w:val="28"/>
          <w:szCs w:val="28"/>
        </w:rPr>
        <w:t xml:space="preserve">ия финансовых продуктов (услуг). </w:t>
      </w:r>
      <w:r w:rsidRPr="0069184F">
        <w:rPr>
          <w:rFonts w:ascii="Times New Roman" w:hAnsi="Times New Roman" w:cs="Times New Roman"/>
          <w:sz w:val="28"/>
          <w:szCs w:val="28"/>
        </w:rPr>
        <w:t xml:space="preserve">Основным финансовым продуктом, который используют потребители товаров, работ и услуг Новосибирской области, является платежная карта: оформленная работодателем зарплатная карта или дебетовая (расчетная) карта, оформленная самостоятельно (по 57,8% соответственно). </w:t>
      </w:r>
    </w:p>
    <w:p w14:paraId="55748F5F"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 xml:space="preserve">Зарплатную карту чаще всего используют наемные работники (74,9%), респонденты, имеющие научную степень (81,9%), а также среднемесячный доход от 30 до 60 тыс. рублей (78,5%), другие выделенные группы по роду занятий реже используют ее. </w:t>
      </w:r>
    </w:p>
    <w:p w14:paraId="73AD1BEE"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 xml:space="preserve">Дебетовую (расчетную) карту чаще других используют жители г. Оби (72,9%) и г. Новосибирска (72,0%), предприниматели и самозанятые (81,6%), занятые домашним хозяйством (72,5%), респонденты, имеющие доход от 30 до 60 тыс. рублей (70,5%), более 60 тыс. рублей (67,8%). </w:t>
      </w:r>
    </w:p>
    <w:p w14:paraId="5315734B"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 xml:space="preserve">Кредитной картой чаще пользуются самозанятые и предприниматели (47,4%), респонденты, имеющие доход от 30 до 60 тыс. рублей (50,8%), жители Тогучинского (55,7%) и Чистоозерного районов (47,1%). </w:t>
      </w:r>
    </w:p>
    <w:p w14:paraId="78F4EB92"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 xml:space="preserve">Потребительский кредит чаще других берут респонденты, имеющие среднемесячный доход более 60 тыс. рублей (43,7%). </w:t>
      </w:r>
    </w:p>
    <w:p w14:paraId="66FE2C62"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 xml:space="preserve">Кладут денежные средства на вклад в банк чаще других респонденты с научной степенью (53,5%), имеющие доход более 60 тыс. рублей (45,5%), а также жители Каргатского района (40,0%) и г. Новосибирска (35,0%). </w:t>
      </w:r>
    </w:p>
    <w:p w14:paraId="3FF99E9E"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Страхование в основном используют респонденты с неполным высшим образованием (34,3%), с уровнем среднемесячного дохода от 30 до 60 тыс. рублей (38,9%), более 60 тыс. рублей (36,8%), а также жители Коченевского района (47,1%).</w:t>
      </w:r>
    </w:p>
    <w:p w14:paraId="6646E644" w14:textId="77777777" w:rsidR="003F4CFF" w:rsidRPr="0069184F" w:rsidRDefault="003F4CFF" w:rsidP="003F4CFF">
      <w:pPr>
        <w:ind w:firstLine="567"/>
        <w:jc w:val="both"/>
        <w:rPr>
          <w:rFonts w:ascii="Times New Roman" w:hAnsi="Times New Roman" w:cs="Times New Roman"/>
        </w:rPr>
      </w:pPr>
      <w:r w:rsidRPr="0069184F">
        <w:rPr>
          <w:rFonts w:ascii="Times New Roman" w:hAnsi="Times New Roman" w:cs="Times New Roman"/>
          <w:sz w:val="28"/>
          <w:szCs w:val="28"/>
        </w:rPr>
        <w:t>Респонденты, проживающие в Новосибирской области, используют вклады на 14,1% реже, чем население России в целом</w:t>
      </w:r>
      <w:r w:rsidRPr="0069184F">
        <w:rPr>
          <w:rFonts w:ascii="Times New Roman" w:hAnsi="Times New Roman" w:cs="Times New Roman"/>
        </w:rPr>
        <w:t xml:space="preserve"> (</w:t>
      </w:r>
      <w:r w:rsidRPr="0069184F">
        <w:rPr>
          <w:rFonts w:ascii="Times New Roman" w:hAnsi="Times New Roman" w:cs="Times New Roman"/>
          <w:sz w:val="28"/>
          <w:szCs w:val="28"/>
        </w:rPr>
        <w:t>НСО – 25,2%</w:t>
      </w:r>
      <w:r>
        <w:rPr>
          <w:rFonts w:ascii="Times New Roman" w:hAnsi="Times New Roman" w:cs="Times New Roman"/>
        </w:rPr>
        <w:t>)</w:t>
      </w:r>
      <w:r w:rsidRPr="0069184F">
        <w:rPr>
          <w:rFonts w:ascii="Times New Roman" w:hAnsi="Times New Roman" w:cs="Times New Roman"/>
        </w:rPr>
        <w:t xml:space="preserve">. </w:t>
      </w:r>
    </w:p>
    <w:p w14:paraId="48FCBADC" w14:textId="77777777" w:rsidR="003F4CFF" w:rsidRPr="0069184F" w:rsidRDefault="003F4CFF" w:rsidP="003F4CFF">
      <w:pPr>
        <w:ind w:firstLine="567"/>
        <w:jc w:val="both"/>
        <w:rPr>
          <w:rFonts w:ascii="Times New Roman" w:hAnsi="Times New Roman" w:cs="Times New Roman"/>
        </w:rPr>
      </w:pPr>
      <w:r w:rsidRPr="0069184F">
        <w:rPr>
          <w:rFonts w:ascii="Times New Roman" w:hAnsi="Times New Roman" w:cs="Times New Roman"/>
          <w:sz w:val="28"/>
          <w:szCs w:val="28"/>
        </w:rPr>
        <w:t>Соотношение данных по полу аналогично данным по стране в целом: доля женщин незначительно превышает долю мужчин (женщин 26,1%, 24,1% мужчин), в Росс</w:t>
      </w:r>
      <w:r>
        <w:rPr>
          <w:rFonts w:ascii="Times New Roman" w:hAnsi="Times New Roman" w:cs="Times New Roman"/>
          <w:sz w:val="28"/>
          <w:szCs w:val="28"/>
        </w:rPr>
        <w:t xml:space="preserve">ии – 39,3% женщин и 37,8% мужчин. </w:t>
      </w:r>
    </w:p>
    <w:p w14:paraId="229962F0" w14:textId="77777777" w:rsidR="003F4CF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lastRenderedPageBreak/>
        <w:t>Пенсионеры из Новосибирской области на 28,1% реже, чем по стране в среднем вкладывают денежные средства (19,4%), предприниматели в Новосибирской области вкладывают их реже на 17,7% (25,2%), работающие по найму имеют вклады на 10,8% реже, чем в среднем по стране (27</w:t>
      </w:r>
      <w:r>
        <w:rPr>
          <w:rFonts w:ascii="Times New Roman" w:hAnsi="Times New Roman" w:cs="Times New Roman"/>
          <w:sz w:val="28"/>
          <w:szCs w:val="28"/>
        </w:rPr>
        <w:t>,0%).</w:t>
      </w:r>
    </w:p>
    <w:p w14:paraId="717562EE" w14:textId="77777777" w:rsidR="003F4CF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Респонденты, проживающие в Новосибирской области, пользуются кредитом незначительно чащ</w:t>
      </w:r>
      <w:r>
        <w:rPr>
          <w:rFonts w:ascii="Times New Roman" w:hAnsi="Times New Roman" w:cs="Times New Roman"/>
          <w:sz w:val="28"/>
          <w:szCs w:val="28"/>
        </w:rPr>
        <w:t>е, чем в среднем по РФ (38,4%).</w:t>
      </w:r>
    </w:p>
    <w:p w14:paraId="3F614B2F"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 xml:space="preserve">К тем, кто пользуется кредитом в целом, чаще относятся респонденты с высоким уровнем дохода, от 30 до 60 тыс. рублей (50,9%), более 60 тыс. рублей (50,1%), а также жители г. Новосибирска (48,7%). </w:t>
      </w:r>
    </w:p>
    <w:p w14:paraId="128E1455"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Респонденты, проживающие в Новосибирской области и занятые домашним хозяйством, берут кредиты на 10,0% чаще, чем в среднем по РФ (36,9%), наемные работники также берут кредиты чаще на 14,3% (44,3%), аналогичная ситуация с пенсионерами (23,7% опрошенных в Новосибирской области)</w:t>
      </w:r>
      <w:r>
        <w:rPr>
          <w:rFonts w:ascii="Times New Roman" w:hAnsi="Times New Roman" w:cs="Times New Roman"/>
          <w:sz w:val="28"/>
          <w:szCs w:val="28"/>
        </w:rPr>
        <w:t>.</w:t>
      </w:r>
    </w:p>
    <w:p w14:paraId="6FAEB494" w14:textId="77777777" w:rsidR="003F4CFF" w:rsidRPr="004C5DDC" w:rsidRDefault="003F4CFF" w:rsidP="003F4CFF">
      <w:pPr>
        <w:ind w:firstLine="567"/>
        <w:jc w:val="both"/>
        <w:rPr>
          <w:rFonts w:ascii="Times New Roman" w:hAnsi="Times New Roman" w:cs="Times New Roman"/>
          <w:b/>
          <w:sz w:val="28"/>
          <w:szCs w:val="28"/>
        </w:rPr>
      </w:pPr>
      <w:r w:rsidRPr="0069184F">
        <w:rPr>
          <w:rFonts w:ascii="Times New Roman" w:hAnsi="Times New Roman" w:cs="Times New Roman"/>
          <w:b/>
          <w:sz w:val="28"/>
          <w:szCs w:val="28"/>
        </w:rPr>
        <w:t>Платежные карты (дебетовые</w:t>
      </w:r>
      <w:r>
        <w:rPr>
          <w:rFonts w:ascii="Times New Roman" w:hAnsi="Times New Roman" w:cs="Times New Roman"/>
          <w:b/>
          <w:sz w:val="28"/>
          <w:szCs w:val="28"/>
        </w:rPr>
        <w:t>/расчетные или кредитные карты).</w:t>
      </w:r>
      <w:r w:rsidRPr="004C5DDC">
        <w:rPr>
          <w:rFonts w:ascii="Times New Roman" w:hAnsi="Times New Roman" w:cs="Times New Roman"/>
          <w:b/>
          <w:sz w:val="28"/>
          <w:szCs w:val="28"/>
        </w:rPr>
        <w:t xml:space="preserve"> </w:t>
      </w:r>
      <w:r w:rsidRPr="0069184F">
        <w:rPr>
          <w:rFonts w:ascii="Times New Roman" w:hAnsi="Times New Roman" w:cs="Times New Roman"/>
          <w:sz w:val="28"/>
          <w:szCs w:val="28"/>
        </w:rPr>
        <w:t xml:space="preserve">Респонденты, проживающие в Новосибирской области, на 12,6% реже используют платежные карты (69,1%). </w:t>
      </w:r>
    </w:p>
    <w:p w14:paraId="1C527858"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Среди жителей Новосибирской области чаще других платежные карты используют предприниматели (89,6%), респонденты, имеющие доход от 30 до 60 тыс. рублей (83,7%), жите</w:t>
      </w:r>
      <w:r>
        <w:rPr>
          <w:rFonts w:ascii="Times New Roman" w:hAnsi="Times New Roman" w:cs="Times New Roman"/>
          <w:sz w:val="28"/>
          <w:szCs w:val="28"/>
        </w:rPr>
        <w:t>ли Новосибирска (81,7%). Среди м</w:t>
      </w:r>
      <w:r w:rsidRPr="0069184F">
        <w:rPr>
          <w:rFonts w:ascii="Times New Roman" w:hAnsi="Times New Roman" w:cs="Times New Roman"/>
          <w:sz w:val="28"/>
          <w:szCs w:val="28"/>
        </w:rPr>
        <w:t xml:space="preserve">униципальных районов чаще других это жители Карасукского (81,4%) района. </w:t>
      </w:r>
    </w:p>
    <w:p w14:paraId="22DF9512" w14:textId="77777777" w:rsidR="003F4CFF" w:rsidRPr="004560EE" w:rsidRDefault="003F4CFF" w:rsidP="003F4CFF">
      <w:pPr>
        <w:ind w:firstLine="567"/>
        <w:jc w:val="both"/>
        <w:rPr>
          <w:rFonts w:ascii="Times New Roman" w:hAnsi="Times New Roman" w:cs="Times New Roman"/>
          <w:b/>
        </w:rPr>
      </w:pPr>
      <w:r w:rsidRPr="0069184F">
        <w:rPr>
          <w:rFonts w:ascii="Times New Roman" w:hAnsi="Times New Roman" w:cs="Times New Roman"/>
          <w:b/>
          <w:sz w:val="28"/>
          <w:szCs w:val="28"/>
        </w:rPr>
        <w:t>Страхование</w:t>
      </w:r>
      <w:r>
        <w:rPr>
          <w:rFonts w:ascii="Times New Roman" w:hAnsi="Times New Roman" w:cs="Times New Roman"/>
          <w:b/>
        </w:rPr>
        <w:t xml:space="preserve">. </w:t>
      </w:r>
      <w:r w:rsidRPr="0069184F">
        <w:rPr>
          <w:rFonts w:ascii="Times New Roman" w:hAnsi="Times New Roman" w:cs="Times New Roman"/>
          <w:sz w:val="28"/>
          <w:szCs w:val="28"/>
        </w:rPr>
        <w:t>Доля населения, использующая страхование, в среднем по Новосибирской области на 67,1% ниже, чем доля тех, кто использует обязательное медицинское страхование по стране в целом (24,3%), при этом на 1,5% выше доли тех, кто использует добровольное медицинское страхование (22,8%).</w:t>
      </w:r>
    </w:p>
    <w:p w14:paraId="7666A9DA" w14:textId="77777777" w:rsidR="003F4CFF" w:rsidRPr="004560EE" w:rsidRDefault="003F4CFF" w:rsidP="003F4CFF">
      <w:pPr>
        <w:ind w:firstLine="567"/>
        <w:jc w:val="both"/>
        <w:rPr>
          <w:rFonts w:ascii="Times New Roman" w:hAnsi="Times New Roman" w:cs="Times New Roman"/>
          <w:b/>
          <w:sz w:val="28"/>
          <w:szCs w:val="28"/>
        </w:rPr>
      </w:pPr>
      <w:r w:rsidRPr="0069184F">
        <w:rPr>
          <w:rFonts w:ascii="Times New Roman" w:hAnsi="Times New Roman" w:cs="Times New Roman"/>
          <w:b/>
          <w:sz w:val="28"/>
          <w:szCs w:val="28"/>
        </w:rPr>
        <w:t>Барьеры для доступа к финансовым услугам</w:t>
      </w:r>
      <w:r>
        <w:rPr>
          <w:rFonts w:ascii="Times New Roman" w:hAnsi="Times New Roman" w:cs="Times New Roman"/>
          <w:b/>
          <w:sz w:val="28"/>
          <w:szCs w:val="28"/>
        </w:rPr>
        <w:t xml:space="preserve">. </w:t>
      </w:r>
      <w:r w:rsidRPr="0069184F">
        <w:rPr>
          <w:rFonts w:ascii="Times New Roman" w:hAnsi="Times New Roman" w:cs="Times New Roman"/>
          <w:sz w:val="28"/>
          <w:szCs w:val="28"/>
        </w:rPr>
        <w:t>Наиболее распространенными барьерами являются: высокая стоимость платы за предоставление банковских услуг, низкий уровень финансовой грамотности, территориальная доступность мест (устройств) для совершения платежей и денежных переводов. Необходимость увеличения количества отделений банков наиболее актуальна для жителей поселков городского типа (30,1% ответивших), банкоматов и/или терминалов – для жителей сельских населенных пунктов (45,4%), для жителей Кочковского района. Нехватка банкоматов и/или терминалов актуальна для жителей Кочковского (75,0%), Убинского (66,7%), Здвинского (57,1%) районов; потребность в увеличении числа отделений банков наиболее актуальна для жителей Кочковского района (75,0%).</w:t>
      </w:r>
    </w:p>
    <w:p w14:paraId="5B8F19FD" w14:textId="77777777" w:rsidR="003F4CFF" w:rsidRPr="004560EE" w:rsidRDefault="003F4CFF" w:rsidP="003F4CFF">
      <w:pPr>
        <w:ind w:firstLine="567"/>
        <w:jc w:val="both"/>
        <w:rPr>
          <w:rFonts w:ascii="Times New Roman" w:hAnsi="Times New Roman" w:cs="Times New Roman"/>
          <w:b/>
          <w:sz w:val="28"/>
          <w:szCs w:val="28"/>
        </w:rPr>
      </w:pPr>
      <w:r w:rsidRPr="0069184F">
        <w:rPr>
          <w:rFonts w:ascii="Times New Roman" w:hAnsi="Times New Roman" w:cs="Times New Roman"/>
          <w:b/>
          <w:sz w:val="28"/>
          <w:szCs w:val="28"/>
        </w:rPr>
        <w:t>Оценка населением уровня финансовой грамотности</w:t>
      </w:r>
      <w:r>
        <w:rPr>
          <w:rFonts w:ascii="Times New Roman" w:hAnsi="Times New Roman" w:cs="Times New Roman"/>
          <w:b/>
          <w:sz w:val="28"/>
          <w:szCs w:val="28"/>
        </w:rPr>
        <w:t xml:space="preserve">. </w:t>
      </w:r>
      <w:r w:rsidRPr="0069184F">
        <w:rPr>
          <w:rFonts w:ascii="Times New Roman" w:hAnsi="Times New Roman" w:cs="Times New Roman"/>
          <w:sz w:val="28"/>
          <w:szCs w:val="28"/>
        </w:rPr>
        <w:t>Уровень финансовой грамотности потребителей товаров, работ и услуг Новосибирской области находится на низком уровне и равен 0,3 единиц (менее 0,5).</w:t>
      </w:r>
    </w:p>
    <w:p w14:paraId="1BE4DA40" w14:textId="77777777" w:rsidR="00BE2FD7" w:rsidRDefault="003F4CFF" w:rsidP="00BE2FD7">
      <w:pPr>
        <w:ind w:firstLine="567"/>
        <w:jc w:val="both"/>
        <w:rPr>
          <w:rFonts w:ascii="Times New Roman" w:hAnsi="Times New Roman" w:cs="Times New Roman"/>
          <w:sz w:val="28"/>
          <w:szCs w:val="28"/>
        </w:rPr>
      </w:pPr>
      <w:r w:rsidRPr="0069184F">
        <w:rPr>
          <w:rFonts w:ascii="Times New Roman" w:hAnsi="Times New Roman" w:cs="Times New Roman"/>
          <w:sz w:val="28"/>
          <w:szCs w:val="28"/>
        </w:rPr>
        <w:t>Финансово грамотными чаще всего считают себя предприниматели, самозанятые (47,0%), а также респонденты, имеющие среднемесячный доход более 60 тыс. рублей (56,7%). Низкая доля респондентов, считающих себя финансово грамотными (менее 50,0%), зафиксирована в 34 муниципальных образованиях. Жители Краснозерского района чаще других относят себя к финансово грамотным (62,9%).</w:t>
      </w:r>
      <w:bookmarkStart w:id="98" w:name="_Toc31983982"/>
      <w:bookmarkStart w:id="99" w:name="_Toc32240322"/>
      <w:bookmarkStart w:id="100" w:name="_Toc32421907"/>
    </w:p>
    <w:p w14:paraId="35958CD6" w14:textId="77777777" w:rsidR="003F4CFF" w:rsidRPr="00BE2FD7" w:rsidRDefault="003F4CFF" w:rsidP="00BE2FD7">
      <w:pPr>
        <w:pStyle w:val="ac"/>
        <w:ind w:firstLine="567"/>
        <w:jc w:val="both"/>
        <w:outlineLvl w:val="2"/>
        <w:rPr>
          <w:rFonts w:ascii="Times New Roman" w:hAnsi="Times New Roman"/>
          <w:b/>
        </w:rPr>
      </w:pPr>
      <w:bookmarkStart w:id="101" w:name="_Toc34129186"/>
      <w:r w:rsidRPr="00F732D1">
        <w:rPr>
          <w:rFonts w:ascii="Times New Roman" w:hAnsi="Times New Roman"/>
          <w:b/>
        </w:rPr>
        <w:lastRenderedPageBreak/>
        <w:t>2</w:t>
      </w:r>
      <w:r w:rsidRPr="00BE2FD7">
        <w:rPr>
          <w:rFonts w:ascii="Times New Roman" w:hAnsi="Times New Roman"/>
          <w:b/>
        </w:rPr>
        <w:t>.3.9.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bookmarkEnd w:id="98"/>
      <w:bookmarkEnd w:id="99"/>
      <w:bookmarkEnd w:id="100"/>
      <w:bookmarkEnd w:id="101"/>
    </w:p>
    <w:p w14:paraId="4548C170" w14:textId="77777777" w:rsidR="003F4CFF" w:rsidRPr="003B3E01"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 xml:space="preserve">Средние потребительские цены на социально значимые продовольственные товары первой необходимости, в отношении которых могут устанавливаться предельно допустимые розничные цены, приведены </w:t>
      </w:r>
      <w:r w:rsidRPr="003B3E01">
        <w:rPr>
          <w:rFonts w:ascii="Times New Roman" w:hAnsi="Times New Roman" w:cs="Times New Roman"/>
          <w:sz w:val="28"/>
          <w:szCs w:val="28"/>
        </w:rPr>
        <w:t>в таблице 24.</w:t>
      </w:r>
    </w:p>
    <w:p w14:paraId="1331BB69" w14:textId="77777777" w:rsidR="003F4CFF" w:rsidRPr="00B66EBE" w:rsidRDefault="003F4CFF" w:rsidP="003F4CFF">
      <w:pPr>
        <w:jc w:val="both"/>
        <w:rPr>
          <w:rFonts w:ascii="Times New Roman" w:hAnsi="Times New Roman" w:cs="Times New Roman"/>
          <w:sz w:val="28"/>
          <w:szCs w:val="28"/>
        </w:rPr>
      </w:pPr>
    </w:p>
    <w:p w14:paraId="75EF56D3" w14:textId="77777777" w:rsidR="005E2F20" w:rsidRDefault="005E2F20" w:rsidP="003F4CFF">
      <w:pPr>
        <w:jc w:val="both"/>
        <w:rPr>
          <w:rFonts w:ascii="Times New Roman" w:hAnsi="Times New Roman" w:cs="Times New Roman"/>
          <w:sz w:val="28"/>
          <w:szCs w:val="28"/>
          <w:highlight w:val="yellow"/>
        </w:rPr>
        <w:sectPr w:rsidR="005E2F20" w:rsidSect="00BD1EFA">
          <w:headerReference w:type="first" r:id="rId90"/>
          <w:pgSz w:w="11906" w:h="16838" w:code="9"/>
          <w:pgMar w:top="1134" w:right="567" w:bottom="1134" w:left="1418" w:header="708" w:footer="708" w:gutter="0"/>
          <w:cols w:space="708"/>
          <w:docGrid w:linePitch="360"/>
        </w:sectPr>
      </w:pPr>
    </w:p>
    <w:p w14:paraId="79E2D8E1" w14:textId="77777777" w:rsidR="003F4CFF" w:rsidRPr="003B3E01" w:rsidRDefault="003F4CFF" w:rsidP="003F4CFF">
      <w:pPr>
        <w:jc w:val="both"/>
        <w:rPr>
          <w:rFonts w:ascii="Times New Roman" w:hAnsi="Times New Roman" w:cs="Times New Roman"/>
          <w:sz w:val="28"/>
          <w:szCs w:val="28"/>
        </w:rPr>
      </w:pPr>
      <w:r w:rsidRPr="009A7C23">
        <w:rPr>
          <w:rFonts w:ascii="Times New Roman" w:hAnsi="Times New Roman" w:cs="Times New Roman"/>
          <w:sz w:val="28"/>
          <w:szCs w:val="28"/>
        </w:rPr>
        <w:lastRenderedPageBreak/>
        <w:t>Таблица 24</w:t>
      </w:r>
      <w:r w:rsidRPr="009A7C23">
        <w:t> </w:t>
      </w:r>
      <w:r w:rsidRPr="009A7C23">
        <w:rPr>
          <w:rFonts w:ascii="Times New Roman" w:hAnsi="Times New Roman" w:cs="Times New Roman"/>
          <w:sz w:val="28"/>
          <w:szCs w:val="28"/>
        </w:rPr>
        <w:t>–</w:t>
      </w:r>
      <w:r w:rsidRPr="003B3E01">
        <w:rPr>
          <w:rFonts w:ascii="Times New Roman" w:hAnsi="Times New Roman" w:cs="Times New Roman"/>
          <w:sz w:val="28"/>
          <w:szCs w:val="28"/>
        </w:rPr>
        <w:t> Средние потребительские цены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 Новосибирская область, рубли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
        <w:gridCol w:w="2799"/>
        <w:gridCol w:w="915"/>
        <w:gridCol w:w="914"/>
        <w:gridCol w:w="1022"/>
        <w:gridCol w:w="1200"/>
        <w:gridCol w:w="1037"/>
        <w:gridCol w:w="1072"/>
        <w:gridCol w:w="914"/>
        <w:gridCol w:w="941"/>
        <w:gridCol w:w="941"/>
        <w:gridCol w:w="990"/>
        <w:gridCol w:w="1319"/>
      </w:tblGrid>
      <w:tr w:rsidR="003F4CFF" w:rsidRPr="0069184F" w14:paraId="24191966" w14:textId="77777777" w:rsidTr="003F4CFF">
        <w:trPr>
          <w:trHeight w:val="68"/>
          <w:tblHeader/>
        </w:trPr>
        <w:tc>
          <w:tcPr>
            <w:tcW w:w="170" w:type="pct"/>
            <w:hideMark/>
          </w:tcPr>
          <w:p w14:paraId="0EA7363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w:t>
            </w:r>
          </w:p>
        </w:tc>
        <w:tc>
          <w:tcPr>
            <w:tcW w:w="961" w:type="pct"/>
            <w:hideMark/>
          </w:tcPr>
          <w:p w14:paraId="3FD8776F"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Наименование типа продовольственных товаров</w:t>
            </w:r>
          </w:p>
        </w:tc>
        <w:tc>
          <w:tcPr>
            <w:tcW w:w="314" w:type="pct"/>
            <w:hideMark/>
          </w:tcPr>
          <w:p w14:paraId="6E6ABCC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2017</w:t>
            </w:r>
          </w:p>
        </w:tc>
        <w:tc>
          <w:tcPr>
            <w:tcW w:w="314" w:type="pct"/>
            <w:hideMark/>
          </w:tcPr>
          <w:p w14:paraId="0FD92E3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2018</w:t>
            </w:r>
          </w:p>
        </w:tc>
        <w:tc>
          <w:tcPr>
            <w:tcW w:w="351" w:type="pct"/>
            <w:hideMark/>
          </w:tcPr>
          <w:p w14:paraId="19CF64B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Январь 2019</w:t>
            </w:r>
          </w:p>
        </w:tc>
        <w:tc>
          <w:tcPr>
            <w:tcW w:w="412" w:type="pct"/>
            <w:hideMark/>
          </w:tcPr>
          <w:p w14:paraId="4457FE8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Февраль 2019</w:t>
            </w:r>
          </w:p>
        </w:tc>
        <w:tc>
          <w:tcPr>
            <w:tcW w:w="356" w:type="pct"/>
            <w:hideMark/>
          </w:tcPr>
          <w:p w14:paraId="7ECB408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Март 2019</w:t>
            </w:r>
          </w:p>
        </w:tc>
        <w:tc>
          <w:tcPr>
            <w:tcW w:w="368" w:type="pct"/>
            <w:hideMark/>
          </w:tcPr>
          <w:p w14:paraId="5678491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Апрель 2019</w:t>
            </w:r>
          </w:p>
        </w:tc>
        <w:tc>
          <w:tcPr>
            <w:tcW w:w="314" w:type="pct"/>
            <w:hideMark/>
          </w:tcPr>
          <w:p w14:paraId="5F982E7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Май 2019</w:t>
            </w:r>
          </w:p>
        </w:tc>
        <w:tc>
          <w:tcPr>
            <w:tcW w:w="323" w:type="pct"/>
            <w:hideMark/>
          </w:tcPr>
          <w:p w14:paraId="6C3AD5B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Июнь 2019</w:t>
            </w:r>
          </w:p>
        </w:tc>
        <w:tc>
          <w:tcPr>
            <w:tcW w:w="323" w:type="pct"/>
            <w:hideMark/>
          </w:tcPr>
          <w:p w14:paraId="28264C9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Июль 2019</w:t>
            </w:r>
          </w:p>
        </w:tc>
        <w:tc>
          <w:tcPr>
            <w:tcW w:w="340" w:type="pct"/>
            <w:hideMark/>
          </w:tcPr>
          <w:p w14:paraId="6055E93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Август 2019</w:t>
            </w:r>
          </w:p>
        </w:tc>
        <w:tc>
          <w:tcPr>
            <w:tcW w:w="453" w:type="pct"/>
            <w:hideMark/>
          </w:tcPr>
          <w:p w14:paraId="5AE1D0E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Сентябрь 2019</w:t>
            </w:r>
          </w:p>
        </w:tc>
      </w:tr>
      <w:tr w:rsidR="003F4CFF" w:rsidRPr="0069184F" w14:paraId="4EBEF62A" w14:textId="77777777" w:rsidTr="003F4CFF">
        <w:trPr>
          <w:trHeight w:val="20"/>
        </w:trPr>
        <w:tc>
          <w:tcPr>
            <w:tcW w:w="170" w:type="pct"/>
            <w:hideMark/>
          </w:tcPr>
          <w:p w14:paraId="71F016D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w:t>
            </w:r>
          </w:p>
        </w:tc>
        <w:tc>
          <w:tcPr>
            <w:tcW w:w="961" w:type="pct"/>
            <w:hideMark/>
          </w:tcPr>
          <w:p w14:paraId="22A976E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Говядина (кроме бескостного мяса), кг</w:t>
            </w:r>
          </w:p>
        </w:tc>
        <w:tc>
          <w:tcPr>
            <w:tcW w:w="314" w:type="pct"/>
            <w:hideMark/>
          </w:tcPr>
          <w:p w14:paraId="5A4316F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311,17</w:t>
            </w:r>
          </w:p>
        </w:tc>
        <w:tc>
          <w:tcPr>
            <w:tcW w:w="314" w:type="pct"/>
            <w:hideMark/>
          </w:tcPr>
          <w:p w14:paraId="5AD4F18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325,26</w:t>
            </w:r>
          </w:p>
        </w:tc>
        <w:tc>
          <w:tcPr>
            <w:tcW w:w="351" w:type="pct"/>
            <w:hideMark/>
          </w:tcPr>
          <w:p w14:paraId="36427BD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331,06</w:t>
            </w:r>
          </w:p>
        </w:tc>
        <w:tc>
          <w:tcPr>
            <w:tcW w:w="412" w:type="pct"/>
            <w:hideMark/>
          </w:tcPr>
          <w:p w14:paraId="2F94EE7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338,53</w:t>
            </w:r>
          </w:p>
        </w:tc>
        <w:tc>
          <w:tcPr>
            <w:tcW w:w="356" w:type="pct"/>
            <w:hideMark/>
          </w:tcPr>
          <w:p w14:paraId="7F8D60D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344,13</w:t>
            </w:r>
          </w:p>
        </w:tc>
        <w:tc>
          <w:tcPr>
            <w:tcW w:w="368" w:type="pct"/>
            <w:hideMark/>
          </w:tcPr>
          <w:p w14:paraId="6DC9CE0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345,86</w:t>
            </w:r>
          </w:p>
        </w:tc>
        <w:tc>
          <w:tcPr>
            <w:tcW w:w="314" w:type="pct"/>
            <w:hideMark/>
          </w:tcPr>
          <w:p w14:paraId="71F106C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347,08</w:t>
            </w:r>
          </w:p>
        </w:tc>
        <w:tc>
          <w:tcPr>
            <w:tcW w:w="323" w:type="pct"/>
            <w:hideMark/>
          </w:tcPr>
          <w:p w14:paraId="469D06D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348,85</w:t>
            </w:r>
          </w:p>
        </w:tc>
        <w:tc>
          <w:tcPr>
            <w:tcW w:w="323" w:type="pct"/>
            <w:hideMark/>
          </w:tcPr>
          <w:p w14:paraId="111C08C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348,76</w:t>
            </w:r>
          </w:p>
        </w:tc>
        <w:tc>
          <w:tcPr>
            <w:tcW w:w="340" w:type="pct"/>
            <w:hideMark/>
          </w:tcPr>
          <w:p w14:paraId="7B8A57C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345,53</w:t>
            </w:r>
          </w:p>
        </w:tc>
        <w:tc>
          <w:tcPr>
            <w:tcW w:w="453" w:type="pct"/>
            <w:hideMark/>
          </w:tcPr>
          <w:p w14:paraId="0555FC5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347,70</w:t>
            </w:r>
          </w:p>
        </w:tc>
      </w:tr>
      <w:tr w:rsidR="003F4CFF" w:rsidRPr="0069184F" w14:paraId="7ED90E97" w14:textId="77777777" w:rsidTr="003F4CFF">
        <w:trPr>
          <w:trHeight w:val="20"/>
        </w:trPr>
        <w:tc>
          <w:tcPr>
            <w:tcW w:w="170" w:type="pct"/>
            <w:hideMark/>
          </w:tcPr>
          <w:p w14:paraId="0EF6919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w:t>
            </w:r>
          </w:p>
        </w:tc>
        <w:tc>
          <w:tcPr>
            <w:tcW w:w="961" w:type="pct"/>
            <w:hideMark/>
          </w:tcPr>
          <w:p w14:paraId="243AEEC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Свинина (кроме бескостного мяса), кг</w:t>
            </w:r>
          </w:p>
        </w:tc>
        <w:tc>
          <w:tcPr>
            <w:tcW w:w="314" w:type="pct"/>
            <w:hideMark/>
          </w:tcPr>
          <w:p w14:paraId="03E7C56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267,52</w:t>
            </w:r>
          </w:p>
        </w:tc>
        <w:tc>
          <w:tcPr>
            <w:tcW w:w="314" w:type="pct"/>
            <w:hideMark/>
          </w:tcPr>
          <w:p w14:paraId="6D8CCA3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286,65</w:t>
            </w:r>
          </w:p>
        </w:tc>
        <w:tc>
          <w:tcPr>
            <w:tcW w:w="351" w:type="pct"/>
            <w:hideMark/>
          </w:tcPr>
          <w:p w14:paraId="4D36C35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291,44</w:t>
            </w:r>
          </w:p>
        </w:tc>
        <w:tc>
          <w:tcPr>
            <w:tcW w:w="412" w:type="pct"/>
            <w:hideMark/>
          </w:tcPr>
          <w:p w14:paraId="48F0201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286,76</w:t>
            </w:r>
          </w:p>
        </w:tc>
        <w:tc>
          <w:tcPr>
            <w:tcW w:w="356" w:type="pct"/>
            <w:hideMark/>
          </w:tcPr>
          <w:p w14:paraId="3F0C037F"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296,84</w:t>
            </w:r>
          </w:p>
        </w:tc>
        <w:tc>
          <w:tcPr>
            <w:tcW w:w="368" w:type="pct"/>
            <w:hideMark/>
          </w:tcPr>
          <w:p w14:paraId="4AEF039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298,15</w:t>
            </w:r>
          </w:p>
        </w:tc>
        <w:tc>
          <w:tcPr>
            <w:tcW w:w="314" w:type="pct"/>
            <w:hideMark/>
          </w:tcPr>
          <w:p w14:paraId="4E6A8E2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297,95</w:t>
            </w:r>
          </w:p>
        </w:tc>
        <w:tc>
          <w:tcPr>
            <w:tcW w:w="323" w:type="pct"/>
            <w:hideMark/>
          </w:tcPr>
          <w:p w14:paraId="68DB57A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289,23</w:t>
            </w:r>
          </w:p>
        </w:tc>
        <w:tc>
          <w:tcPr>
            <w:tcW w:w="323" w:type="pct"/>
            <w:hideMark/>
          </w:tcPr>
          <w:p w14:paraId="41BDE54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301,96</w:t>
            </w:r>
          </w:p>
        </w:tc>
        <w:tc>
          <w:tcPr>
            <w:tcW w:w="340" w:type="pct"/>
            <w:hideMark/>
          </w:tcPr>
          <w:p w14:paraId="2D119F3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301,11</w:t>
            </w:r>
          </w:p>
        </w:tc>
        <w:tc>
          <w:tcPr>
            <w:tcW w:w="453" w:type="pct"/>
            <w:hideMark/>
          </w:tcPr>
          <w:p w14:paraId="1815292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293,91</w:t>
            </w:r>
          </w:p>
        </w:tc>
      </w:tr>
      <w:tr w:rsidR="003F4CFF" w:rsidRPr="0069184F" w14:paraId="27C944E3" w14:textId="77777777" w:rsidTr="003F4CFF">
        <w:trPr>
          <w:trHeight w:val="20"/>
        </w:trPr>
        <w:tc>
          <w:tcPr>
            <w:tcW w:w="170" w:type="pct"/>
            <w:hideMark/>
          </w:tcPr>
          <w:p w14:paraId="6811AAF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w:t>
            </w:r>
          </w:p>
        </w:tc>
        <w:tc>
          <w:tcPr>
            <w:tcW w:w="961" w:type="pct"/>
            <w:hideMark/>
          </w:tcPr>
          <w:p w14:paraId="08D9C11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Баранина (кроме бескостного мяса), кг</w:t>
            </w:r>
          </w:p>
        </w:tc>
        <w:tc>
          <w:tcPr>
            <w:tcW w:w="314" w:type="pct"/>
            <w:hideMark/>
          </w:tcPr>
          <w:p w14:paraId="24D181FF"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334,55</w:t>
            </w:r>
          </w:p>
        </w:tc>
        <w:tc>
          <w:tcPr>
            <w:tcW w:w="314" w:type="pct"/>
            <w:hideMark/>
          </w:tcPr>
          <w:p w14:paraId="1474EA0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343,12</w:t>
            </w:r>
          </w:p>
        </w:tc>
        <w:tc>
          <w:tcPr>
            <w:tcW w:w="351" w:type="pct"/>
            <w:hideMark/>
          </w:tcPr>
          <w:p w14:paraId="6442F8F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367,11</w:t>
            </w:r>
          </w:p>
        </w:tc>
        <w:tc>
          <w:tcPr>
            <w:tcW w:w="412" w:type="pct"/>
            <w:hideMark/>
          </w:tcPr>
          <w:p w14:paraId="78550CB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374,30</w:t>
            </w:r>
          </w:p>
        </w:tc>
        <w:tc>
          <w:tcPr>
            <w:tcW w:w="356" w:type="pct"/>
            <w:hideMark/>
          </w:tcPr>
          <w:p w14:paraId="71D4C5A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378,02</w:t>
            </w:r>
          </w:p>
        </w:tc>
        <w:tc>
          <w:tcPr>
            <w:tcW w:w="368" w:type="pct"/>
            <w:hideMark/>
          </w:tcPr>
          <w:p w14:paraId="0AAF927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383,57</w:t>
            </w:r>
          </w:p>
        </w:tc>
        <w:tc>
          <w:tcPr>
            <w:tcW w:w="314" w:type="pct"/>
            <w:hideMark/>
          </w:tcPr>
          <w:p w14:paraId="0C93211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380,86</w:t>
            </w:r>
          </w:p>
        </w:tc>
        <w:tc>
          <w:tcPr>
            <w:tcW w:w="323" w:type="pct"/>
            <w:hideMark/>
          </w:tcPr>
          <w:p w14:paraId="036885B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382,20</w:t>
            </w:r>
          </w:p>
        </w:tc>
        <w:tc>
          <w:tcPr>
            <w:tcW w:w="323" w:type="pct"/>
            <w:hideMark/>
          </w:tcPr>
          <w:p w14:paraId="5BDE463F"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389,54</w:t>
            </w:r>
          </w:p>
        </w:tc>
        <w:tc>
          <w:tcPr>
            <w:tcW w:w="340" w:type="pct"/>
            <w:hideMark/>
          </w:tcPr>
          <w:p w14:paraId="7939C26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397,36</w:t>
            </w:r>
          </w:p>
        </w:tc>
        <w:tc>
          <w:tcPr>
            <w:tcW w:w="453" w:type="pct"/>
            <w:hideMark/>
          </w:tcPr>
          <w:p w14:paraId="37E3588F"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396,48</w:t>
            </w:r>
          </w:p>
        </w:tc>
      </w:tr>
      <w:tr w:rsidR="003F4CFF" w:rsidRPr="0069184F" w14:paraId="27EF3282" w14:textId="77777777" w:rsidTr="003F4CFF">
        <w:trPr>
          <w:trHeight w:val="20"/>
        </w:trPr>
        <w:tc>
          <w:tcPr>
            <w:tcW w:w="170" w:type="pct"/>
            <w:hideMark/>
          </w:tcPr>
          <w:p w14:paraId="6F64714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w:t>
            </w:r>
          </w:p>
        </w:tc>
        <w:tc>
          <w:tcPr>
            <w:tcW w:w="961" w:type="pct"/>
            <w:hideMark/>
          </w:tcPr>
          <w:p w14:paraId="7B59E50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Куры (кроме куриных окорочков), кг</w:t>
            </w:r>
          </w:p>
        </w:tc>
        <w:tc>
          <w:tcPr>
            <w:tcW w:w="314" w:type="pct"/>
            <w:hideMark/>
          </w:tcPr>
          <w:p w14:paraId="42B4986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128,38</w:t>
            </w:r>
          </w:p>
        </w:tc>
        <w:tc>
          <w:tcPr>
            <w:tcW w:w="314" w:type="pct"/>
            <w:hideMark/>
          </w:tcPr>
          <w:p w14:paraId="2547BDA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143,45</w:t>
            </w:r>
          </w:p>
        </w:tc>
        <w:tc>
          <w:tcPr>
            <w:tcW w:w="351" w:type="pct"/>
            <w:hideMark/>
          </w:tcPr>
          <w:p w14:paraId="4C436A6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143,28</w:t>
            </w:r>
          </w:p>
        </w:tc>
        <w:tc>
          <w:tcPr>
            <w:tcW w:w="412" w:type="pct"/>
            <w:hideMark/>
          </w:tcPr>
          <w:p w14:paraId="5156279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142,62</w:t>
            </w:r>
          </w:p>
        </w:tc>
        <w:tc>
          <w:tcPr>
            <w:tcW w:w="356" w:type="pct"/>
            <w:hideMark/>
          </w:tcPr>
          <w:p w14:paraId="7138D55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143,27</w:t>
            </w:r>
          </w:p>
        </w:tc>
        <w:tc>
          <w:tcPr>
            <w:tcW w:w="368" w:type="pct"/>
            <w:hideMark/>
          </w:tcPr>
          <w:p w14:paraId="2C5C76F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142,20</w:t>
            </w:r>
          </w:p>
        </w:tc>
        <w:tc>
          <w:tcPr>
            <w:tcW w:w="314" w:type="pct"/>
            <w:hideMark/>
          </w:tcPr>
          <w:p w14:paraId="724DBDC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144,60</w:t>
            </w:r>
          </w:p>
        </w:tc>
        <w:tc>
          <w:tcPr>
            <w:tcW w:w="323" w:type="pct"/>
            <w:hideMark/>
          </w:tcPr>
          <w:p w14:paraId="2B76240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146,24</w:t>
            </w:r>
          </w:p>
        </w:tc>
        <w:tc>
          <w:tcPr>
            <w:tcW w:w="323" w:type="pct"/>
            <w:hideMark/>
          </w:tcPr>
          <w:p w14:paraId="6E51FFB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148,58</w:t>
            </w:r>
          </w:p>
        </w:tc>
        <w:tc>
          <w:tcPr>
            <w:tcW w:w="340" w:type="pct"/>
            <w:hideMark/>
          </w:tcPr>
          <w:p w14:paraId="5ACC902F"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148,34</w:t>
            </w:r>
          </w:p>
        </w:tc>
        <w:tc>
          <w:tcPr>
            <w:tcW w:w="453" w:type="pct"/>
            <w:hideMark/>
          </w:tcPr>
          <w:p w14:paraId="74C4409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146,90</w:t>
            </w:r>
          </w:p>
        </w:tc>
      </w:tr>
      <w:tr w:rsidR="003F4CFF" w:rsidRPr="0069184F" w14:paraId="133661CC" w14:textId="77777777" w:rsidTr="003F4CFF">
        <w:trPr>
          <w:trHeight w:val="20"/>
        </w:trPr>
        <w:tc>
          <w:tcPr>
            <w:tcW w:w="170" w:type="pct"/>
            <w:hideMark/>
          </w:tcPr>
          <w:p w14:paraId="1E7161B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w:t>
            </w:r>
          </w:p>
        </w:tc>
        <w:tc>
          <w:tcPr>
            <w:tcW w:w="961" w:type="pct"/>
            <w:hideMark/>
          </w:tcPr>
          <w:p w14:paraId="7EBDB38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Рыба мороженая неразделанная, кг</w:t>
            </w:r>
          </w:p>
        </w:tc>
        <w:tc>
          <w:tcPr>
            <w:tcW w:w="314" w:type="pct"/>
            <w:hideMark/>
          </w:tcPr>
          <w:p w14:paraId="4E9DB91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175,71</w:t>
            </w:r>
          </w:p>
        </w:tc>
        <w:tc>
          <w:tcPr>
            <w:tcW w:w="314" w:type="pct"/>
            <w:hideMark/>
          </w:tcPr>
          <w:p w14:paraId="13D22F8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188,52</w:t>
            </w:r>
          </w:p>
        </w:tc>
        <w:tc>
          <w:tcPr>
            <w:tcW w:w="351" w:type="pct"/>
            <w:hideMark/>
          </w:tcPr>
          <w:p w14:paraId="0175F9C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181,65</w:t>
            </w:r>
          </w:p>
        </w:tc>
        <w:tc>
          <w:tcPr>
            <w:tcW w:w="412" w:type="pct"/>
            <w:hideMark/>
          </w:tcPr>
          <w:p w14:paraId="25FD0A5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177,94</w:t>
            </w:r>
          </w:p>
        </w:tc>
        <w:tc>
          <w:tcPr>
            <w:tcW w:w="356" w:type="pct"/>
            <w:hideMark/>
          </w:tcPr>
          <w:p w14:paraId="7781548F"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174,06</w:t>
            </w:r>
          </w:p>
        </w:tc>
        <w:tc>
          <w:tcPr>
            <w:tcW w:w="368" w:type="pct"/>
            <w:hideMark/>
          </w:tcPr>
          <w:p w14:paraId="3795F1D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177,23</w:t>
            </w:r>
          </w:p>
        </w:tc>
        <w:tc>
          <w:tcPr>
            <w:tcW w:w="314" w:type="pct"/>
            <w:hideMark/>
          </w:tcPr>
          <w:p w14:paraId="0E6AA48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179,01</w:t>
            </w:r>
          </w:p>
        </w:tc>
        <w:tc>
          <w:tcPr>
            <w:tcW w:w="323" w:type="pct"/>
            <w:hideMark/>
          </w:tcPr>
          <w:p w14:paraId="2C36EBC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173,60</w:t>
            </w:r>
          </w:p>
        </w:tc>
        <w:tc>
          <w:tcPr>
            <w:tcW w:w="323" w:type="pct"/>
            <w:hideMark/>
          </w:tcPr>
          <w:p w14:paraId="5200A44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172,94</w:t>
            </w:r>
          </w:p>
        </w:tc>
        <w:tc>
          <w:tcPr>
            <w:tcW w:w="340" w:type="pct"/>
            <w:hideMark/>
          </w:tcPr>
          <w:p w14:paraId="7DAB60A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173,08</w:t>
            </w:r>
          </w:p>
        </w:tc>
        <w:tc>
          <w:tcPr>
            <w:tcW w:w="453" w:type="pct"/>
            <w:hideMark/>
          </w:tcPr>
          <w:p w14:paraId="32A8DD1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171,40</w:t>
            </w:r>
          </w:p>
        </w:tc>
      </w:tr>
      <w:tr w:rsidR="003F4CFF" w:rsidRPr="0069184F" w14:paraId="5811CD3E" w14:textId="77777777" w:rsidTr="003F4CFF">
        <w:trPr>
          <w:trHeight w:val="20"/>
        </w:trPr>
        <w:tc>
          <w:tcPr>
            <w:tcW w:w="170" w:type="pct"/>
            <w:hideMark/>
          </w:tcPr>
          <w:p w14:paraId="2852898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w:t>
            </w:r>
          </w:p>
        </w:tc>
        <w:tc>
          <w:tcPr>
            <w:tcW w:w="961" w:type="pct"/>
            <w:hideMark/>
          </w:tcPr>
          <w:p w14:paraId="0173DA2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Масло сливочное, кг</w:t>
            </w:r>
          </w:p>
        </w:tc>
        <w:tc>
          <w:tcPr>
            <w:tcW w:w="314" w:type="pct"/>
            <w:hideMark/>
          </w:tcPr>
          <w:p w14:paraId="54844A7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517,45</w:t>
            </w:r>
          </w:p>
        </w:tc>
        <w:tc>
          <w:tcPr>
            <w:tcW w:w="314" w:type="pct"/>
            <w:hideMark/>
          </w:tcPr>
          <w:p w14:paraId="722A1B6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543,07</w:t>
            </w:r>
          </w:p>
        </w:tc>
        <w:tc>
          <w:tcPr>
            <w:tcW w:w="351" w:type="pct"/>
            <w:hideMark/>
          </w:tcPr>
          <w:p w14:paraId="54698DF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549,33</w:t>
            </w:r>
          </w:p>
        </w:tc>
        <w:tc>
          <w:tcPr>
            <w:tcW w:w="412" w:type="pct"/>
            <w:hideMark/>
          </w:tcPr>
          <w:p w14:paraId="70771C7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558,88</w:t>
            </w:r>
          </w:p>
        </w:tc>
        <w:tc>
          <w:tcPr>
            <w:tcW w:w="356" w:type="pct"/>
            <w:hideMark/>
          </w:tcPr>
          <w:p w14:paraId="248BA06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555,49</w:t>
            </w:r>
          </w:p>
        </w:tc>
        <w:tc>
          <w:tcPr>
            <w:tcW w:w="368" w:type="pct"/>
            <w:hideMark/>
          </w:tcPr>
          <w:p w14:paraId="1B95587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556,58</w:t>
            </w:r>
          </w:p>
        </w:tc>
        <w:tc>
          <w:tcPr>
            <w:tcW w:w="314" w:type="pct"/>
            <w:hideMark/>
          </w:tcPr>
          <w:p w14:paraId="4B6FF79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573,57</w:t>
            </w:r>
          </w:p>
        </w:tc>
        <w:tc>
          <w:tcPr>
            <w:tcW w:w="323" w:type="pct"/>
            <w:hideMark/>
          </w:tcPr>
          <w:p w14:paraId="217B443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568,28</w:t>
            </w:r>
          </w:p>
        </w:tc>
        <w:tc>
          <w:tcPr>
            <w:tcW w:w="323" w:type="pct"/>
            <w:hideMark/>
          </w:tcPr>
          <w:p w14:paraId="10F3AC7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572,21</w:t>
            </w:r>
          </w:p>
        </w:tc>
        <w:tc>
          <w:tcPr>
            <w:tcW w:w="340" w:type="pct"/>
            <w:hideMark/>
          </w:tcPr>
          <w:p w14:paraId="6F2C58E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599,48</w:t>
            </w:r>
          </w:p>
        </w:tc>
        <w:tc>
          <w:tcPr>
            <w:tcW w:w="453" w:type="pct"/>
            <w:hideMark/>
          </w:tcPr>
          <w:p w14:paraId="135C541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594,43</w:t>
            </w:r>
          </w:p>
        </w:tc>
      </w:tr>
      <w:tr w:rsidR="003F4CFF" w:rsidRPr="0069184F" w14:paraId="77FBB4C3" w14:textId="77777777" w:rsidTr="003F4CFF">
        <w:trPr>
          <w:trHeight w:val="20"/>
        </w:trPr>
        <w:tc>
          <w:tcPr>
            <w:tcW w:w="170" w:type="pct"/>
            <w:hideMark/>
          </w:tcPr>
          <w:p w14:paraId="3DFB9EC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w:t>
            </w:r>
          </w:p>
        </w:tc>
        <w:tc>
          <w:tcPr>
            <w:tcW w:w="961" w:type="pct"/>
            <w:hideMark/>
          </w:tcPr>
          <w:p w14:paraId="790767FF"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Масло подсолнечное, кг</w:t>
            </w:r>
          </w:p>
        </w:tc>
        <w:tc>
          <w:tcPr>
            <w:tcW w:w="314" w:type="pct"/>
            <w:hideMark/>
          </w:tcPr>
          <w:p w14:paraId="2C2D9FD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96,10</w:t>
            </w:r>
          </w:p>
        </w:tc>
        <w:tc>
          <w:tcPr>
            <w:tcW w:w="314" w:type="pct"/>
            <w:hideMark/>
          </w:tcPr>
          <w:p w14:paraId="6D58EA4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99,94</w:t>
            </w:r>
          </w:p>
        </w:tc>
        <w:tc>
          <w:tcPr>
            <w:tcW w:w="351" w:type="pct"/>
            <w:hideMark/>
          </w:tcPr>
          <w:p w14:paraId="07202EA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99,93</w:t>
            </w:r>
          </w:p>
        </w:tc>
        <w:tc>
          <w:tcPr>
            <w:tcW w:w="412" w:type="pct"/>
            <w:hideMark/>
          </w:tcPr>
          <w:p w14:paraId="78A9E77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97,43</w:t>
            </w:r>
          </w:p>
        </w:tc>
        <w:tc>
          <w:tcPr>
            <w:tcW w:w="356" w:type="pct"/>
            <w:hideMark/>
          </w:tcPr>
          <w:p w14:paraId="2921F90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99,27</w:t>
            </w:r>
          </w:p>
        </w:tc>
        <w:tc>
          <w:tcPr>
            <w:tcW w:w="368" w:type="pct"/>
            <w:hideMark/>
          </w:tcPr>
          <w:p w14:paraId="175A728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100,61</w:t>
            </w:r>
          </w:p>
        </w:tc>
        <w:tc>
          <w:tcPr>
            <w:tcW w:w="314" w:type="pct"/>
            <w:hideMark/>
          </w:tcPr>
          <w:p w14:paraId="03E7A23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97,91</w:t>
            </w:r>
          </w:p>
        </w:tc>
        <w:tc>
          <w:tcPr>
            <w:tcW w:w="323" w:type="pct"/>
            <w:hideMark/>
          </w:tcPr>
          <w:p w14:paraId="684712A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100,92</w:t>
            </w:r>
          </w:p>
        </w:tc>
        <w:tc>
          <w:tcPr>
            <w:tcW w:w="323" w:type="pct"/>
            <w:hideMark/>
          </w:tcPr>
          <w:p w14:paraId="09A2DE5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97,60</w:t>
            </w:r>
          </w:p>
        </w:tc>
        <w:tc>
          <w:tcPr>
            <w:tcW w:w="340" w:type="pct"/>
            <w:hideMark/>
          </w:tcPr>
          <w:p w14:paraId="4837A0D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98,69</w:t>
            </w:r>
          </w:p>
        </w:tc>
        <w:tc>
          <w:tcPr>
            <w:tcW w:w="453" w:type="pct"/>
            <w:hideMark/>
          </w:tcPr>
          <w:p w14:paraId="19233D8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93,33</w:t>
            </w:r>
          </w:p>
        </w:tc>
      </w:tr>
      <w:tr w:rsidR="003F4CFF" w:rsidRPr="0069184F" w14:paraId="1D984619" w14:textId="77777777" w:rsidTr="003F4CFF">
        <w:trPr>
          <w:trHeight w:val="20"/>
        </w:trPr>
        <w:tc>
          <w:tcPr>
            <w:tcW w:w="170" w:type="pct"/>
            <w:hideMark/>
          </w:tcPr>
          <w:p w14:paraId="0E52857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8</w:t>
            </w:r>
          </w:p>
        </w:tc>
        <w:tc>
          <w:tcPr>
            <w:tcW w:w="961" w:type="pct"/>
            <w:hideMark/>
          </w:tcPr>
          <w:p w14:paraId="0ED6096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Молоко питьевое цельное пастеризованное 2,5–3,2% жирности, л</w:t>
            </w:r>
          </w:p>
        </w:tc>
        <w:tc>
          <w:tcPr>
            <w:tcW w:w="314" w:type="pct"/>
            <w:hideMark/>
          </w:tcPr>
          <w:p w14:paraId="4433ADF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57,18</w:t>
            </w:r>
          </w:p>
        </w:tc>
        <w:tc>
          <w:tcPr>
            <w:tcW w:w="314" w:type="pct"/>
            <w:hideMark/>
          </w:tcPr>
          <w:p w14:paraId="0DA534F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57,05</w:t>
            </w:r>
          </w:p>
        </w:tc>
        <w:tc>
          <w:tcPr>
            <w:tcW w:w="351" w:type="pct"/>
            <w:hideMark/>
          </w:tcPr>
          <w:p w14:paraId="15ECF07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56,57</w:t>
            </w:r>
          </w:p>
        </w:tc>
        <w:tc>
          <w:tcPr>
            <w:tcW w:w="412" w:type="pct"/>
            <w:hideMark/>
          </w:tcPr>
          <w:p w14:paraId="3DD118A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57,67</w:t>
            </w:r>
          </w:p>
        </w:tc>
        <w:tc>
          <w:tcPr>
            <w:tcW w:w="356" w:type="pct"/>
            <w:hideMark/>
          </w:tcPr>
          <w:p w14:paraId="19ABDDA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56,90</w:t>
            </w:r>
          </w:p>
        </w:tc>
        <w:tc>
          <w:tcPr>
            <w:tcW w:w="368" w:type="pct"/>
            <w:hideMark/>
          </w:tcPr>
          <w:p w14:paraId="7163AD8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55,43</w:t>
            </w:r>
          </w:p>
        </w:tc>
        <w:tc>
          <w:tcPr>
            <w:tcW w:w="314" w:type="pct"/>
            <w:hideMark/>
          </w:tcPr>
          <w:p w14:paraId="18050E0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56,67</w:t>
            </w:r>
          </w:p>
        </w:tc>
        <w:tc>
          <w:tcPr>
            <w:tcW w:w="323" w:type="pct"/>
            <w:hideMark/>
          </w:tcPr>
          <w:p w14:paraId="14F7F14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56,78</w:t>
            </w:r>
          </w:p>
        </w:tc>
        <w:tc>
          <w:tcPr>
            <w:tcW w:w="323" w:type="pct"/>
            <w:hideMark/>
          </w:tcPr>
          <w:p w14:paraId="06F0A06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57,20</w:t>
            </w:r>
          </w:p>
        </w:tc>
        <w:tc>
          <w:tcPr>
            <w:tcW w:w="340" w:type="pct"/>
            <w:hideMark/>
          </w:tcPr>
          <w:p w14:paraId="5846D80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56,76</w:t>
            </w:r>
          </w:p>
        </w:tc>
        <w:tc>
          <w:tcPr>
            <w:tcW w:w="453" w:type="pct"/>
            <w:hideMark/>
          </w:tcPr>
          <w:p w14:paraId="30D95B8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58,63</w:t>
            </w:r>
          </w:p>
        </w:tc>
      </w:tr>
      <w:tr w:rsidR="003F4CFF" w:rsidRPr="0069184F" w14:paraId="5341F4F0" w14:textId="77777777" w:rsidTr="003F4CFF">
        <w:trPr>
          <w:trHeight w:val="20"/>
        </w:trPr>
        <w:tc>
          <w:tcPr>
            <w:tcW w:w="170" w:type="pct"/>
            <w:hideMark/>
          </w:tcPr>
          <w:p w14:paraId="75C5E59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w:t>
            </w:r>
          </w:p>
        </w:tc>
        <w:tc>
          <w:tcPr>
            <w:tcW w:w="961" w:type="pct"/>
            <w:hideMark/>
          </w:tcPr>
          <w:p w14:paraId="440536F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Яйца куриные, 10 шт.</w:t>
            </w:r>
          </w:p>
        </w:tc>
        <w:tc>
          <w:tcPr>
            <w:tcW w:w="314" w:type="pct"/>
            <w:hideMark/>
          </w:tcPr>
          <w:p w14:paraId="171A26E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54,67</w:t>
            </w:r>
          </w:p>
        </w:tc>
        <w:tc>
          <w:tcPr>
            <w:tcW w:w="314" w:type="pct"/>
            <w:hideMark/>
          </w:tcPr>
          <w:p w14:paraId="615333D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62,59</w:t>
            </w:r>
          </w:p>
        </w:tc>
        <w:tc>
          <w:tcPr>
            <w:tcW w:w="351" w:type="pct"/>
            <w:hideMark/>
          </w:tcPr>
          <w:p w14:paraId="4FF8F40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63,06</w:t>
            </w:r>
          </w:p>
        </w:tc>
        <w:tc>
          <w:tcPr>
            <w:tcW w:w="412" w:type="pct"/>
            <w:hideMark/>
          </w:tcPr>
          <w:p w14:paraId="1CB7B05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62,80</w:t>
            </w:r>
          </w:p>
        </w:tc>
        <w:tc>
          <w:tcPr>
            <w:tcW w:w="356" w:type="pct"/>
            <w:hideMark/>
          </w:tcPr>
          <w:p w14:paraId="4DF447E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62,19</w:t>
            </w:r>
          </w:p>
        </w:tc>
        <w:tc>
          <w:tcPr>
            <w:tcW w:w="368" w:type="pct"/>
            <w:hideMark/>
          </w:tcPr>
          <w:p w14:paraId="2F783EE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62,80</w:t>
            </w:r>
          </w:p>
        </w:tc>
        <w:tc>
          <w:tcPr>
            <w:tcW w:w="314" w:type="pct"/>
            <w:hideMark/>
          </w:tcPr>
          <w:p w14:paraId="33118AF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59,05</w:t>
            </w:r>
          </w:p>
        </w:tc>
        <w:tc>
          <w:tcPr>
            <w:tcW w:w="323" w:type="pct"/>
            <w:hideMark/>
          </w:tcPr>
          <w:p w14:paraId="430D134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57,17</w:t>
            </w:r>
          </w:p>
        </w:tc>
        <w:tc>
          <w:tcPr>
            <w:tcW w:w="323" w:type="pct"/>
            <w:hideMark/>
          </w:tcPr>
          <w:p w14:paraId="67A953B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56,33</w:t>
            </w:r>
          </w:p>
        </w:tc>
        <w:tc>
          <w:tcPr>
            <w:tcW w:w="340" w:type="pct"/>
            <w:hideMark/>
          </w:tcPr>
          <w:p w14:paraId="65FCC9C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59,28</w:t>
            </w:r>
          </w:p>
        </w:tc>
        <w:tc>
          <w:tcPr>
            <w:tcW w:w="453" w:type="pct"/>
            <w:hideMark/>
          </w:tcPr>
          <w:p w14:paraId="2DD4AEC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58,96</w:t>
            </w:r>
          </w:p>
        </w:tc>
      </w:tr>
      <w:tr w:rsidR="003F4CFF" w:rsidRPr="0069184F" w14:paraId="42D21398" w14:textId="77777777" w:rsidTr="003F4CFF">
        <w:trPr>
          <w:trHeight w:val="20"/>
        </w:trPr>
        <w:tc>
          <w:tcPr>
            <w:tcW w:w="170" w:type="pct"/>
            <w:hideMark/>
          </w:tcPr>
          <w:p w14:paraId="245E839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10</w:t>
            </w:r>
          </w:p>
        </w:tc>
        <w:tc>
          <w:tcPr>
            <w:tcW w:w="961" w:type="pct"/>
            <w:hideMark/>
          </w:tcPr>
          <w:p w14:paraId="58EA062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Сахар-песок, кг</w:t>
            </w:r>
          </w:p>
        </w:tc>
        <w:tc>
          <w:tcPr>
            <w:tcW w:w="314" w:type="pct"/>
            <w:hideMark/>
          </w:tcPr>
          <w:p w14:paraId="24F9D92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40,29</w:t>
            </w:r>
          </w:p>
        </w:tc>
        <w:tc>
          <w:tcPr>
            <w:tcW w:w="314" w:type="pct"/>
            <w:hideMark/>
          </w:tcPr>
          <w:p w14:paraId="200CC41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49,46</w:t>
            </w:r>
          </w:p>
        </w:tc>
        <w:tc>
          <w:tcPr>
            <w:tcW w:w="351" w:type="pct"/>
            <w:hideMark/>
          </w:tcPr>
          <w:p w14:paraId="24CAE00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49,85</w:t>
            </w:r>
          </w:p>
        </w:tc>
        <w:tc>
          <w:tcPr>
            <w:tcW w:w="412" w:type="pct"/>
            <w:hideMark/>
          </w:tcPr>
          <w:p w14:paraId="1600245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49,92</w:t>
            </w:r>
          </w:p>
        </w:tc>
        <w:tc>
          <w:tcPr>
            <w:tcW w:w="356" w:type="pct"/>
            <w:hideMark/>
          </w:tcPr>
          <w:p w14:paraId="1E7EC3E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49,73</w:t>
            </w:r>
          </w:p>
        </w:tc>
        <w:tc>
          <w:tcPr>
            <w:tcW w:w="368" w:type="pct"/>
            <w:hideMark/>
          </w:tcPr>
          <w:p w14:paraId="002DFB1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49,59</w:t>
            </w:r>
          </w:p>
        </w:tc>
        <w:tc>
          <w:tcPr>
            <w:tcW w:w="314" w:type="pct"/>
            <w:hideMark/>
          </w:tcPr>
          <w:p w14:paraId="7F056A9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47,07</w:t>
            </w:r>
          </w:p>
        </w:tc>
        <w:tc>
          <w:tcPr>
            <w:tcW w:w="323" w:type="pct"/>
            <w:hideMark/>
          </w:tcPr>
          <w:p w14:paraId="0DD7955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45,15</w:t>
            </w:r>
          </w:p>
        </w:tc>
        <w:tc>
          <w:tcPr>
            <w:tcW w:w="323" w:type="pct"/>
            <w:hideMark/>
          </w:tcPr>
          <w:p w14:paraId="2288714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42,31</w:t>
            </w:r>
          </w:p>
        </w:tc>
        <w:tc>
          <w:tcPr>
            <w:tcW w:w="340" w:type="pct"/>
            <w:hideMark/>
          </w:tcPr>
          <w:p w14:paraId="676ED91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41,85</w:t>
            </w:r>
          </w:p>
        </w:tc>
        <w:tc>
          <w:tcPr>
            <w:tcW w:w="453" w:type="pct"/>
            <w:hideMark/>
          </w:tcPr>
          <w:p w14:paraId="228AD31F"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39,28</w:t>
            </w:r>
          </w:p>
        </w:tc>
      </w:tr>
      <w:tr w:rsidR="003F4CFF" w:rsidRPr="0069184F" w14:paraId="16AC85C4" w14:textId="77777777" w:rsidTr="003F4CFF">
        <w:trPr>
          <w:trHeight w:val="20"/>
        </w:trPr>
        <w:tc>
          <w:tcPr>
            <w:tcW w:w="170" w:type="pct"/>
            <w:hideMark/>
          </w:tcPr>
          <w:p w14:paraId="1046851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11</w:t>
            </w:r>
          </w:p>
        </w:tc>
        <w:tc>
          <w:tcPr>
            <w:tcW w:w="961" w:type="pct"/>
            <w:hideMark/>
          </w:tcPr>
          <w:p w14:paraId="7C6B7E4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Соль поваренная пищевая, кг</w:t>
            </w:r>
          </w:p>
        </w:tc>
        <w:tc>
          <w:tcPr>
            <w:tcW w:w="314" w:type="pct"/>
            <w:hideMark/>
          </w:tcPr>
          <w:p w14:paraId="42D8E80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10,69</w:t>
            </w:r>
          </w:p>
        </w:tc>
        <w:tc>
          <w:tcPr>
            <w:tcW w:w="314" w:type="pct"/>
            <w:hideMark/>
          </w:tcPr>
          <w:p w14:paraId="164A13D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12,21</w:t>
            </w:r>
          </w:p>
        </w:tc>
        <w:tc>
          <w:tcPr>
            <w:tcW w:w="351" w:type="pct"/>
            <w:hideMark/>
          </w:tcPr>
          <w:p w14:paraId="32E8A50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12,39</w:t>
            </w:r>
          </w:p>
        </w:tc>
        <w:tc>
          <w:tcPr>
            <w:tcW w:w="412" w:type="pct"/>
            <w:hideMark/>
          </w:tcPr>
          <w:p w14:paraId="2210E48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12,36</w:t>
            </w:r>
          </w:p>
        </w:tc>
        <w:tc>
          <w:tcPr>
            <w:tcW w:w="356" w:type="pct"/>
            <w:hideMark/>
          </w:tcPr>
          <w:p w14:paraId="7D1BCBB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12,56</w:t>
            </w:r>
          </w:p>
        </w:tc>
        <w:tc>
          <w:tcPr>
            <w:tcW w:w="368" w:type="pct"/>
            <w:hideMark/>
          </w:tcPr>
          <w:p w14:paraId="2E63CA1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12,67</w:t>
            </w:r>
          </w:p>
        </w:tc>
        <w:tc>
          <w:tcPr>
            <w:tcW w:w="314" w:type="pct"/>
            <w:hideMark/>
          </w:tcPr>
          <w:p w14:paraId="454C58E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12,93</w:t>
            </w:r>
          </w:p>
        </w:tc>
        <w:tc>
          <w:tcPr>
            <w:tcW w:w="323" w:type="pct"/>
            <w:hideMark/>
          </w:tcPr>
          <w:p w14:paraId="1CFC590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13,00</w:t>
            </w:r>
          </w:p>
        </w:tc>
        <w:tc>
          <w:tcPr>
            <w:tcW w:w="323" w:type="pct"/>
            <w:hideMark/>
          </w:tcPr>
          <w:p w14:paraId="17EF848F"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12,96</w:t>
            </w:r>
          </w:p>
        </w:tc>
        <w:tc>
          <w:tcPr>
            <w:tcW w:w="340" w:type="pct"/>
            <w:hideMark/>
          </w:tcPr>
          <w:p w14:paraId="5ABD2BD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12,93</w:t>
            </w:r>
          </w:p>
        </w:tc>
        <w:tc>
          <w:tcPr>
            <w:tcW w:w="453" w:type="pct"/>
            <w:hideMark/>
          </w:tcPr>
          <w:p w14:paraId="2647419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13,04</w:t>
            </w:r>
          </w:p>
        </w:tc>
      </w:tr>
      <w:tr w:rsidR="003F4CFF" w:rsidRPr="0069184F" w14:paraId="26D8069F" w14:textId="77777777" w:rsidTr="003F4CFF">
        <w:trPr>
          <w:trHeight w:val="20"/>
        </w:trPr>
        <w:tc>
          <w:tcPr>
            <w:tcW w:w="170" w:type="pct"/>
            <w:hideMark/>
          </w:tcPr>
          <w:p w14:paraId="73947B5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12</w:t>
            </w:r>
          </w:p>
        </w:tc>
        <w:tc>
          <w:tcPr>
            <w:tcW w:w="961" w:type="pct"/>
            <w:hideMark/>
          </w:tcPr>
          <w:p w14:paraId="224D330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Чай черный байховый, кг</w:t>
            </w:r>
          </w:p>
        </w:tc>
        <w:tc>
          <w:tcPr>
            <w:tcW w:w="314" w:type="pct"/>
            <w:hideMark/>
          </w:tcPr>
          <w:p w14:paraId="06AAFC1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854,96</w:t>
            </w:r>
          </w:p>
        </w:tc>
        <w:tc>
          <w:tcPr>
            <w:tcW w:w="314" w:type="pct"/>
            <w:hideMark/>
          </w:tcPr>
          <w:p w14:paraId="6895DDD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846,54</w:t>
            </w:r>
          </w:p>
        </w:tc>
        <w:tc>
          <w:tcPr>
            <w:tcW w:w="351" w:type="pct"/>
            <w:hideMark/>
          </w:tcPr>
          <w:p w14:paraId="586B5E2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920,52</w:t>
            </w:r>
          </w:p>
        </w:tc>
        <w:tc>
          <w:tcPr>
            <w:tcW w:w="412" w:type="pct"/>
            <w:hideMark/>
          </w:tcPr>
          <w:p w14:paraId="2A073BEF"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940,29</w:t>
            </w:r>
          </w:p>
        </w:tc>
        <w:tc>
          <w:tcPr>
            <w:tcW w:w="356" w:type="pct"/>
            <w:hideMark/>
          </w:tcPr>
          <w:p w14:paraId="729303C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926,33</w:t>
            </w:r>
          </w:p>
        </w:tc>
        <w:tc>
          <w:tcPr>
            <w:tcW w:w="368" w:type="pct"/>
            <w:hideMark/>
          </w:tcPr>
          <w:p w14:paraId="0D05063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922,80</w:t>
            </w:r>
          </w:p>
        </w:tc>
        <w:tc>
          <w:tcPr>
            <w:tcW w:w="314" w:type="pct"/>
            <w:hideMark/>
          </w:tcPr>
          <w:p w14:paraId="14CB6D6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934,25</w:t>
            </w:r>
          </w:p>
        </w:tc>
        <w:tc>
          <w:tcPr>
            <w:tcW w:w="323" w:type="pct"/>
            <w:hideMark/>
          </w:tcPr>
          <w:p w14:paraId="5B31D07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965,63</w:t>
            </w:r>
          </w:p>
        </w:tc>
        <w:tc>
          <w:tcPr>
            <w:tcW w:w="323" w:type="pct"/>
            <w:hideMark/>
          </w:tcPr>
          <w:p w14:paraId="2116D48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942,78</w:t>
            </w:r>
          </w:p>
        </w:tc>
        <w:tc>
          <w:tcPr>
            <w:tcW w:w="340" w:type="pct"/>
            <w:hideMark/>
          </w:tcPr>
          <w:p w14:paraId="03E3DF1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947,21</w:t>
            </w:r>
          </w:p>
        </w:tc>
        <w:tc>
          <w:tcPr>
            <w:tcW w:w="453" w:type="pct"/>
            <w:hideMark/>
          </w:tcPr>
          <w:p w14:paraId="57F32B7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901,07</w:t>
            </w:r>
          </w:p>
        </w:tc>
      </w:tr>
      <w:tr w:rsidR="003F4CFF" w:rsidRPr="0069184F" w14:paraId="0571234F" w14:textId="77777777" w:rsidTr="003F4CFF">
        <w:trPr>
          <w:trHeight w:val="20"/>
        </w:trPr>
        <w:tc>
          <w:tcPr>
            <w:tcW w:w="170" w:type="pct"/>
            <w:hideMark/>
          </w:tcPr>
          <w:p w14:paraId="4882BBA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13</w:t>
            </w:r>
          </w:p>
        </w:tc>
        <w:tc>
          <w:tcPr>
            <w:tcW w:w="961" w:type="pct"/>
            <w:hideMark/>
          </w:tcPr>
          <w:p w14:paraId="5A66EBB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Мука пшеничная, кг</w:t>
            </w:r>
          </w:p>
        </w:tc>
        <w:tc>
          <w:tcPr>
            <w:tcW w:w="314" w:type="pct"/>
            <w:hideMark/>
          </w:tcPr>
          <w:p w14:paraId="396D755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26,45</w:t>
            </w:r>
          </w:p>
        </w:tc>
        <w:tc>
          <w:tcPr>
            <w:tcW w:w="314" w:type="pct"/>
            <w:hideMark/>
          </w:tcPr>
          <w:p w14:paraId="373C5F3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28,22</w:t>
            </w:r>
          </w:p>
        </w:tc>
        <w:tc>
          <w:tcPr>
            <w:tcW w:w="351" w:type="pct"/>
            <w:hideMark/>
          </w:tcPr>
          <w:p w14:paraId="221E2A3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29,83</w:t>
            </w:r>
          </w:p>
        </w:tc>
        <w:tc>
          <w:tcPr>
            <w:tcW w:w="412" w:type="pct"/>
            <w:hideMark/>
          </w:tcPr>
          <w:p w14:paraId="7A47046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31,41</w:t>
            </w:r>
          </w:p>
        </w:tc>
        <w:tc>
          <w:tcPr>
            <w:tcW w:w="356" w:type="pct"/>
            <w:hideMark/>
          </w:tcPr>
          <w:p w14:paraId="1181D87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32,39</w:t>
            </w:r>
          </w:p>
        </w:tc>
        <w:tc>
          <w:tcPr>
            <w:tcW w:w="368" w:type="pct"/>
            <w:hideMark/>
          </w:tcPr>
          <w:p w14:paraId="3D5AF5DF"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31,58</w:t>
            </w:r>
          </w:p>
        </w:tc>
        <w:tc>
          <w:tcPr>
            <w:tcW w:w="314" w:type="pct"/>
            <w:hideMark/>
          </w:tcPr>
          <w:p w14:paraId="65974A4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31,67</w:t>
            </w:r>
          </w:p>
        </w:tc>
        <w:tc>
          <w:tcPr>
            <w:tcW w:w="323" w:type="pct"/>
            <w:hideMark/>
          </w:tcPr>
          <w:p w14:paraId="7809263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32,26</w:t>
            </w:r>
          </w:p>
        </w:tc>
        <w:tc>
          <w:tcPr>
            <w:tcW w:w="323" w:type="pct"/>
            <w:hideMark/>
          </w:tcPr>
          <w:p w14:paraId="120CBE9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32,52</w:t>
            </w:r>
          </w:p>
        </w:tc>
        <w:tc>
          <w:tcPr>
            <w:tcW w:w="340" w:type="pct"/>
            <w:hideMark/>
          </w:tcPr>
          <w:p w14:paraId="0DF864D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32,31</w:t>
            </w:r>
          </w:p>
        </w:tc>
        <w:tc>
          <w:tcPr>
            <w:tcW w:w="453" w:type="pct"/>
            <w:hideMark/>
          </w:tcPr>
          <w:p w14:paraId="0D40AE7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32,28</w:t>
            </w:r>
          </w:p>
        </w:tc>
      </w:tr>
      <w:tr w:rsidR="003F4CFF" w:rsidRPr="0069184F" w14:paraId="198840EF" w14:textId="77777777" w:rsidTr="003F4CFF">
        <w:trPr>
          <w:trHeight w:val="20"/>
        </w:trPr>
        <w:tc>
          <w:tcPr>
            <w:tcW w:w="170" w:type="pct"/>
            <w:hideMark/>
          </w:tcPr>
          <w:p w14:paraId="606443A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14</w:t>
            </w:r>
          </w:p>
        </w:tc>
        <w:tc>
          <w:tcPr>
            <w:tcW w:w="961" w:type="pct"/>
            <w:hideMark/>
          </w:tcPr>
          <w:p w14:paraId="018408C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Хлеб ржаной, ржано-пшеничный, кг</w:t>
            </w:r>
          </w:p>
        </w:tc>
        <w:tc>
          <w:tcPr>
            <w:tcW w:w="314" w:type="pct"/>
            <w:hideMark/>
          </w:tcPr>
          <w:p w14:paraId="4150989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64,79</w:t>
            </w:r>
          </w:p>
        </w:tc>
        <w:tc>
          <w:tcPr>
            <w:tcW w:w="314" w:type="pct"/>
            <w:hideMark/>
          </w:tcPr>
          <w:p w14:paraId="4BFB002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69,70</w:t>
            </w:r>
          </w:p>
        </w:tc>
        <w:tc>
          <w:tcPr>
            <w:tcW w:w="351" w:type="pct"/>
            <w:hideMark/>
          </w:tcPr>
          <w:p w14:paraId="77426E1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70,37</w:t>
            </w:r>
          </w:p>
        </w:tc>
        <w:tc>
          <w:tcPr>
            <w:tcW w:w="412" w:type="pct"/>
            <w:hideMark/>
          </w:tcPr>
          <w:p w14:paraId="4A85C3C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70,50</w:t>
            </w:r>
          </w:p>
        </w:tc>
        <w:tc>
          <w:tcPr>
            <w:tcW w:w="356" w:type="pct"/>
            <w:hideMark/>
          </w:tcPr>
          <w:p w14:paraId="08B5040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70,27</w:t>
            </w:r>
          </w:p>
        </w:tc>
        <w:tc>
          <w:tcPr>
            <w:tcW w:w="368" w:type="pct"/>
            <w:hideMark/>
          </w:tcPr>
          <w:p w14:paraId="2367A29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70,98</w:t>
            </w:r>
          </w:p>
        </w:tc>
        <w:tc>
          <w:tcPr>
            <w:tcW w:w="314" w:type="pct"/>
            <w:hideMark/>
          </w:tcPr>
          <w:p w14:paraId="59D5108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70,47</w:t>
            </w:r>
          </w:p>
        </w:tc>
        <w:tc>
          <w:tcPr>
            <w:tcW w:w="323" w:type="pct"/>
            <w:hideMark/>
          </w:tcPr>
          <w:p w14:paraId="5DE7380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71,63</w:t>
            </w:r>
          </w:p>
        </w:tc>
        <w:tc>
          <w:tcPr>
            <w:tcW w:w="323" w:type="pct"/>
            <w:hideMark/>
          </w:tcPr>
          <w:p w14:paraId="0A5D0E2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71,99</w:t>
            </w:r>
          </w:p>
        </w:tc>
        <w:tc>
          <w:tcPr>
            <w:tcW w:w="340" w:type="pct"/>
            <w:hideMark/>
          </w:tcPr>
          <w:p w14:paraId="2EF3DA9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73,77</w:t>
            </w:r>
          </w:p>
        </w:tc>
        <w:tc>
          <w:tcPr>
            <w:tcW w:w="453" w:type="pct"/>
            <w:hideMark/>
          </w:tcPr>
          <w:p w14:paraId="5C14803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75,05</w:t>
            </w:r>
          </w:p>
        </w:tc>
      </w:tr>
      <w:tr w:rsidR="003F4CFF" w:rsidRPr="0069184F" w14:paraId="705558A0" w14:textId="77777777" w:rsidTr="003F4CFF">
        <w:trPr>
          <w:trHeight w:val="20"/>
        </w:trPr>
        <w:tc>
          <w:tcPr>
            <w:tcW w:w="170" w:type="pct"/>
            <w:hideMark/>
          </w:tcPr>
          <w:p w14:paraId="1B2FE11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15</w:t>
            </w:r>
          </w:p>
        </w:tc>
        <w:tc>
          <w:tcPr>
            <w:tcW w:w="961" w:type="pct"/>
            <w:hideMark/>
          </w:tcPr>
          <w:p w14:paraId="16DA5DF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Хлеб и булочные изделия из пшеничной муки 1 и 2 сорта, кг</w:t>
            </w:r>
          </w:p>
        </w:tc>
        <w:tc>
          <w:tcPr>
            <w:tcW w:w="314" w:type="pct"/>
            <w:hideMark/>
          </w:tcPr>
          <w:p w14:paraId="52545C5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47,90</w:t>
            </w:r>
          </w:p>
        </w:tc>
        <w:tc>
          <w:tcPr>
            <w:tcW w:w="314" w:type="pct"/>
            <w:hideMark/>
          </w:tcPr>
          <w:p w14:paraId="096786F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52,17</w:t>
            </w:r>
          </w:p>
        </w:tc>
        <w:tc>
          <w:tcPr>
            <w:tcW w:w="351" w:type="pct"/>
            <w:hideMark/>
          </w:tcPr>
          <w:p w14:paraId="63B19A4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51,92</w:t>
            </w:r>
          </w:p>
        </w:tc>
        <w:tc>
          <w:tcPr>
            <w:tcW w:w="412" w:type="pct"/>
            <w:hideMark/>
          </w:tcPr>
          <w:p w14:paraId="2F77985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52,74</w:t>
            </w:r>
          </w:p>
        </w:tc>
        <w:tc>
          <w:tcPr>
            <w:tcW w:w="356" w:type="pct"/>
            <w:hideMark/>
          </w:tcPr>
          <w:p w14:paraId="1A1CFF1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52,57</w:t>
            </w:r>
          </w:p>
        </w:tc>
        <w:tc>
          <w:tcPr>
            <w:tcW w:w="368" w:type="pct"/>
            <w:hideMark/>
          </w:tcPr>
          <w:p w14:paraId="65726D3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53,57</w:t>
            </w:r>
          </w:p>
        </w:tc>
        <w:tc>
          <w:tcPr>
            <w:tcW w:w="314" w:type="pct"/>
            <w:hideMark/>
          </w:tcPr>
          <w:p w14:paraId="71D3E33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53,44</w:t>
            </w:r>
          </w:p>
        </w:tc>
        <w:tc>
          <w:tcPr>
            <w:tcW w:w="323" w:type="pct"/>
            <w:hideMark/>
          </w:tcPr>
          <w:p w14:paraId="68C09CD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53,31</w:t>
            </w:r>
          </w:p>
        </w:tc>
        <w:tc>
          <w:tcPr>
            <w:tcW w:w="323" w:type="pct"/>
            <w:hideMark/>
          </w:tcPr>
          <w:p w14:paraId="404D67E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53,19</w:t>
            </w:r>
          </w:p>
        </w:tc>
        <w:tc>
          <w:tcPr>
            <w:tcW w:w="340" w:type="pct"/>
            <w:hideMark/>
          </w:tcPr>
          <w:p w14:paraId="7498D30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54,40</w:t>
            </w:r>
          </w:p>
        </w:tc>
        <w:tc>
          <w:tcPr>
            <w:tcW w:w="453" w:type="pct"/>
            <w:hideMark/>
          </w:tcPr>
          <w:p w14:paraId="25E57F6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55,37</w:t>
            </w:r>
          </w:p>
        </w:tc>
      </w:tr>
      <w:tr w:rsidR="003F4CFF" w:rsidRPr="0069184F" w14:paraId="3E57CDAA" w14:textId="77777777" w:rsidTr="003F4CFF">
        <w:trPr>
          <w:trHeight w:val="20"/>
        </w:trPr>
        <w:tc>
          <w:tcPr>
            <w:tcW w:w="170" w:type="pct"/>
            <w:hideMark/>
          </w:tcPr>
          <w:p w14:paraId="1535D38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16</w:t>
            </w:r>
          </w:p>
        </w:tc>
        <w:tc>
          <w:tcPr>
            <w:tcW w:w="961" w:type="pct"/>
            <w:hideMark/>
          </w:tcPr>
          <w:p w14:paraId="4D00E75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Рис шлифованный, кг</w:t>
            </w:r>
          </w:p>
        </w:tc>
        <w:tc>
          <w:tcPr>
            <w:tcW w:w="314" w:type="pct"/>
            <w:hideMark/>
          </w:tcPr>
          <w:p w14:paraId="36B7D3C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61,03</w:t>
            </w:r>
          </w:p>
        </w:tc>
        <w:tc>
          <w:tcPr>
            <w:tcW w:w="314" w:type="pct"/>
            <w:hideMark/>
          </w:tcPr>
          <w:p w14:paraId="4543D3E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70,11</w:t>
            </w:r>
          </w:p>
        </w:tc>
        <w:tc>
          <w:tcPr>
            <w:tcW w:w="351" w:type="pct"/>
            <w:hideMark/>
          </w:tcPr>
          <w:p w14:paraId="56252C9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67,33</w:t>
            </w:r>
          </w:p>
        </w:tc>
        <w:tc>
          <w:tcPr>
            <w:tcW w:w="412" w:type="pct"/>
            <w:hideMark/>
          </w:tcPr>
          <w:p w14:paraId="6B2D923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67,29</w:t>
            </w:r>
          </w:p>
        </w:tc>
        <w:tc>
          <w:tcPr>
            <w:tcW w:w="356" w:type="pct"/>
            <w:hideMark/>
          </w:tcPr>
          <w:p w14:paraId="4E4F72F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67,29</w:t>
            </w:r>
          </w:p>
        </w:tc>
        <w:tc>
          <w:tcPr>
            <w:tcW w:w="368" w:type="pct"/>
            <w:hideMark/>
          </w:tcPr>
          <w:p w14:paraId="58FA5B0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68,17</w:t>
            </w:r>
          </w:p>
        </w:tc>
        <w:tc>
          <w:tcPr>
            <w:tcW w:w="314" w:type="pct"/>
            <w:hideMark/>
          </w:tcPr>
          <w:p w14:paraId="1783DC1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70,52</w:t>
            </w:r>
          </w:p>
        </w:tc>
        <w:tc>
          <w:tcPr>
            <w:tcW w:w="323" w:type="pct"/>
            <w:hideMark/>
          </w:tcPr>
          <w:p w14:paraId="389F141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71,44</w:t>
            </w:r>
          </w:p>
        </w:tc>
        <w:tc>
          <w:tcPr>
            <w:tcW w:w="323" w:type="pct"/>
            <w:hideMark/>
          </w:tcPr>
          <w:p w14:paraId="49D2262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72,62</w:t>
            </w:r>
          </w:p>
        </w:tc>
        <w:tc>
          <w:tcPr>
            <w:tcW w:w="340" w:type="pct"/>
            <w:hideMark/>
          </w:tcPr>
          <w:p w14:paraId="1E0F36D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74,91</w:t>
            </w:r>
          </w:p>
        </w:tc>
        <w:tc>
          <w:tcPr>
            <w:tcW w:w="453" w:type="pct"/>
            <w:hideMark/>
          </w:tcPr>
          <w:p w14:paraId="48B762D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76,29</w:t>
            </w:r>
          </w:p>
        </w:tc>
      </w:tr>
      <w:tr w:rsidR="003F4CFF" w:rsidRPr="0069184F" w14:paraId="75F1F557" w14:textId="77777777" w:rsidTr="003F4CFF">
        <w:trPr>
          <w:trHeight w:val="20"/>
        </w:trPr>
        <w:tc>
          <w:tcPr>
            <w:tcW w:w="170" w:type="pct"/>
            <w:hideMark/>
          </w:tcPr>
          <w:p w14:paraId="4979BA6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17</w:t>
            </w:r>
          </w:p>
        </w:tc>
        <w:tc>
          <w:tcPr>
            <w:tcW w:w="961" w:type="pct"/>
            <w:hideMark/>
          </w:tcPr>
          <w:p w14:paraId="5DF05AA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Пшено, кг</w:t>
            </w:r>
          </w:p>
        </w:tc>
        <w:tc>
          <w:tcPr>
            <w:tcW w:w="314" w:type="pct"/>
            <w:hideMark/>
          </w:tcPr>
          <w:p w14:paraId="68D3A29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34,74</w:t>
            </w:r>
          </w:p>
        </w:tc>
        <w:tc>
          <w:tcPr>
            <w:tcW w:w="314" w:type="pct"/>
            <w:hideMark/>
          </w:tcPr>
          <w:p w14:paraId="1A10A15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64,26</w:t>
            </w:r>
          </w:p>
        </w:tc>
        <w:tc>
          <w:tcPr>
            <w:tcW w:w="351" w:type="pct"/>
            <w:hideMark/>
          </w:tcPr>
          <w:p w14:paraId="0B0977F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62,58</w:t>
            </w:r>
          </w:p>
        </w:tc>
        <w:tc>
          <w:tcPr>
            <w:tcW w:w="412" w:type="pct"/>
            <w:hideMark/>
          </w:tcPr>
          <w:p w14:paraId="054B386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66,93</w:t>
            </w:r>
          </w:p>
        </w:tc>
        <w:tc>
          <w:tcPr>
            <w:tcW w:w="356" w:type="pct"/>
            <w:hideMark/>
          </w:tcPr>
          <w:p w14:paraId="31BEEDA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68,56</w:t>
            </w:r>
          </w:p>
        </w:tc>
        <w:tc>
          <w:tcPr>
            <w:tcW w:w="368" w:type="pct"/>
            <w:hideMark/>
          </w:tcPr>
          <w:p w14:paraId="04B008A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70,82</w:t>
            </w:r>
          </w:p>
        </w:tc>
        <w:tc>
          <w:tcPr>
            <w:tcW w:w="314" w:type="pct"/>
            <w:hideMark/>
          </w:tcPr>
          <w:p w14:paraId="704867C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72,66</w:t>
            </w:r>
          </w:p>
        </w:tc>
        <w:tc>
          <w:tcPr>
            <w:tcW w:w="323" w:type="pct"/>
            <w:hideMark/>
          </w:tcPr>
          <w:p w14:paraId="24C1FBD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73,21</w:t>
            </w:r>
          </w:p>
        </w:tc>
        <w:tc>
          <w:tcPr>
            <w:tcW w:w="323" w:type="pct"/>
            <w:hideMark/>
          </w:tcPr>
          <w:p w14:paraId="40E7F42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76,36</w:t>
            </w:r>
          </w:p>
        </w:tc>
        <w:tc>
          <w:tcPr>
            <w:tcW w:w="340" w:type="pct"/>
            <w:hideMark/>
          </w:tcPr>
          <w:p w14:paraId="1D8F203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76,50</w:t>
            </w:r>
          </w:p>
        </w:tc>
        <w:tc>
          <w:tcPr>
            <w:tcW w:w="453" w:type="pct"/>
            <w:hideMark/>
          </w:tcPr>
          <w:p w14:paraId="16D49F5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76,85</w:t>
            </w:r>
          </w:p>
        </w:tc>
      </w:tr>
      <w:tr w:rsidR="003F4CFF" w:rsidRPr="0069184F" w14:paraId="5779C165" w14:textId="77777777" w:rsidTr="003F4CFF">
        <w:trPr>
          <w:trHeight w:val="20"/>
        </w:trPr>
        <w:tc>
          <w:tcPr>
            <w:tcW w:w="170" w:type="pct"/>
            <w:hideMark/>
          </w:tcPr>
          <w:p w14:paraId="5E5E0CE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18</w:t>
            </w:r>
          </w:p>
        </w:tc>
        <w:tc>
          <w:tcPr>
            <w:tcW w:w="961" w:type="pct"/>
            <w:hideMark/>
          </w:tcPr>
          <w:p w14:paraId="5921F55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Крупа гречневая-ядрица, кг</w:t>
            </w:r>
          </w:p>
        </w:tc>
        <w:tc>
          <w:tcPr>
            <w:tcW w:w="314" w:type="pct"/>
            <w:hideMark/>
          </w:tcPr>
          <w:p w14:paraId="06CD513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50,24</w:t>
            </w:r>
          </w:p>
        </w:tc>
        <w:tc>
          <w:tcPr>
            <w:tcW w:w="314" w:type="pct"/>
            <w:hideMark/>
          </w:tcPr>
          <w:p w14:paraId="0DB1593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42,18</w:t>
            </w:r>
          </w:p>
        </w:tc>
        <w:tc>
          <w:tcPr>
            <w:tcW w:w="351" w:type="pct"/>
            <w:hideMark/>
          </w:tcPr>
          <w:p w14:paraId="67B8493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43,01</w:t>
            </w:r>
          </w:p>
        </w:tc>
        <w:tc>
          <w:tcPr>
            <w:tcW w:w="412" w:type="pct"/>
            <w:hideMark/>
          </w:tcPr>
          <w:p w14:paraId="23DE236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45,07</w:t>
            </w:r>
          </w:p>
        </w:tc>
        <w:tc>
          <w:tcPr>
            <w:tcW w:w="356" w:type="pct"/>
            <w:hideMark/>
          </w:tcPr>
          <w:p w14:paraId="1C008DB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45,08</w:t>
            </w:r>
          </w:p>
        </w:tc>
        <w:tc>
          <w:tcPr>
            <w:tcW w:w="368" w:type="pct"/>
            <w:hideMark/>
          </w:tcPr>
          <w:p w14:paraId="5C489B6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47,99</w:t>
            </w:r>
          </w:p>
        </w:tc>
        <w:tc>
          <w:tcPr>
            <w:tcW w:w="314" w:type="pct"/>
            <w:hideMark/>
          </w:tcPr>
          <w:p w14:paraId="687E07D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46,73</w:t>
            </w:r>
          </w:p>
        </w:tc>
        <w:tc>
          <w:tcPr>
            <w:tcW w:w="323" w:type="pct"/>
            <w:hideMark/>
          </w:tcPr>
          <w:p w14:paraId="4600C6D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46,90</w:t>
            </w:r>
          </w:p>
        </w:tc>
        <w:tc>
          <w:tcPr>
            <w:tcW w:w="323" w:type="pct"/>
            <w:hideMark/>
          </w:tcPr>
          <w:p w14:paraId="26D9BF6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47,33</w:t>
            </w:r>
          </w:p>
        </w:tc>
        <w:tc>
          <w:tcPr>
            <w:tcW w:w="340" w:type="pct"/>
            <w:hideMark/>
          </w:tcPr>
          <w:p w14:paraId="0A900E2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46,47</w:t>
            </w:r>
          </w:p>
        </w:tc>
        <w:tc>
          <w:tcPr>
            <w:tcW w:w="453" w:type="pct"/>
            <w:hideMark/>
          </w:tcPr>
          <w:p w14:paraId="537C028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45,84</w:t>
            </w:r>
          </w:p>
        </w:tc>
      </w:tr>
      <w:tr w:rsidR="003F4CFF" w:rsidRPr="0069184F" w14:paraId="17D1FFA6" w14:textId="77777777" w:rsidTr="003F4CFF">
        <w:trPr>
          <w:trHeight w:val="20"/>
        </w:trPr>
        <w:tc>
          <w:tcPr>
            <w:tcW w:w="170" w:type="pct"/>
            <w:hideMark/>
          </w:tcPr>
          <w:p w14:paraId="74FD1D0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19</w:t>
            </w:r>
          </w:p>
        </w:tc>
        <w:tc>
          <w:tcPr>
            <w:tcW w:w="961" w:type="pct"/>
            <w:hideMark/>
          </w:tcPr>
          <w:p w14:paraId="2D50620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Вермишель, кг</w:t>
            </w:r>
          </w:p>
        </w:tc>
        <w:tc>
          <w:tcPr>
            <w:tcW w:w="314" w:type="pct"/>
            <w:hideMark/>
          </w:tcPr>
          <w:p w14:paraId="7FCC719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66,35</w:t>
            </w:r>
          </w:p>
        </w:tc>
        <w:tc>
          <w:tcPr>
            <w:tcW w:w="314" w:type="pct"/>
            <w:hideMark/>
          </w:tcPr>
          <w:p w14:paraId="612E94A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72,88</w:t>
            </w:r>
          </w:p>
        </w:tc>
        <w:tc>
          <w:tcPr>
            <w:tcW w:w="351" w:type="pct"/>
            <w:hideMark/>
          </w:tcPr>
          <w:p w14:paraId="5309D2F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78,36</w:t>
            </w:r>
          </w:p>
        </w:tc>
        <w:tc>
          <w:tcPr>
            <w:tcW w:w="412" w:type="pct"/>
            <w:hideMark/>
          </w:tcPr>
          <w:p w14:paraId="3AEF10B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78,55</w:t>
            </w:r>
          </w:p>
        </w:tc>
        <w:tc>
          <w:tcPr>
            <w:tcW w:w="356" w:type="pct"/>
            <w:hideMark/>
          </w:tcPr>
          <w:p w14:paraId="0061252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75,44</w:t>
            </w:r>
          </w:p>
        </w:tc>
        <w:tc>
          <w:tcPr>
            <w:tcW w:w="368" w:type="pct"/>
            <w:hideMark/>
          </w:tcPr>
          <w:p w14:paraId="29DB3FD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77,32</w:t>
            </w:r>
          </w:p>
        </w:tc>
        <w:tc>
          <w:tcPr>
            <w:tcW w:w="314" w:type="pct"/>
            <w:hideMark/>
          </w:tcPr>
          <w:p w14:paraId="5B2D839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77,92</w:t>
            </w:r>
          </w:p>
        </w:tc>
        <w:tc>
          <w:tcPr>
            <w:tcW w:w="323" w:type="pct"/>
            <w:hideMark/>
          </w:tcPr>
          <w:p w14:paraId="7C1ED1B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77,85</w:t>
            </w:r>
          </w:p>
        </w:tc>
        <w:tc>
          <w:tcPr>
            <w:tcW w:w="323" w:type="pct"/>
            <w:hideMark/>
          </w:tcPr>
          <w:p w14:paraId="4560FFE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80,25</w:t>
            </w:r>
          </w:p>
        </w:tc>
        <w:tc>
          <w:tcPr>
            <w:tcW w:w="340" w:type="pct"/>
            <w:hideMark/>
          </w:tcPr>
          <w:p w14:paraId="3545017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79,56</w:t>
            </w:r>
          </w:p>
        </w:tc>
        <w:tc>
          <w:tcPr>
            <w:tcW w:w="453" w:type="pct"/>
            <w:hideMark/>
          </w:tcPr>
          <w:p w14:paraId="33567BA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79,75</w:t>
            </w:r>
          </w:p>
        </w:tc>
      </w:tr>
      <w:tr w:rsidR="003F4CFF" w:rsidRPr="0069184F" w14:paraId="66605A34" w14:textId="77777777" w:rsidTr="003F4CFF">
        <w:trPr>
          <w:trHeight w:val="20"/>
        </w:trPr>
        <w:tc>
          <w:tcPr>
            <w:tcW w:w="170" w:type="pct"/>
            <w:hideMark/>
          </w:tcPr>
          <w:p w14:paraId="6E49383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20</w:t>
            </w:r>
          </w:p>
        </w:tc>
        <w:tc>
          <w:tcPr>
            <w:tcW w:w="961" w:type="pct"/>
            <w:hideMark/>
          </w:tcPr>
          <w:p w14:paraId="09FE05E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Картофель, кг</w:t>
            </w:r>
          </w:p>
        </w:tc>
        <w:tc>
          <w:tcPr>
            <w:tcW w:w="314" w:type="pct"/>
            <w:hideMark/>
          </w:tcPr>
          <w:p w14:paraId="713413E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22,90</w:t>
            </w:r>
          </w:p>
        </w:tc>
        <w:tc>
          <w:tcPr>
            <w:tcW w:w="314" w:type="pct"/>
            <w:hideMark/>
          </w:tcPr>
          <w:p w14:paraId="75EC613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20,01</w:t>
            </w:r>
          </w:p>
        </w:tc>
        <w:tc>
          <w:tcPr>
            <w:tcW w:w="351" w:type="pct"/>
            <w:hideMark/>
          </w:tcPr>
          <w:p w14:paraId="085AE5E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20,03</w:t>
            </w:r>
          </w:p>
        </w:tc>
        <w:tc>
          <w:tcPr>
            <w:tcW w:w="412" w:type="pct"/>
            <w:hideMark/>
          </w:tcPr>
          <w:p w14:paraId="2231D3A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21,22</w:t>
            </w:r>
          </w:p>
        </w:tc>
        <w:tc>
          <w:tcPr>
            <w:tcW w:w="356" w:type="pct"/>
            <w:hideMark/>
          </w:tcPr>
          <w:p w14:paraId="6C91DBF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20,94</w:t>
            </w:r>
          </w:p>
        </w:tc>
        <w:tc>
          <w:tcPr>
            <w:tcW w:w="368" w:type="pct"/>
            <w:hideMark/>
          </w:tcPr>
          <w:p w14:paraId="32AFE62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19,33</w:t>
            </w:r>
          </w:p>
        </w:tc>
        <w:tc>
          <w:tcPr>
            <w:tcW w:w="314" w:type="pct"/>
            <w:hideMark/>
          </w:tcPr>
          <w:p w14:paraId="211D16C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23,21</w:t>
            </w:r>
          </w:p>
        </w:tc>
        <w:tc>
          <w:tcPr>
            <w:tcW w:w="323" w:type="pct"/>
            <w:hideMark/>
          </w:tcPr>
          <w:p w14:paraId="7400658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26,58</w:t>
            </w:r>
          </w:p>
        </w:tc>
        <w:tc>
          <w:tcPr>
            <w:tcW w:w="323" w:type="pct"/>
            <w:hideMark/>
          </w:tcPr>
          <w:p w14:paraId="4E43C89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34,90</w:t>
            </w:r>
          </w:p>
        </w:tc>
        <w:tc>
          <w:tcPr>
            <w:tcW w:w="340" w:type="pct"/>
            <w:hideMark/>
          </w:tcPr>
          <w:p w14:paraId="1972BC3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30,14</w:t>
            </w:r>
          </w:p>
        </w:tc>
        <w:tc>
          <w:tcPr>
            <w:tcW w:w="453" w:type="pct"/>
            <w:hideMark/>
          </w:tcPr>
          <w:p w14:paraId="61AA894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17,92</w:t>
            </w:r>
          </w:p>
        </w:tc>
      </w:tr>
      <w:tr w:rsidR="003F4CFF" w:rsidRPr="0069184F" w14:paraId="427AC7CA" w14:textId="77777777" w:rsidTr="003F4CFF">
        <w:trPr>
          <w:trHeight w:val="20"/>
        </w:trPr>
        <w:tc>
          <w:tcPr>
            <w:tcW w:w="170" w:type="pct"/>
            <w:hideMark/>
          </w:tcPr>
          <w:p w14:paraId="197163B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21</w:t>
            </w:r>
          </w:p>
        </w:tc>
        <w:tc>
          <w:tcPr>
            <w:tcW w:w="961" w:type="pct"/>
            <w:hideMark/>
          </w:tcPr>
          <w:p w14:paraId="2E0A5F3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Капуста белокочанная свежая, кг</w:t>
            </w:r>
          </w:p>
        </w:tc>
        <w:tc>
          <w:tcPr>
            <w:tcW w:w="314" w:type="pct"/>
            <w:hideMark/>
          </w:tcPr>
          <w:p w14:paraId="5EF443C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17,10</w:t>
            </w:r>
          </w:p>
        </w:tc>
        <w:tc>
          <w:tcPr>
            <w:tcW w:w="314" w:type="pct"/>
            <w:hideMark/>
          </w:tcPr>
          <w:p w14:paraId="5BD9385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20,54</w:t>
            </w:r>
          </w:p>
        </w:tc>
        <w:tc>
          <w:tcPr>
            <w:tcW w:w="351" w:type="pct"/>
            <w:hideMark/>
          </w:tcPr>
          <w:p w14:paraId="3752E53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23,78</w:t>
            </w:r>
          </w:p>
        </w:tc>
        <w:tc>
          <w:tcPr>
            <w:tcW w:w="412" w:type="pct"/>
            <w:hideMark/>
          </w:tcPr>
          <w:p w14:paraId="022FCAF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31,24</w:t>
            </w:r>
          </w:p>
        </w:tc>
        <w:tc>
          <w:tcPr>
            <w:tcW w:w="356" w:type="pct"/>
            <w:hideMark/>
          </w:tcPr>
          <w:p w14:paraId="7E894B3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45,29</w:t>
            </w:r>
          </w:p>
        </w:tc>
        <w:tc>
          <w:tcPr>
            <w:tcW w:w="368" w:type="pct"/>
            <w:hideMark/>
          </w:tcPr>
          <w:p w14:paraId="7417DB7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55,55</w:t>
            </w:r>
          </w:p>
        </w:tc>
        <w:tc>
          <w:tcPr>
            <w:tcW w:w="314" w:type="pct"/>
            <w:hideMark/>
          </w:tcPr>
          <w:p w14:paraId="524A7A0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57,00</w:t>
            </w:r>
          </w:p>
        </w:tc>
        <w:tc>
          <w:tcPr>
            <w:tcW w:w="323" w:type="pct"/>
            <w:hideMark/>
          </w:tcPr>
          <w:p w14:paraId="0E395C9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28,52</w:t>
            </w:r>
          </w:p>
        </w:tc>
        <w:tc>
          <w:tcPr>
            <w:tcW w:w="323" w:type="pct"/>
            <w:hideMark/>
          </w:tcPr>
          <w:p w14:paraId="49A260E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21,02</w:t>
            </w:r>
          </w:p>
        </w:tc>
        <w:tc>
          <w:tcPr>
            <w:tcW w:w="340" w:type="pct"/>
            <w:hideMark/>
          </w:tcPr>
          <w:p w14:paraId="756C596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20,10</w:t>
            </w:r>
          </w:p>
        </w:tc>
        <w:tc>
          <w:tcPr>
            <w:tcW w:w="453" w:type="pct"/>
            <w:hideMark/>
          </w:tcPr>
          <w:p w14:paraId="58AEBC4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16,46</w:t>
            </w:r>
          </w:p>
        </w:tc>
      </w:tr>
      <w:tr w:rsidR="003F4CFF" w:rsidRPr="0069184F" w14:paraId="572817F6" w14:textId="77777777" w:rsidTr="003F4CFF">
        <w:trPr>
          <w:trHeight w:val="20"/>
        </w:trPr>
        <w:tc>
          <w:tcPr>
            <w:tcW w:w="170" w:type="pct"/>
            <w:hideMark/>
          </w:tcPr>
          <w:p w14:paraId="7B4F66D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22</w:t>
            </w:r>
          </w:p>
        </w:tc>
        <w:tc>
          <w:tcPr>
            <w:tcW w:w="961" w:type="pct"/>
            <w:hideMark/>
          </w:tcPr>
          <w:p w14:paraId="3029843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Лук репчатый, кг</w:t>
            </w:r>
          </w:p>
        </w:tc>
        <w:tc>
          <w:tcPr>
            <w:tcW w:w="314" w:type="pct"/>
            <w:hideMark/>
          </w:tcPr>
          <w:p w14:paraId="43C16B9F"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25,33</w:t>
            </w:r>
          </w:p>
        </w:tc>
        <w:tc>
          <w:tcPr>
            <w:tcW w:w="314" w:type="pct"/>
            <w:hideMark/>
          </w:tcPr>
          <w:p w14:paraId="6E4A9D7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21,56</w:t>
            </w:r>
          </w:p>
        </w:tc>
        <w:tc>
          <w:tcPr>
            <w:tcW w:w="351" w:type="pct"/>
            <w:hideMark/>
          </w:tcPr>
          <w:p w14:paraId="3F87848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22,16</w:t>
            </w:r>
          </w:p>
        </w:tc>
        <w:tc>
          <w:tcPr>
            <w:tcW w:w="412" w:type="pct"/>
            <w:hideMark/>
          </w:tcPr>
          <w:p w14:paraId="4CF3B54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24,17</w:t>
            </w:r>
          </w:p>
        </w:tc>
        <w:tc>
          <w:tcPr>
            <w:tcW w:w="356" w:type="pct"/>
            <w:hideMark/>
          </w:tcPr>
          <w:p w14:paraId="3C7DA81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30,11</w:t>
            </w:r>
          </w:p>
        </w:tc>
        <w:tc>
          <w:tcPr>
            <w:tcW w:w="368" w:type="pct"/>
            <w:hideMark/>
          </w:tcPr>
          <w:p w14:paraId="3BA6C25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29,74</w:t>
            </w:r>
          </w:p>
        </w:tc>
        <w:tc>
          <w:tcPr>
            <w:tcW w:w="314" w:type="pct"/>
            <w:hideMark/>
          </w:tcPr>
          <w:p w14:paraId="077A55B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48,66</w:t>
            </w:r>
          </w:p>
        </w:tc>
        <w:tc>
          <w:tcPr>
            <w:tcW w:w="323" w:type="pct"/>
            <w:hideMark/>
          </w:tcPr>
          <w:p w14:paraId="7B379D6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47,86</w:t>
            </w:r>
          </w:p>
        </w:tc>
        <w:tc>
          <w:tcPr>
            <w:tcW w:w="323" w:type="pct"/>
            <w:hideMark/>
          </w:tcPr>
          <w:p w14:paraId="1F9E7AA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41,77</w:t>
            </w:r>
          </w:p>
        </w:tc>
        <w:tc>
          <w:tcPr>
            <w:tcW w:w="340" w:type="pct"/>
            <w:hideMark/>
          </w:tcPr>
          <w:p w14:paraId="1DD3DA1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33,69</w:t>
            </w:r>
          </w:p>
        </w:tc>
        <w:tc>
          <w:tcPr>
            <w:tcW w:w="453" w:type="pct"/>
            <w:hideMark/>
          </w:tcPr>
          <w:p w14:paraId="63628F8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21,83</w:t>
            </w:r>
          </w:p>
        </w:tc>
      </w:tr>
      <w:tr w:rsidR="003F4CFF" w:rsidRPr="0069184F" w14:paraId="7F8229DE" w14:textId="77777777" w:rsidTr="003F4CFF">
        <w:trPr>
          <w:trHeight w:val="20"/>
        </w:trPr>
        <w:tc>
          <w:tcPr>
            <w:tcW w:w="170" w:type="pct"/>
            <w:hideMark/>
          </w:tcPr>
          <w:p w14:paraId="382C18E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23</w:t>
            </w:r>
          </w:p>
        </w:tc>
        <w:tc>
          <w:tcPr>
            <w:tcW w:w="961" w:type="pct"/>
            <w:hideMark/>
          </w:tcPr>
          <w:p w14:paraId="0EC3216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Морковь, кг</w:t>
            </w:r>
          </w:p>
        </w:tc>
        <w:tc>
          <w:tcPr>
            <w:tcW w:w="314" w:type="pct"/>
            <w:hideMark/>
          </w:tcPr>
          <w:p w14:paraId="6EE5C9C1"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28,08</w:t>
            </w:r>
          </w:p>
        </w:tc>
        <w:tc>
          <w:tcPr>
            <w:tcW w:w="314" w:type="pct"/>
            <w:hideMark/>
          </w:tcPr>
          <w:p w14:paraId="0079E0B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27,24</w:t>
            </w:r>
          </w:p>
        </w:tc>
        <w:tc>
          <w:tcPr>
            <w:tcW w:w="351" w:type="pct"/>
            <w:hideMark/>
          </w:tcPr>
          <w:p w14:paraId="5EAD5EE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23,67</w:t>
            </w:r>
          </w:p>
        </w:tc>
        <w:tc>
          <w:tcPr>
            <w:tcW w:w="412" w:type="pct"/>
            <w:hideMark/>
          </w:tcPr>
          <w:p w14:paraId="3C1DDE9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25,35</w:t>
            </w:r>
          </w:p>
        </w:tc>
        <w:tc>
          <w:tcPr>
            <w:tcW w:w="356" w:type="pct"/>
            <w:hideMark/>
          </w:tcPr>
          <w:p w14:paraId="60F2228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30,25</w:t>
            </w:r>
          </w:p>
        </w:tc>
        <w:tc>
          <w:tcPr>
            <w:tcW w:w="368" w:type="pct"/>
            <w:hideMark/>
          </w:tcPr>
          <w:p w14:paraId="4423415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32,60</w:t>
            </w:r>
          </w:p>
        </w:tc>
        <w:tc>
          <w:tcPr>
            <w:tcW w:w="314" w:type="pct"/>
            <w:hideMark/>
          </w:tcPr>
          <w:p w14:paraId="178DF468"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40,82</w:t>
            </w:r>
          </w:p>
        </w:tc>
        <w:tc>
          <w:tcPr>
            <w:tcW w:w="323" w:type="pct"/>
            <w:hideMark/>
          </w:tcPr>
          <w:p w14:paraId="3BE5F8C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42,51</w:t>
            </w:r>
          </w:p>
        </w:tc>
        <w:tc>
          <w:tcPr>
            <w:tcW w:w="323" w:type="pct"/>
            <w:hideMark/>
          </w:tcPr>
          <w:p w14:paraId="00867ABD"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50,20</w:t>
            </w:r>
          </w:p>
        </w:tc>
        <w:tc>
          <w:tcPr>
            <w:tcW w:w="340" w:type="pct"/>
            <w:hideMark/>
          </w:tcPr>
          <w:p w14:paraId="421F42DB"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37,29</w:t>
            </w:r>
          </w:p>
        </w:tc>
        <w:tc>
          <w:tcPr>
            <w:tcW w:w="453" w:type="pct"/>
            <w:hideMark/>
          </w:tcPr>
          <w:p w14:paraId="4454AD1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23,68</w:t>
            </w:r>
          </w:p>
        </w:tc>
      </w:tr>
      <w:tr w:rsidR="003F4CFF" w:rsidRPr="0069184F" w14:paraId="1A3298EB" w14:textId="77777777" w:rsidTr="003F4CFF">
        <w:trPr>
          <w:trHeight w:val="20"/>
        </w:trPr>
        <w:tc>
          <w:tcPr>
            <w:tcW w:w="170" w:type="pct"/>
            <w:hideMark/>
          </w:tcPr>
          <w:p w14:paraId="3F8D1EE9"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lastRenderedPageBreak/>
              <w:t>24</w:t>
            </w:r>
          </w:p>
        </w:tc>
        <w:tc>
          <w:tcPr>
            <w:tcW w:w="961" w:type="pct"/>
            <w:hideMark/>
          </w:tcPr>
          <w:p w14:paraId="23E7B4D3"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Яблоки, кг</w:t>
            </w:r>
          </w:p>
        </w:tc>
        <w:tc>
          <w:tcPr>
            <w:tcW w:w="314" w:type="pct"/>
            <w:hideMark/>
          </w:tcPr>
          <w:p w14:paraId="0B10D6E0"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109,29</w:t>
            </w:r>
          </w:p>
        </w:tc>
        <w:tc>
          <w:tcPr>
            <w:tcW w:w="314" w:type="pct"/>
            <w:hideMark/>
          </w:tcPr>
          <w:p w14:paraId="20100926"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96,41</w:t>
            </w:r>
          </w:p>
        </w:tc>
        <w:tc>
          <w:tcPr>
            <w:tcW w:w="351" w:type="pct"/>
            <w:hideMark/>
          </w:tcPr>
          <w:p w14:paraId="223BAC0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100,80</w:t>
            </w:r>
          </w:p>
        </w:tc>
        <w:tc>
          <w:tcPr>
            <w:tcW w:w="412" w:type="pct"/>
            <w:hideMark/>
          </w:tcPr>
          <w:p w14:paraId="66427AD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100,68</w:t>
            </w:r>
          </w:p>
        </w:tc>
        <w:tc>
          <w:tcPr>
            <w:tcW w:w="356" w:type="pct"/>
            <w:hideMark/>
          </w:tcPr>
          <w:p w14:paraId="1F6FEAE5"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97,88</w:t>
            </w:r>
          </w:p>
        </w:tc>
        <w:tc>
          <w:tcPr>
            <w:tcW w:w="368" w:type="pct"/>
            <w:hideMark/>
          </w:tcPr>
          <w:p w14:paraId="239303AC"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99,75</w:t>
            </w:r>
          </w:p>
        </w:tc>
        <w:tc>
          <w:tcPr>
            <w:tcW w:w="314" w:type="pct"/>
            <w:hideMark/>
          </w:tcPr>
          <w:p w14:paraId="5A00A4F7"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106,83</w:t>
            </w:r>
          </w:p>
        </w:tc>
        <w:tc>
          <w:tcPr>
            <w:tcW w:w="323" w:type="pct"/>
            <w:hideMark/>
          </w:tcPr>
          <w:p w14:paraId="65C57C82"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112,00</w:t>
            </w:r>
          </w:p>
        </w:tc>
        <w:tc>
          <w:tcPr>
            <w:tcW w:w="323" w:type="pct"/>
            <w:hideMark/>
          </w:tcPr>
          <w:p w14:paraId="64466CD4"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114,96</w:t>
            </w:r>
          </w:p>
        </w:tc>
        <w:tc>
          <w:tcPr>
            <w:tcW w:w="340" w:type="pct"/>
            <w:hideMark/>
          </w:tcPr>
          <w:p w14:paraId="7CC9E68A"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116,36</w:t>
            </w:r>
          </w:p>
        </w:tc>
        <w:tc>
          <w:tcPr>
            <w:tcW w:w="453" w:type="pct"/>
            <w:hideMark/>
          </w:tcPr>
          <w:p w14:paraId="689E410E" w14:textId="77777777" w:rsidR="003F4CFF" w:rsidRPr="00252839" w:rsidRDefault="003F4CFF" w:rsidP="003F4CFF">
            <w:pPr>
              <w:rPr>
                <w:rFonts w:ascii="Times New Roman" w:hAnsi="Times New Roman" w:cs="Times New Roman"/>
                <w:sz w:val="20"/>
                <w:szCs w:val="20"/>
              </w:rPr>
            </w:pPr>
            <w:r w:rsidRPr="00252839">
              <w:rPr>
                <w:rFonts w:ascii="Times New Roman" w:hAnsi="Times New Roman" w:cs="Times New Roman"/>
                <w:sz w:val="20"/>
                <w:szCs w:val="20"/>
              </w:rPr>
              <w:t>96,87</w:t>
            </w:r>
          </w:p>
        </w:tc>
      </w:tr>
    </w:tbl>
    <w:p w14:paraId="22213941" w14:textId="77777777" w:rsidR="005E2F20" w:rsidRDefault="005E2F20" w:rsidP="003F4CFF">
      <w:pPr>
        <w:ind w:firstLine="567"/>
        <w:jc w:val="both"/>
        <w:rPr>
          <w:rFonts w:ascii="Times New Roman" w:hAnsi="Times New Roman" w:cs="Times New Roman"/>
          <w:b/>
          <w:sz w:val="28"/>
          <w:szCs w:val="28"/>
        </w:rPr>
        <w:sectPr w:rsidR="005E2F20" w:rsidSect="005E2F20">
          <w:type w:val="continuous"/>
          <w:pgSz w:w="16838" w:h="11906" w:orient="landscape" w:code="9"/>
          <w:pgMar w:top="1418" w:right="1134" w:bottom="567" w:left="1134" w:header="709" w:footer="709" w:gutter="0"/>
          <w:cols w:space="708"/>
          <w:docGrid w:linePitch="360"/>
        </w:sectPr>
      </w:pPr>
    </w:p>
    <w:p w14:paraId="6F9E29D5" w14:textId="77777777" w:rsidR="003F4CFF" w:rsidRPr="00E5342A" w:rsidRDefault="003F4CFF" w:rsidP="003F4CFF">
      <w:pPr>
        <w:ind w:firstLine="567"/>
        <w:jc w:val="both"/>
        <w:rPr>
          <w:rFonts w:ascii="Times New Roman" w:hAnsi="Times New Roman" w:cs="Times New Roman"/>
          <w:b/>
          <w:sz w:val="28"/>
          <w:szCs w:val="28"/>
        </w:rPr>
      </w:pPr>
      <w:r w:rsidRPr="0069184F">
        <w:rPr>
          <w:rFonts w:ascii="Times New Roman" w:hAnsi="Times New Roman" w:cs="Times New Roman"/>
          <w:b/>
          <w:sz w:val="28"/>
          <w:szCs w:val="28"/>
        </w:rPr>
        <w:lastRenderedPageBreak/>
        <w:t>Динамика цен на товары, входящие в перечень социально значимых продовольственных товаров первой необходимости</w:t>
      </w:r>
      <w:r>
        <w:rPr>
          <w:rFonts w:ascii="Times New Roman" w:hAnsi="Times New Roman" w:cs="Times New Roman"/>
          <w:b/>
          <w:sz w:val="28"/>
          <w:szCs w:val="28"/>
        </w:rPr>
        <w:t xml:space="preserve">. </w:t>
      </w:r>
      <w:r w:rsidRPr="0069184F">
        <w:rPr>
          <w:rFonts w:ascii="Times New Roman" w:hAnsi="Times New Roman" w:cs="Times New Roman"/>
          <w:sz w:val="28"/>
          <w:szCs w:val="28"/>
        </w:rPr>
        <w:t>В сентябре в сравнении с августом текущего года произошел рост цен на 8 товаров из перечня, в частности повысились цены на говядину, молоко, соль, ржаной и ржано-пшеничный хлеб, хлеб и булочные изделия из пшеничной муки 1 и 2</w:t>
      </w:r>
      <w:r>
        <w:rPr>
          <w:rFonts w:ascii="Times New Roman" w:hAnsi="Times New Roman" w:cs="Times New Roman"/>
          <w:sz w:val="28"/>
          <w:szCs w:val="28"/>
        </w:rPr>
        <w:t xml:space="preserve"> сорта, рис, пшено и вермишель</w:t>
      </w:r>
      <w:r w:rsidRPr="0069184F">
        <w:rPr>
          <w:rFonts w:ascii="Times New Roman" w:hAnsi="Times New Roman" w:cs="Times New Roman"/>
          <w:sz w:val="28"/>
          <w:szCs w:val="28"/>
        </w:rPr>
        <w:t>. Уровень средних потребительских цен на все типы продовольственных товаров первой необходимости в сумме в сентябре 2019 г. в сравнении с августом 2019 г. составляет 93,30%. В январе-сентябре 2019 г. в сравнении с 2018 г. повысились цены на 17 типов продовольственных товаров из перечня социально значимых, наиболее высокие темпы роста зафиксированы для таких категорий товаров, как пшено (+19,59%), баранина (+15,55%) и пшеничная мука (+14,39). Уровень цен на продовольственные товары первой необходимости в целом в первые 9 месяцев 2019 г. в сравнении с 2018 г. увеличился на 1,83%. Значение аналогичного показателя, рассчитанного по итогам 2018 г., – 7,80%, при этом в разрезе типов продовольственных товаров разброс показателей роста средних потребительских цен в 2018 г. в сравнении с 2017 г. составляет от -16,04% для гречневой крупы до 84,97% для пшена. Индекс средних потребительских на продовольственные товары первой необходимости в 2017 г. в сравнении с 2016 г. составляет 97,70%. Разброс данного показателя в зависимости от типа продовольственного товара – от 59,14% для гречневой к</w:t>
      </w:r>
      <w:r>
        <w:rPr>
          <w:rFonts w:ascii="Times New Roman" w:hAnsi="Times New Roman" w:cs="Times New Roman"/>
          <w:sz w:val="28"/>
          <w:szCs w:val="28"/>
        </w:rPr>
        <w:t>рупы до 126,59% для картофеля.</w:t>
      </w:r>
    </w:p>
    <w:p w14:paraId="21B7CB90" w14:textId="77777777" w:rsidR="003F4CFF"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К</w:t>
      </w:r>
      <w:r w:rsidRPr="0069184F">
        <w:rPr>
          <w:rFonts w:ascii="Times New Roman" w:hAnsi="Times New Roman" w:cs="Times New Roman"/>
          <w:sz w:val="28"/>
          <w:szCs w:val="28"/>
        </w:rPr>
        <w:t>ритическим является уровень роста средних потребительских цен, оцениваемый в 30% и более. В течение текущего года такие значения были зафиксированы четыре раза: в июле 2019 г. был зафиксирован рост цен на картофель на 31,1%, в мае – на лук репчатый на 63,62%, в феврале и марте – на капусту белокочанную на 31,37% и 44,97% соответственно. По итогам 2018 г. рост более чем на 30% был зафиксирован для пшена (цена на данный продовольственный товар в сравнении с 2017 г. выросла на 84,97%). По итогам 2017 г. столь существенного роста цен на какие бы то ни было товары из перечня социально значимых зафиксировано не было.</w:t>
      </w:r>
    </w:p>
    <w:p w14:paraId="23091E78" w14:textId="77777777" w:rsidR="003F4CFF" w:rsidRDefault="003F4CFF" w:rsidP="003F4CFF">
      <w:pPr>
        <w:jc w:val="both"/>
        <w:rPr>
          <w:rFonts w:ascii="Times New Roman" w:hAnsi="Times New Roman" w:cs="Times New Roman"/>
          <w:sz w:val="28"/>
          <w:szCs w:val="28"/>
          <w:highlight w:val="yellow"/>
        </w:rPr>
      </w:pPr>
    </w:p>
    <w:p w14:paraId="2FE29C30" w14:textId="77777777" w:rsidR="004D3A67" w:rsidRDefault="004D3A67" w:rsidP="003F4CFF">
      <w:pPr>
        <w:jc w:val="both"/>
        <w:rPr>
          <w:rFonts w:ascii="Times New Roman" w:hAnsi="Times New Roman" w:cs="Times New Roman"/>
          <w:sz w:val="28"/>
          <w:szCs w:val="28"/>
          <w:highlight w:val="yellow"/>
        </w:rPr>
        <w:sectPr w:rsidR="004D3A67" w:rsidSect="005E2F20">
          <w:pgSz w:w="11906" w:h="16838" w:code="9"/>
          <w:pgMar w:top="1134" w:right="567" w:bottom="1134" w:left="1418" w:header="708" w:footer="708" w:gutter="0"/>
          <w:cols w:space="708"/>
          <w:docGrid w:linePitch="360"/>
        </w:sectPr>
      </w:pPr>
    </w:p>
    <w:p w14:paraId="238EB8ED" w14:textId="77777777" w:rsidR="003F4CFF" w:rsidRDefault="003F4CFF" w:rsidP="003F4CFF">
      <w:pPr>
        <w:jc w:val="both"/>
        <w:rPr>
          <w:rFonts w:ascii="Times New Roman" w:hAnsi="Times New Roman" w:cs="Times New Roman"/>
          <w:sz w:val="28"/>
          <w:szCs w:val="28"/>
        </w:rPr>
      </w:pPr>
      <w:r w:rsidRPr="009A7C23">
        <w:rPr>
          <w:rFonts w:ascii="Times New Roman" w:hAnsi="Times New Roman" w:cs="Times New Roman"/>
          <w:sz w:val="28"/>
          <w:szCs w:val="28"/>
        </w:rPr>
        <w:lastRenderedPageBreak/>
        <w:t>Таблица</w:t>
      </w:r>
      <w:r w:rsidRPr="00B66EBE">
        <w:rPr>
          <w:rFonts w:ascii="Times New Roman" w:hAnsi="Times New Roman" w:cs="Times New Roman"/>
          <w:sz w:val="28"/>
          <w:szCs w:val="28"/>
        </w:rPr>
        <w:t xml:space="preserve"> 25 – Динамика средних потребительских цен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 Новосибирская область, в % к предыдущему периоду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701"/>
        <w:gridCol w:w="871"/>
        <w:gridCol w:w="871"/>
        <w:gridCol w:w="973"/>
        <w:gridCol w:w="1136"/>
        <w:gridCol w:w="871"/>
        <w:gridCol w:w="999"/>
        <w:gridCol w:w="871"/>
        <w:gridCol w:w="871"/>
        <w:gridCol w:w="871"/>
        <w:gridCol w:w="946"/>
        <w:gridCol w:w="1261"/>
        <w:gridCol w:w="871"/>
      </w:tblGrid>
      <w:tr w:rsidR="003F4CFF" w:rsidRPr="0069184F" w14:paraId="7E1579E2" w14:textId="77777777" w:rsidTr="003F4CFF">
        <w:trPr>
          <w:trHeight w:val="57"/>
          <w:tblHeader/>
          <w:jc w:val="center"/>
        </w:trPr>
        <w:tc>
          <w:tcPr>
            <w:tcW w:w="154" w:type="pct"/>
            <w:hideMark/>
          </w:tcPr>
          <w:p w14:paraId="35592D9F" w14:textId="77777777" w:rsidR="003F4CFF" w:rsidRPr="00912A6B" w:rsidRDefault="003F4CFF" w:rsidP="003F4CFF">
            <w:pPr>
              <w:rPr>
                <w:rFonts w:ascii="Times New Roman" w:hAnsi="Times New Roman" w:cs="Times New Roman"/>
                <w:sz w:val="20"/>
                <w:szCs w:val="20"/>
                <w:lang w:eastAsia="en-US"/>
              </w:rPr>
            </w:pPr>
            <w:r w:rsidRPr="00912A6B">
              <w:rPr>
                <w:rFonts w:ascii="Times New Roman" w:hAnsi="Times New Roman" w:cs="Times New Roman"/>
                <w:sz w:val="20"/>
                <w:szCs w:val="20"/>
              </w:rPr>
              <w:t>№</w:t>
            </w:r>
          </w:p>
        </w:tc>
        <w:tc>
          <w:tcPr>
            <w:tcW w:w="928" w:type="pct"/>
            <w:hideMark/>
          </w:tcPr>
          <w:p w14:paraId="3937F83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Наименование типа продовольственных товаров</w:t>
            </w:r>
          </w:p>
        </w:tc>
        <w:tc>
          <w:tcPr>
            <w:tcW w:w="299" w:type="pct"/>
            <w:hideMark/>
          </w:tcPr>
          <w:p w14:paraId="333A2C7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2017</w:t>
            </w:r>
          </w:p>
        </w:tc>
        <w:tc>
          <w:tcPr>
            <w:tcW w:w="299" w:type="pct"/>
            <w:hideMark/>
          </w:tcPr>
          <w:p w14:paraId="59C802C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2018</w:t>
            </w:r>
          </w:p>
        </w:tc>
        <w:tc>
          <w:tcPr>
            <w:tcW w:w="334" w:type="pct"/>
            <w:hideMark/>
          </w:tcPr>
          <w:p w14:paraId="691F85A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 xml:space="preserve">Январь </w:t>
            </w:r>
          </w:p>
          <w:p w14:paraId="7958219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2019</w:t>
            </w:r>
          </w:p>
        </w:tc>
        <w:tc>
          <w:tcPr>
            <w:tcW w:w="390" w:type="pct"/>
            <w:hideMark/>
          </w:tcPr>
          <w:p w14:paraId="450CFB8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Февраль 2019</w:t>
            </w:r>
          </w:p>
        </w:tc>
        <w:tc>
          <w:tcPr>
            <w:tcW w:w="299" w:type="pct"/>
            <w:hideMark/>
          </w:tcPr>
          <w:p w14:paraId="1E1AAFC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Март 2019</w:t>
            </w:r>
          </w:p>
        </w:tc>
        <w:tc>
          <w:tcPr>
            <w:tcW w:w="343" w:type="pct"/>
            <w:hideMark/>
          </w:tcPr>
          <w:p w14:paraId="00D64C8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Апрель 2019</w:t>
            </w:r>
          </w:p>
        </w:tc>
        <w:tc>
          <w:tcPr>
            <w:tcW w:w="299" w:type="pct"/>
            <w:hideMark/>
          </w:tcPr>
          <w:p w14:paraId="384355E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Май 2019</w:t>
            </w:r>
          </w:p>
        </w:tc>
        <w:tc>
          <w:tcPr>
            <w:tcW w:w="299" w:type="pct"/>
            <w:hideMark/>
          </w:tcPr>
          <w:p w14:paraId="0A42430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Июнь 2019</w:t>
            </w:r>
          </w:p>
        </w:tc>
        <w:tc>
          <w:tcPr>
            <w:tcW w:w="299" w:type="pct"/>
            <w:hideMark/>
          </w:tcPr>
          <w:p w14:paraId="2B11270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Июль 2019</w:t>
            </w:r>
          </w:p>
        </w:tc>
        <w:tc>
          <w:tcPr>
            <w:tcW w:w="325" w:type="pct"/>
            <w:hideMark/>
          </w:tcPr>
          <w:p w14:paraId="4C12EAB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Август 2019</w:t>
            </w:r>
          </w:p>
        </w:tc>
        <w:tc>
          <w:tcPr>
            <w:tcW w:w="433" w:type="pct"/>
            <w:hideMark/>
          </w:tcPr>
          <w:p w14:paraId="0CC3710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Сентябрь 2019</w:t>
            </w:r>
          </w:p>
        </w:tc>
        <w:tc>
          <w:tcPr>
            <w:tcW w:w="299" w:type="pct"/>
            <w:hideMark/>
          </w:tcPr>
          <w:p w14:paraId="40D31D3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2019</w:t>
            </w:r>
          </w:p>
        </w:tc>
      </w:tr>
      <w:tr w:rsidR="003F4CFF" w:rsidRPr="0069184F" w14:paraId="6484CF53" w14:textId="77777777" w:rsidTr="003F4CFF">
        <w:trPr>
          <w:trHeight w:val="57"/>
          <w:jc w:val="center"/>
        </w:trPr>
        <w:tc>
          <w:tcPr>
            <w:tcW w:w="154" w:type="pct"/>
            <w:hideMark/>
          </w:tcPr>
          <w:p w14:paraId="18F1D34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w:t>
            </w:r>
          </w:p>
        </w:tc>
        <w:tc>
          <w:tcPr>
            <w:tcW w:w="928" w:type="pct"/>
            <w:hideMark/>
          </w:tcPr>
          <w:p w14:paraId="1044291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Говядина (кроме бескостного мяса), кг</w:t>
            </w:r>
          </w:p>
        </w:tc>
        <w:tc>
          <w:tcPr>
            <w:tcW w:w="299" w:type="pct"/>
            <w:hideMark/>
          </w:tcPr>
          <w:p w14:paraId="21E8EAF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101,02</w:t>
            </w:r>
          </w:p>
        </w:tc>
        <w:tc>
          <w:tcPr>
            <w:tcW w:w="299" w:type="pct"/>
            <w:hideMark/>
          </w:tcPr>
          <w:p w14:paraId="7F8BB60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104,53</w:t>
            </w:r>
          </w:p>
        </w:tc>
        <w:tc>
          <w:tcPr>
            <w:tcW w:w="334" w:type="pct"/>
            <w:hideMark/>
          </w:tcPr>
          <w:p w14:paraId="2DD2839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101,78</w:t>
            </w:r>
          </w:p>
        </w:tc>
        <w:tc>
          <w:tcPr>
            <w:tcW w:w="390" w:type="pct"/>
            <w:hideMark/>
          </w:tcPr>
          <w:p w14:paraId="000EB39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102,26</w:t>
            </w:r>
          </w:p>
        </w:tc>
        <w:tc>
          <w:tcPr>
            <w:tcW w:w="299" w:type="pct"/>
            <w:hideMark/>
          </w:tcPr>
          <w:p w14:paraId="4F0C4DC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101,65</w:t>
            </w:r>
          </w:p>
        </w:tc>
        <w:tc>
          <w:tcPr>
            <w:tcW w:w="343" w:type="pct"/>
            <w:hideMark/>
          </w:tcPr>
          <w:p w14:paraId="261054F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100,50</w:t>
            </w:r>
          </w:p>
        </w:tc>
        <w:tc>
          <w:tcPr>
            <w:tcW w:w="299" w:type="pct"/>
            <w:hideMark/>
          </w:tcPr>
          <w:p w14:paraId="5B98330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100,35</w:t>
            </w:r>
          </w:p>
        </w:tc>
        <w:tc>
          <w:tcPr>
            <w:tcW w:w="299" w:type="pct"/>
            <w:hideMark/>
          </w:tcPr>
          <w:p w14:paraId="78EAE00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100,51</w:t>
            </w:r>
          </w:p>
        </w:tc>
        <w:tc>
          <w:tcPr>
            <w:tcW w:w="299" w:type="pct"/>
            <w:hideMark/>
          </w:tcPr>
          <w:p w14:paraId="65A1146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99,97</w:t>
            </w:r>
          </w:p>
        </w:tc>
        <w:tc>
          <w:tcPr>
            <w:tcW w:w="325" w:type="pct"/>
            <w:hideMark/>
          </w:tcPr>
          <w:p w14:paraId="6F98A58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99,07</w:t>
            </w:r>
          </w:p>
        </w:tc>
        <w:tc>
          <w:tcPr>
            <w:tcW w:w="433" w:type="pct"/>
            <w:hideMark/>
          </w:tcPr>
          <w:p w14:paraId="4E1344B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100,63</w:t>
            </w:r>
          </w:p>
        </w:tc>
        <w:tc>
          <w:tcPr>
            <w:tcW w:w="299" w:type="pct"/>
            <w:hideMark/>
          </w:tcPr>
          <w:p w14:paraId="5441346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106,90</w:t>
            </w:r>
          </w:p>
        </w:tc>
      </w:tr>
      <w:tr w:rsidR="003F4CFF" w:rsidRPr="0069184F" w14:paraId="5F21EA05" w14:textId="77777777" w:rsidTr="003F4CFF">
        <w:trPr>
          <w:trHeight w:val="57"/>
          <w:jc w:val="center"/>
        </w:trPr>
        <w:tc>
          <w:tcPr>
            <w:tcW w:w="154" w:type="pct"/>
            <w:hideMark/>
          </w:tcPr>
          <w:p w14:paraId="561296E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2</w:t>
            </w:r>
          </w:p>
        </w:tc>
        <w:tc>
          <w:tcPr>
            <w:tcW w:w="928" w:type="pct"/>
            <w:hideMark/>
          </w:tcPr>
          <w:p w14:paraId="2234813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Свинина (кроме бескостного мяса), кг</w:t>
            </w:r>
          </w:p>
        </w:tc>
        <w:tc>
          <w:tcPr>
            <w:tcW w:w="299" w:type="pct"/>
            <w:hideMark/>
          </w:tcPr>
          <w:p w14:paraId="534D547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96,57</w:t>
            </w:r>
          </w:p>
        </w:tc>
        <w:tc>
          <w:tcPr>
            <w:tcW w:w="299" w:type="pct"/>
            <w:hideMark/>
          </w:tcPr>
          <w:p w14:paraId="58AE82B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107,15</w:t>
            </w:r>
          </w:p>
        </w:tc>
        <w:tc>
          <w:tcPr>
            <w:tcW w:w="334" w:type="pct"/>
            <w:hideMark/>
          </w:tcPr>
          <w:p w14:paraId="39D9A1B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101,67</w:t>
            </w:r>
          </w:p>
        </w:tc>
        <w:tc>
          <w:tcPr>
            <w:tcW w:w="390" w:type="pct"/>
            <w:hideMark/>
          </w:tcPr>
          <w:p w14:paraId="6D1EA1C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98,39</w:t>
            </w:r>
          </w:p>
        </w:tc>
        <w:tc>
          <w:tcPr>
            <w:tcW w:w="299" w:type="pct"/>
            <w:hideMark/>
          </w:tcPr>
          <w:p w14:paraId="4B31527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103,52</w:t>
            </w:r>
          </w:p>
        </w:tc>
        <w:tc>
          <w:tcPr>
            <w:tcW w:w="343" w:type="pct"/>
            <w:hideMark/>
          </w:tcPr>
          <w:p w14:paraId="3E3687B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100,44</w:t>
            </w:r>
          </w:p>
        </w:tc>
        <w:tc>
          <w:tcPr>
            <w:tcW w:w="299" w:type="pct"/>
            <w:hideMark/>
          </w:tcPr>
          <w:p w14:paraId="4D01261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99,93</w:t>
            </w:r>
          </w:p>
        </w:tc>
        <w:tc>
          <w:tcPr>
            <w:tcW w:w="299" w:type="pct"/>
            <w:hideMark/>
          </w:tcPr>
          <w:p w14:paraId="401EF31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97,07</w:t>
            </w:r>
          </w:p>
        </w:tc>
        <w:tc>
          <w:tcPr>
            <w:tcW w:w="299" w:type="pct"/>
            <w:hideMark/>
          </w:tcPr>
          <w:p w14:paraId="7E60455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104,40</w:t>
            </w:r>
          </w:p>
        </w:tc>
        <w:tc>
          <w:tcPr>
            <w:tcW w:w="325" w:type="pct"/>
            <w:hideMark/>
          </w:tcPr>
          <w:p w14:paraId="4E511D3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99,72</w:t>
            </w:r>
          </w:p>
        </w:tc>
        <w:tc>
          <w:tcPr>
            <w:tcW w:w="433" w:type="pct"/>
            <w:hideMark/>
          </w:tcPr>
          <w:p w14:paraId="18DA44C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97,61</w:t>
            </w:r>
          </w:p>
        </w:tc>
        <w:tc>
          <w:tcPr>
            <w:tcW w:w="299" w:type="pct"/>
            <w:hideMark/>
          </w:tcPr>
          <w:p w14:paraId="088E88C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102,53</w:t>
            </w:r>
          </w:p>
        </w:tc>
      </w:tr>
      <w:tr w:rsidR="003F4CFF" w:rsidRPr="0069184F" w14:paraId="1789114D" w14:textId="77777777" w:rsidTr="003F4CFF">
        <w:trPr>
          <w:trHeight w:val="57"/>
          <w:jc w:val="center"/>
        </w:trPr>
        <w:tc>
          <w:tcPr>
            <w:tcW w:w="154" w:type="pct"/>
            <w:hideMark/>
          </w:tcPr>
          <w:p w14:paraId="331BB6B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3</w:t>
            </w:r>
          </w:p>
        </w:tc>
        <w:tc>
          <w:tcPr>
            <w:tcW w:w="928" w:type="pct"/>
            <w:hideMark/>
          </w:tcPr>
          <w:p w14:paraId="493CFF0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Баранина (кроме бескостного мяса), кг</w:t>
            </w:r>
          </w:p>
        </w:tc>
        <w:tc>
          <w:tcPr>
            <w:tcW w:w="299" w:type="pct"/>
            <w:hideMark/>
          </w:tcPr>
          <w:p w14:paraId="44101E4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100,81</w:t>
            </w:r>
          </w:p>
        </w:tc>
        <w:tc>
          <w:tcPr>
            <w:tcW w:w="299" w:type="pct"/>
            <w:hideMark/>
          </w:tcPr>
          <w:p w14:paraId="39679F1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102,56</w:t>
            </w:r>
          </w:p>
        </w:tc>
        <w:tc>
          <w:tcPr>
            <w:tcW w:w="334" w:type="pct"/>
            <w:hideMark/>
          </w:tcPr>
          <w:p w14:paraId="574EAF0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106,99</w:t>
            </w:r>
          </w:p>
        </w:tc>
        <w:tc>
          <w:tcPr>
            <w:tcW w:w="390" w:type="pct"/>
            <w:hideMark/>
          </w:tcPr>
          <w:p w14:paraId="009EC8C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101,96</w:t>
            </w:r>
          </w:p>
        </w:tc>
        <w:tc>
          <w:tcPr>
            <w:tcW w:w="299" w:type="pct"/>
            <w:hideMark/>
          </w:tcPr>
          <w:p w14:paraId="6688B36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100,99</w:t>
            </w:r>
          </w:p>
        </w:tc>
        <w:tc>
          <w:tcPr>
            <w:tcW w:w="343" w:type="pct"/>
            <w:hideMark/>
          </w:tcPr>
          <w:p w14:paraId="2557A36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101,47</w:t>
            </w:r>
          </w:p>
        </w:tc>
        <w:tc>
          <w:tcPr>
            <w:tcW w:w="299" w:type="pct"/>
            <w:hideMark/>
          </w:tcPr>
          <w:p w14:paraId="2E25819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99,29</w:t>
            </w:r>
          </w:p>
        </w:tc>
        <w:tc>
          <w:tcPr>
            <w:tcW w:w="299" w:type="pct"/>
            <w:hideMark/>
          </w:tcPr>
          <w:p w14:paraId="6FE8398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100,35</w:t>
            </w:r>
          </w:p>
        </w:tc>
        <w:tc>
          <w:tcPr>
            <w:tcW w:w="299" w:type="pct"/>
            <w:hideMark/>
          </w:tcPr>
          <w:p w14:paraId="3AF4673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101,92</w:t>
            </w:r>
          </w:p>
        </w:tc>
        <w:tc>
          <w:tcPr>
            <w:tcW w:w="325" w:type="pct"/>
            <w:hideMark/>
          </w:tcPr>
          <w:p w14:paraId="4D29254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102,01</w:t>
            </w:r>
          </w:p>
        </w:tc>
        <w:tc>
          <w:tcPr>
            <w:tcW w:w="433" w:type="pct"/>
            <w:hideMark/>
          </w:tcPr>
          <w:p w14:paraId="3E876B9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99,78</w:t>
            </w:r>
          </w:p>
        </w:tc>
        <w:tc>
          <w:tcPr>
            <w:tcW w:w="299" w:type="pct"/>
            <w:hideMark/>
          </w:tcPr>
          <w:p w14:paraId="6C3710B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115,55</w:t>
            </w:r>
          </w:p>
        </w:tc>
      </w:tr>
      <w:tr w:rsidR="003F4CFF" w:rsidRPr="0069184F" w14:paraId="3A032C9B" w14:textId="77777777" w:rsidTr="003F4CFF">
        <w:trPr>
          <w:trHeight w:val="57"/>
          <w:jc w:val="center"/>
        </w:trPr>
        <w:tc>
          <w:tcPr>
            <w:tcW w:w="154" w:type="pct"/>
            <w:hideMark/>
          </w:tcPr>
          <w:p w14:paraId="0069822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4</w:t>
            </w:r>
          </w:p>
        </w:tc>
        <w:tc>
          <w:tcPr>
            <w:tcW w:w="928" w:type="pct"/>
            <w:hideMark/>
          </w:tcPr>
          <w:p w14:paraId="6AB1E69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Куры (кроме куриных окорочков), кг</w:t>
            </w:r>
          </w:p>
        </w:tc>
        <w:tc>
          <w:tcPr>
            <w:tcW w:w="299" w:type="pct"/>
            <w:hideMark/>
          </w:tcPr>
          <w:p w14:paraId="45E7BD9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93,45</w:t>
            </w:r>
          </w:p>
        </w:tc>
        <w:tc>
          <w:tcPr>
            <w:tcW w:w="299" w:type="pct"/>
            <w:hideMark/>
          </w:tcPr>
          <w:p w14:paraId="6662364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111,74</w:t>
            </w:r>
          </w:p>
        </w:tc>
        <w:tc>
          <w:tcPr>
            <w:tcW w:w="334" w:type="pct"/>
            <w:hideMark/>
          </w:tcPr>
          <w:p w14:paraId="60CA3B5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99,88</w:t>
            </w:r>
          </w:p>
        </w:tc>
        <w:tc>
          <w:tcPr>
            <w:tcW w:w="390" w:type="pct"/>
            <w:hideMark/>
          </w:tcPr>
          <w:p w14:paraId="4953F6E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99,54</w:t>
            </w:r>
          </w:p>
        </w:tc>
        <w:tc>
          <w:tcPr>
            <w:tcW w:w="299" w:type="pct"/>
            <w:hideMark/>
          </w:tcPr>
          <w:p w14:paraId="3534353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100,46</w:t>
            </w:r>
          </w:p>
        </w:tc>
        <w:tc>
          <w:tcPr>
            <w:tcW w:w="343" w:type="pct"/>
            <w:hideMark/>
          </w:tcPr>
          <w:p w14:paraId="2EEA606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99,25</w:t>
            </w:r>
          </w:p>
        </w:tc>
        <w:tc>
          <w:tcPr>
            <w:tcW w:w="299" w:type="pct"/>
            <w:hideMark/>
          </w:tcPr>
          <w:p w14:paraId="708094E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101,69</w:t>
            </w:r>
          </w:p>
        </w:tc>
        <w:tc>
          <w:tcPr>
            <w:tcW w:w="299" w:type="pct"/>
            <w:hideMark/>
          </w:tcPr>
          <w:p w14:paraId="0FDD1AB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101,13</w:t>
            </w:r>
          </w:p>
        </w:tc>
        <w:tc>
          <w:tcPr>
            <w:tcW w:w="299" w:type="pct"/>
            <w:hideMark/>
          </w:tcPr>
          <w:p w14:paraId="3056AC5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101,60</w:t>
            </w:r>
          </w:p>
        </w:tc>
        <w:tc>
          <w:tcPr>
            <w:tcW w:w="325" w:type="pct"/>
            <w:hideMark/>
          </w:tcPr>
          <w:p w14:paraId="081E082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99,84</w:t>
            </w:r>
          </w:p>
        </w:tc>
        <w:tc>
          <w:tcPr>
            <w:tcW w:w="433" w:type="pct"/>
            <w:hideMark/>
          </w:tcPr>
          <w:p w14:paraId="032BA0C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99,03</w:t>
            </w:r>
          </w:p>
        </w:tc>
        <w:tc>
          <w:tcPr>
            <w:tcW w:w="299" w:type="pct"/>
            <w:hideMark/>
          </w:tcPr>
          <w:p w14:paraId="3BC2C4C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102,41</w:t>
            </w:r>
          </w:p>
        </w:tc>
      </w:tr>
      <w:tr w:rsidR="003F4CFF" w:rsidRPr="0069184F" w14:paraId="5C1D8903" w14:textId="77777777" w:rsidTr="003F4CFF">
        <w:trPr>
          <w:trHeight w:val="57"/>
          <w:jc w:val="center"/>
        </w:trPr>
        <w:tc>
          <w:tcPr>
            <w:tcW w:w="154" w:type="pct"/>
            <w:hideMark/>
          </w:tcPr>
          <w:p w14:paraId="26D316E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5</w:t>
            </w:r>
          </w:p>
        </w:tc>
        <w:tc>
          <w:tcPr>
            <w:tcW w:w="928" w:type="pct"/>
            <w:hideMark/>
          </w:tcPr>
          <w:p w14:paraId="0B2207D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Рыба мороженая неразделанная, кг</w:t>
            </w:r>
          </w:p>
        </w:tc>
        <w:tc>
          <w:tcPr>
            <w:tcW w:w="299" w:type="pct"/>
            <w:hideMark/>
          </w:tcPr>
          <w:p w14:paraId="339382D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99,90</w:t>
            </w:r>
          </w:p>
        </w:tc>
        <w:tc>
          <w:tcPr>
            <w:tcW w:w="299" w:type="pct"/>
            <w:hideMark/>
          </w:tcPr>
          <w:p w14:paraId="3D106E9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107,29</w:t>
            </w:r>
          </w:p>
        </w:tc>
        <w:tc>
          <w:tcPr>
            <w:tcW w:w="334" w:type="pct"/>
            <w:hideMark/>
          </w:tcPr>
          <w:p w14:paraId="3A6F7EE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96,36</w:t>
            </w:r>
          </w:p>
        </w:tc>
        <w:tc>
          <w:tcPr>
            <w:tcW w:w="390" w:type="pct"/>
            <w:hideMark/>
          </w:tcPr>
          <w:p w14:paraId="626555C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97,96</w:t>
            </w:r>
          </w:p>
        </w:tc>
        <w:tc>
          <w:tcPr>
            <w:tcW w:w="299" w:type="pct"/>
            <w:hideMark/>
          </w:tcPr>
          <w:p w14:paraId="649809D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97,82</w:t>
            </w:r>
          </w:p>
        </w:tc>
        <w:tc>
          <w:tcPr>
            <w:tcW w:w="343" w:type="pct"/>
            <w:hideMark/>
          </w:tcPr>
          <w:p w14:paraId="37BF059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101,82</w:t>
            </w:r>
          </w:p>
        </w:tc>
        <w:tc>
          <w:tcPr>
            <w:tcW w:w="299" w:type="pct"/>
            <w:hideMark/>
          </w:tcPr>
          <w:p w14:paraId="3646C62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101,00</w:t>
            </w:r>
          </w:p>
        </w:tc>
        <w:tc>
          <w:tcPr>
            <w:tcW w:w="299" w:type="pct"/>
            <w:hideMark/>
          </w:tcPr>
          <w:p w14:paraId="542BAA0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96,98</w:t>
            </w:r>
          </w:p>
        </w:tc>
        <w:tc>
          <w:tcPr>
            <w:tcW w:w="299" w:type="pct"/>
            <w:hideMark/>
          </w:tcPr>
          <w:p w14:paraId="2A2646F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99,62</w:t>
            </w:r>
          </w:p>
        </w:tc>
        <w:tc>
          <w:tcPr>
            <w:tcW w:w="325" w:type="pct"/>
            <w:hideMark/>
          </w:tcPr>
          <w:p w14:paraId="197DB16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100,08</w:t>
            </w:r>
          </w:p>
        </w:tc>
        <w:tc>
          <w:tcPr>
            <w:tcW w:w="433" w:type="pct"/>
            <w:hideMark/>
          </w:tcPr>
          <w:p w14:paraId="060B61F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99,03</w:t>
            </w:r>
          </w:p>
        </w:tc>
        <w:tc>
          <w:tcPr>
            <w:tcW w:w="299" w:type="pct"/>
            <w:hideMark/>
          </w:tcPr>
          <w:p w14:paraId="7DB9CDE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90,92</w:t>
            </w:r>
          </w:p>
        </w:tc>
      </w:tr>
      <w:tr w:rsidR="003F4CFF" w:rsidRPr="0069184F" w14:paraId="3787523B" w14:textId="77777777" w:rsidTr="003F4CFF">
        <w:trPr>
          <w:trHeight w:val="57"/>
          <w:jc w:val="center"/>
        </w:trPr>
        <w:tc>
          <w:tcPr>
            <w:tcW w:w="154" w:type="pct"/>
            <w:hideMark/>
          </w:tcPr>
          <w:p w14:paraId="741E0D6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6</w:t>
            </w:r>
          </w:p>
        </w:tc>
        <w:tc>
          <w:tcPr>
            <w:tcW w:w="928" w:type="pct"/>
            <w:hideMark/>
          </w:tcPr>
          <w:p w14:paraId="3FF630E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Масло сливочное, кг</w:t>
            </w:r>
          </w:p>
        </w:tc>
        <w:tc>
          <w:tcPr>
            <w:tcW w:w="299" w:type="pct"/>
            <w:hideMark/>
          </w:tcPr>
          <w:p w14:paraId="62BE857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107,32</w:t>
            </w:r>
          </w:p>
        </w:tc>
        <w:tc>
          <w:tcPr>
            <w:tcW w:w="299" w:type="pct"/>
            <w:hideMark/>
          </w:tcPr>
          <w:p w14:paraId="421278D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104,95</w:t>
            </w:r>
          </w:p>
        </w:tc>
        <w:tc>
          <w:tcPr>
            <w:tcW w:w="334" w:type="pct"/>
            <w:hideMark/>
          </w:tcPr>
          <w:p w14:paraId="59B20DA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101,15</w:t>
            </w:r>
          </w:p>
        </w:tc>
        <w:tc>
          <w:tcPr>
            <w:tcW w:w="390" w:type="pct"/>
            <w:hideMark/>
          </w:tcPr>
          <w:p w14:paraId="1EC2485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101,74</w:t>
            </w:r>
          </w:p>
        </w:tc>
        <w:tc>
          <w:tcPr>
            <w:tcW w:w="299" w:type="pct"/>
            <w:hideMark/>
          </w:tcPr>
          <w:p w14:paraId="1E5ECDF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99,39</w:t>
            </w:r>
          </w:p>
        </w:tc>
        <w:tc>
          <w:tcPr>
            <w:tcW w:w="343" w:type="pct"/>
            <w:hideMark/>
          </w:tcPr>
          <w:p w14:paraId="3610165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100,20</w:t>
            </w:r>
          </w:p>
        </w:tc>
        <w:tc>
          <w:tcPr>
            <w:tcW w:w="299" w:type="pct"/>
            <w:hideMark/>
          </w:tcPr>
          <w:p w14:paraId="22367F8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103,05</w:t>
            </w:r>
          </w:p>
        </w:tc>
        <w:tc>
          <w:tcPr>
            <w:tcW w:w="299" w:type="pct"/>
            <w:hideMark/>
          </w:tcPr>
          <w:p w14:paraId="1FC7D33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99,08</w:t>
            </w:r>
          </w:p>
        </w:tc>
        <w:tc>
          <w:tcPr>
            <w:tcW w:w="299" w:type="pct"/>
            <w:hideMark/>
          </w:tcPr>
          <w:p w14:paraId="4FFE7EA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100,69</w:t>
            </w:r>
          </w:p>
        </w:tc>
        <w:tc>
          <w:tcPr>
            <w:tcW w:w="325" w:type="pct"/>
            <w:hideMark/>
          </w:tcPr>
          <w:p w14:paraId="714EBEA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104,77</w:t>
            </w:r>
          </w:p>
        </w:tc>
        <w:tc>
          <w:tcPr>
            <w:tcW w:w="433" w:type="pct"/>
            <w:hideMark/>
          </w:tcPr>
          <w:p w14:paraId="74F5575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99,16</w:t>
            </w:r>
          </w:p>
        </w:tc>
        <w:tc>
          <w:tcPr>
            <w:tcW w:w="299" w:type="pct"/>
            <w:hideMark/>
          </w:tcPr>
          <w:p w14:paraId="0324D83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109,46</w:t>
            </w:r>
          </w:p>
        </w:tc>
      </w:tr>
      <w:tr w:rsidR="003F4CFF" w:rsidRPr="0069184F" w14:paraId="219EE063" w14:textId="77777777" w:rsidTr="003F4CFF">
        <w:trPr>
          <w:trHeight w:val="57"/>
          <w:jc w:val="center"/>
        </w:trPr>
        <w:tc>
          <w:tcPr>
            <w:tcW w:w="154" w:type="pct"/>
            <w:hideMark/>
          </w:tcPr>
          <w:p w14:paraId="5D6A674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7</w:t>
            </w:r>
          </w:p>
        </w:tc>
        <w:tc>
          <w:tcPr>
            <w:tcW w:w="928" w:type="pct"/>
            <w:hideMark/>
          </w:tcPr>
          <w:p w14:paraId="560897A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Масло подсолнечное, кг</w:t>
            </w:r>
          </w:p>
        </w:tc>
        <w:tc>
          <w:tcPr>
            <w:tcW w:w="299" w:type="pct"/>
            <w:hideMark/>
          </w:tcPr>
          <w:p w14:paraId="22AE0C5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88,47</w:t>
            </w:r>
          </w:p>
        </w:tc>
        <w:tc>
          <w:tcPr>
            <w:tcW w:w="299" w:type="pct"/>
            <w:hideMark/>
          </w:tcPr>
          <w:p w14:paraId="0A1BAA4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104,00</w:t>
            </w:r>
          </w:p>
        </w:tc>
        <w:tc>
          <w:tcPr>
            <w:tcW w:w="334" w:type="pct"/>
            <w:hideMark/>
          </w:tcPr>
          <w:p w14:paraId="625FAB9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99,99</w:t>
            </w:r>
          </w:p>
        </w:tc>
        <w:tc>
          <w:tcPr>
            <w:tcW w:w="390" w:type="pct"/>
            <w:hideMark/>
          </w:tcPr>
          <w:p w14:paraId="0B45FB1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97,50</w:t>
            </w:r>
          </w:p>
        </w:tc>
        <w:tc>
          <w:tcPr>
            <w:tcW w:w="299" w:type="pct"/>
            <w:hideMark/>
          </w:tcPr>
          <w:p w14:paraId="16BDC51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101,89</w:t>
            </w:r>
          </w:p>
        </w:tc>
        <w:tc>
          <w:tcPr>
            <w:tcW w:w="343" w:type="pct"/>
            <w:hideMark/>
          </w:tcPr>
          <w:p w14:paraId="093FF91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101,35</w:t>
            </w:r>
          </w:p>
        </w:tc>
        <w:tc>
          <w:tcPr>
            <w:tcW w:w="299" w:type="pct"/>
            <w:hideMark/>
          </w:tcPr>
          <w:p w14:paraId="76440ED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97,32</w:t>
            </w:r>
          </w:p>
        </w:tc>
        <w:tc>
          <w:tcPr>
            <w:tcW w:w="299" w:type="pct"/>
            <w:hideMark/>
          </w:tcPr>
          <w:p w14:paraId="2BF966D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103,07</w:t>
            </w:r>
          </w:p>
        </w:tc>
        <w:tc>
          <w:tcPr>
            <w:tcW w:w="299" w:type="pct"/>
            <w:hideMark/>
          </w:tcPr>
          <w:p w14:paraId="19EBAE0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96,71</w:t>
            </w:r>
          </w:p>
        </w:tc>
        <w:tc>
          <w:tcPr>
            <w:tcW w:w="325" w:type="pct"/>
            <w:hideMark/>
          </w:tcPr>
          <w:p w14:paraId="017F636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101,12</w:t>
            </w:r>
          </w:p>
        </w:tc>
        <w:tc>
          <w:tcPr>
            <w:tcW w:w="433" w:type="pct"/>
            <w:hideMark/>
          </w:tcPr>
          <w:p w14:paraId="0F148C9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94,57</w:t>
            </w:r>
          </w:p>
        </w:tc>
        <w:tc>
          <w:tcPr>
            <w:tcW w:w="299" w:type="pct"/>
            <w:hideMark/>
          </w:tcPr>
          <w:p w14:paraId="2261EBC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93,39</w:t>
            </w:r>
          </w:p>
        </w:tc>
      </w:tr>
      <w:tr w:rsidR="003F4CFF" w:rsidRPr="0069184F" w14:paraId="5E7CA2E6" w14:textId="77777777" w:rsidTr="003F4CFF">
        <w:trPr>
          <w:trHeight w:val="57"/>
          <w:jc w:val="center"/>
        </w:trPr>
        <w:tc>
          <w:tcPr>
            <w:tcW w:w="154" w:type="pct"/>
            <w:hideMark/>
          </w:tcPr>
          <w:p w14:paraId="671302C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w:t>
            </w:r>
          </w:p>
        </w:tc>
        <w:tc>
          <w:tcPr>
            <w:tcW w:w="928" w:type="pct"/>
            <w:hideMark/>
          </w:tcPr>
          <w:p w14:paraId="5F5F69F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Молоко питьевое цельное пастеризованное 2,5–3,2% жирности, л</w:t>
            </w:r>
          </w:p>
        </w:tc>
        <w:tc>
          <w:tcPr>
            <w:tcW w:w="299" w:type="pct"/>
            <w:hideMark/>
          </w:tcPr>
          <w:p w14:paraId="6A70479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102,90</w:t>
            </w:r>
          </w:p>
        </w:tc>
        <w:tc>
          <w:tcPr>
            <w:tcW w:w="299" w:type="pct"/>
            <w:hideMark/>
          </w:tcPr>
          <w:p w14:paraId="70788F6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99,77</w:t>
            </w:r>
          </w:p>
        </w:tc>
        <w:tc>
          <w:tcPr>
            <w:tcW w:w="334" w:type="pct"/>
            <w:hideMark/>
          </w:tcPr>
          <w:p w14:paraId="5C21564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99,16</w:t>
            </w:r>
          </w:p>
        </w:tc>
        <w:tc>
          <w:tcPr>
            <w:tcW w:w="390" w:type="pct"/>
            <w:hideMark/>
          </w:tcPr>
          <w:p w14:paraId="05F8AEB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101,94</w:t>
            </w:r>
          </w:p>
        </w:tc>
        <w:tc>
          <w:tcPr>
            <w:tcW w:w="299" w:type="pct"/>
            <w:hideMark/>
          </w:tcPr>
          <w:p w14:paraId="3052E3F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98,66</w:t>
            </w:r>
          </w:p>
        </w:tc>
        <w:tc>
          <w:tcPr>
            <w:tcW w:w="343" w:type="pct"/>
            <w:hideMark/>
          </w:tcPr>
          <w:p w14:paraId="77014E6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97,42</w:t>
            </w:r>
          </w:p>
        </w:tc>
        <w:tc>
          <w:tcPr>
            <w:tcW w:w="299" w:type="pct"/>
            <w:hideMark/>
          </w:tcPr>
          <w:p w14:paraId="0828C78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102,24</w:t>
            </w:r>
          </w:p>
        </w:tc>
        <w:tc>
          <w:tcPr>
            <w:tcW w:w="299" w:type="pct"/>
            <w:hideMark/>
          </w:tcPr>
          <w:p w14:paraId="1F7BCCF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100,19</w:t>
            </w:r>
          </w:p>
        </w:tc>
        <w:tc>
          <w:tcPr>
            <w:tcW w:w="299" w:type="pct"/>
            <w:hideMark/>
          </w:tcPr>
          <w:p w14:paraId="6B73767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100,74</w:t>
            </w:r>
          </w:p>
        </w:tc>
        <w:tc>
          <w:tcPr>
            <w:tcW w:w="325" w:type="pct"/>
            <w:hideMark/>
          </w:tcPr>
          <w:p w14:paraId="4794F02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99,23</w:t>
            </w:r>
          </w:p>
        </w:tc>
        <w:tc>
          <w:tcPr>
            <w:tcW w:w="433" w:type="pct"/>
            <w:hideMark/>
          </w:tcPr>
          <w:p w14:paraId="37CCD25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103,29</w:t>
            </w:r>
          </w:p>
        </w:tc>
        <w:tc>
          <w:tcPr>
            <w:tcW w:w="299" w:type="pct"/>
            <w:hideMark/>
          </w:tcPr>
          <w:p w14:paraId="47AD4D5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102,77</w:t>
            </w:r>
          </w:p>
        </w:tc>
      </w:tr>
      <w:tr w:rsidR="003F4CFF" w:rsidRPr="0069184F" w14:paraId="05CC5173" w14:textId="77777777" w:rsidTr="003F4CFF">
        <w:trPr>
          <w:trHeight w:val="57"/>
          <w:jc w:val="center"/>
        </w:trPr>
        <w:tc>
          <w:tcPr>
            <w:tcW w:w="154" w:type="pct"/>
            <w:hideMark/>
          </w:tcPr>
          <w:p w14:paraId="6E82366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w:t>
            </w:r>
          </w:p>
        </w:tc>
        <w:tc>
          <w:tcPr>
            <w:tcW w:w="928" w:type="pct"/>
            <w:hideMark/>
          </w:tcPr>
          <w:p w14:paraId="146E205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Яйца куриные, 10 шт.</w:t>
            </w:r>
          </w:p>
        </w:tc>
        <w:tc>
          <w:tcPr>
            <w:tcW w:w="299" w:type="pct"/>
            <w:hideMark/>
          </w:tcPr>
          <w:p w14:paraId="5FDBFE2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90,63</w:t>
            </w:r>
          </w:p>
        </w:tc>
        <w:tc>
          <w:tcPr>
            <w:tcW w:w="299" w:type="pct"/>
            <w:hideMark/>
          </w:tcPr>
          <w:p w14:paraId="15B2EA4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114,49</w:t>
            </w:r>
          </w:p>
        </w:tc>
        <w:tc>
          <w:tcPr>
            <w:tcW w:w="334" w:type="pct"/>
            <w:hideMark/>
          </w:tcPr>
          <w:p w14:paraId="0BD1744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100,75</w:t>
            </w:r>
          </w:p>
        </w:tc>
        <w:tc>
          <w:tcPr>
            <w:tcW w:w="390" w:type="pct"/>
            <w:hideMark/>
          </w:tcPr>
          <w:p w14:paraId="7D6708F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99,59</w:t>
            </w:r>
          </w:p>
        </w:tc>
        <w:tc>
          <w:tcPr>
            <w:tcW w:w="299" w:type="pct"/>
            <w:hideMark/>
          </w:tcPr>
          <w:p w14:paraId="74CF832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99,03</w:t>
            </w:r>
          </w:p>
        </w:tc>
        <w:tc>
          <w:tcPr>
            <w:tcW w:w="343" w:type="pct"/>
            <w:hideMark/>
          </w:tcPr>
          <w:p w14:paraId="57E8765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100,98</w:t>
            </w:r>
          </w:p>
        </w:tc>
        <w:tc>
          <w:tcPr>
            <w:tcW w:w="299" w:type="pct"/>
            <w:hideMark/>
          </w:tcPr>
          <w:p w14:paraId="0C11DB5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94,03</w:t>
            </w:r>
          </w:p>
        </w:tc>
        <w:tc>
          <w:tcPr>
            <w:tcW w:w="299" w:type="pct"/>
            <w:hideMark/>
          </w:tcPr>
          <w:p w14:paraId="2417DD9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96,82</w:t>
            </w:r>
          </w:p>
        </w:tc>
        <w:tc>
          <w:tcPr>
            <w:tcW w:w="299" w:type="pct"/>
            <w:hideMark/>
          </w:tcPr>
          <w:p w14:paraId="429BB20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98,53</w:t>
            </w:r>
          </w:p>
        </w:tc>
        <w:tc>
          <w:tcPr>
            <w:tcW w:w="325" w:type="pct"/>
            <w:hideMark/>
          </w:tcPr>
          <w:p w14:paraId="6A0AADA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105,24</w:t>
            </w:r>
          </w:p>
        </w:tc>
        <w:tc>
          <w:tcPr>
            <w:tcW w:w="433" w:type="pct"/>
            <w:hideMark/>
          </w:tcPr>
          <w:p w14:paraId="36B404E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99,46</w:t>
            </w:r>
          </w:p>
        </w:tc>
        <w:tc>
          <w:tcPr>
            <w:tcW w:w="299" w:type="pct"/>
            <w:hideMark/>
          </w:tcPr>
          <w:p w14:paraId="332DF99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94,20</w:t>
            </w:r>
          </w:p>
        </w:tc>
      </w:tr>
      <w:tr w:rsidR="003F4CFF" w:rsidRPr="0069184F" w14:paraId="62179002" w14:textId="77777777" w:rsidTr="003F4CFF">
        <w:trPr>
          <w:trHeight w:val="57"/>
          <w:jc w:val="center"/>
        </w:trPr>
        <w:tc>
          <w:tcPr>
            <w:tcW w:w="154" w:type="pct"/>
            <w:hideMark/>
          </w:tcPr>
          <w:p w14:paraId="0A5D627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w:t>
            </w:r>
          </w:p>
        </w:tc>
        <w:tc>
          <w:tcPr>
            <w:tcW w:w="928" w:type="pct"/>
            <w:hideMark/>
          </w:tcPr>
          <w:p w14:paraId="3B97908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Сахар-песок, кг</w:t>
            </w:r>
          </w:p>
        </w:tc>
        <w:tc>
          <w:tcPr>
            <w:tcW w:w="299" w:type="pct"/>
            <w:hideMark/>
          </w:tcPr>
          <w:p w14:paraId="40914DD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75,39</w:t>
            </w:r>
          </w:p>
        </w:tc>
        <w:tc>
          <w:tcPr>
            <w:tcW w:w="299" w:type="pct"/>
            <w:hideMark/>
          </w:tcPr>
          <w:p w14:paraId="2163D1B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122,76</w:t>
            </w:r>
          </w:p>
        </w:tc>
        <w:tc>
          <w:tcPr>
            <w:tcW w:w="334" w:type="pct"/>
            <w:hideMark/>
          </w:tcPr>
          <w:p w14:paraId="0D709A6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100,79</w:t>
            </w:r>
          </w:p>
        </w:tc>
        <w:tc>
          <w:tcPr>
            <w:tcW w:w="390" w:type="pct"/>
            <w:hideMark/>
          </w:tcPr>
          <w:p w14:paraId="33DFCA6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100,14</w:t>
            </w:r>
          </w:p>
        </w:tc>
        <w:tc>
          <w:tcPr>
            <w:tcW w:w="299" w:type="pct"/>
            <w:hideMark/>
          </w:tcPr>
          <w:p w14:paraId="2B65276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99,62</w:t>
            </w:r>
          </w:p>
        </w:tc>
        <w:tc>
          <w:tcPr>
            <w:tcW w:w="343" w:type="pct"/>
            <w:hideMark/>
          </w:tcPr>
          <w:p w14:paraId="62A5DE5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99,72</w:t>
            </w:r>
          </w:p>
        </w:tc>
        <w:tc>
          <w:tcPr>
            <w:tcW w:w="299" w:type="pct"/>
            <w:hideMark/>
          </w:tcPr>
          <w:p w14:paraId="1050228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94,92</w:t>
            </w:r>
          </w:p>
        </w:tc>
        <w:tc>
          <w:tcPr>
            <w:tcW w:w="299" w:type="pct"/>
            <w:hideMark/>
          </w:tcPr>
          <w:p w14:paraId="6D4943D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95,92</w:t>
            </w:r>
          </w:p>
        </w:tc>
        <w:tc>
          <w:tcPr>
            <w:tcW w:w="299" w:type="pct"/>
            <w:hideMark/>
          </w:tcPr>
          <w:p w14:paraId="2EBDB00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93,71</w:t>
            </w:r>
          </w:p>
        </w:tc>
        <w:tc>
          <w:tcPr>
            <w:tcW w:w="325" w:type="pct"/>
            <w:hideMark/>
          </w:tcPr>
          <w:p w14:paraId="3E16091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98,91</w:t>
            </w:r>
          </w:p>
        </w:tc>
        <w:tc>
          <w:tcPr>
            <w:tcW w:w="433" w:type="pct"/>
            <w:hideMark/>
          </w:tcPr>
          <w:p w14:paraId="6E6721A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93,86</w:t>
            </w:r>
          </w:p>
        </w:tc>
        <w:tc>
          <w:tcPr>
            <w:tcW w:w="299" w:type="pct"/>
            <w:hideMark/>
          </w:tcPr>
          <w:p w14:paraId="0581DD6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79,42</w:t>
            </w:r>
          </w:p>
        </w:tc>
      </w:tr>
      <w:tr w:rsidR="003F4CFF" w:rsidRPr="0069184F" w14:paraId="4A086113" w14:textId="77777777" w:rsidTr="003F4CFF">
        <w:trPr>
          <w:trHeight w:val="57"/>
          <w:jc w:val="center"/>
        </w:trPr>
        <w:tc>
          <w:tcPr>
            <w:tcW w:w="154" w:type="pct"/>
            <w:hideMark/>
          </w:tcPr>
          <w:p w14:paraId="3CFC838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w:t>
            </w:r>
          </w:p>
        </w:tc>
        <w:tc>
          <w:tcPr>
            <w:tcW w:w="928" w:type="pct"/>
            <w:hideMark/>
          </w:tcPr>
          <w:p w14:paraId="3E4EB3F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Чай черный байховый, кг</w:t>
            </w:r>
          </w:p>
        </w:tc>
        <w:tc>
          <w:tcPr>
            <w:tcW w:w="299" w:type="pct"/>
            <w:hideMark/>
          </w:tcPr>
          <w:p w14:paraId="6C5B40C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100,43</w:t>
            </w:r>
          </w:p>
        </w:tc>
        <w:tc>
          <w:tcPr>
            <w:tcW w:w="299" w:type="pct"/>
            <w:hideMark/>
          </w:tcPr>
          <w:p w14:paraId="03D2078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99,02</w:t>
            </w:r>
          </w:p>
        </w:tc>
        <w:tc>
          <w:tcPr>
            <w:tcW w:w="334" w:type="pct"/>
            <w:hideMark/>
          </w:tcPr>
          <w:p w14:paraId="2B76FCF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108,74</w:t>
            </w:r>
          </w:p>
        </w:tc>
        <w:tc>
          <w:tcPr>
            <w:tcW w:w="390" w:type="pct"/>
            <w:hideMark/>
          </w:tcPr>
          <w:p w14:paraId="0ED44BE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102,15</w:t>
            </w:r>
          </w:p>
        </w:tc>
        <w:tc>
          <w:tcPr>
            <w:tcW w:w="299" w:type="pct"/>
            <w:hideMark/>
          </w:tcPr>
          <w:p w14:paraId="0171B10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98,52</w:t>
            </w:r>
          </w:p>
        </w:tc>
        <w:tc>
          <w:tcPr>
            <w:tcW w:w="343" w:type="pct"/>
            <w:hideMark/>
          </w:tcPr>
          <w:p w14:paraId="01A0D23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99,62</w:t>
            </w:r>
          </w:p>
        </w:tc>
        <w:tc>
          <w:tcPr>
            <w:tcW w:w="299" w:type="pct"/>
            <w:hideMark/>
          </w:tcPr>
          <w:p w14:paraId="11ACD00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101,24</w:t>
            </w:r>
          </w:p>
        </w:tc>
        <w:tc>
          <w:tcPr>
            <w:tcW w:w="299" w:type="pct"/>
            <w:hideMark/>
          </w:tcPr>
          <w:p w14:paraId="2DB4CE2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103,36</w:t>
            </w:r>
          </w:p>
        </w:tc>
        <w:tc>
          <w:tcPr>
            <w:tcW w:w="299" w:type="pct"/>
            <w:hideMark/>
          </w:tcPr>
          <w:p w14:paraId="0C549AA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97,63</w:t>
            </w:r>
          </w:p>
        </w:tc>
        <w:tc>
          <w:tcPr>
            <w:tcW w:w="325" w:type="pct"/>
            <w:hideMark/>
          </w:tcPr>
          <w:p w14:paraId="24BE900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100,47</w:t>
            </w:r>
          </w:p>
        </w:tc>
        <w:tc>
          <w:tcPr>
            <w:tcW w:w="433" w:type="pct"/>
            <w:hideMark/>
          </w:tcPr>
          <w:p w14:paraId="3DA89FC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95,13</w:t>
            </w:r>
          </w:p>
        </w:tc>
        <w:tc>
          <w:tcPr>
            <w:tcW w:w="299" w:type="pct"/>
            <w:hideMark/>
          </w:tcPr>
          <w:p w14:paraId="0906196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106,44</w:t>
            </w:r>
          </w:p>
        </w:tc>
      </w:tr>
      <w:tr w:rsidR="003F4CFF" w:rsidRPr="0069184F" w14:paraId="7102D030" w14:textId="77777777" w:rsidTr="003F4CFF">
        <w:trPr>
          <w:trHeight w:val="57"/>
          <w:jc w:val="center"/>
        </w:trPr>
        <w:tc>
          <w:tcPr>
            <w:tcW w:w="154" w:type="pct"/>
            <w:hideMark/>
          </w:tcPr>
          <w:p w14:paraId="3E80F0A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12</w:t>
            </w:r>
          </w:p>
        </w:tc>
        <w:tc>
          <w:tcPr>
            <w:tcW w:w="928" w:type="pct"/>
            <w:hideMark/>
          </w:tcPr>
          <w:p w14:paraId="739C9C2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Соль поваренная пищевая, кг</w:t>
            </w:r>
          </w:p>
        </w:tc>
        <w:tc>
          <w:tcPr>
            <w:tcW w:w="299" w:type="pct"/>
            <w:hideMark/>
          </w:tcPr>
          <w:p w14:paraId="5A1F05B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100,85</w:t>
            </w:r>
          </w:p>
        </w:tc>
        <w:tc>
          <w:tcPr>
            <w:tcW w:w="299" w:type="pct"/>
            <w:hideMark/>
          </w:tcPr>
          <w:p w14:paraId="732C1CD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114,22</w:t>
            </w:r>
          </w:p>
        </w:tc>
        <w:tc>
          <w:tcPr>
            <w:tcW w:w="334" w:type="pct"/>
            <w:hideMark/>
          </w:tcPr>
          <w:p w14:paraId="7E5A731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101,47</w:t>
            </w:r>
          </w:p>
        </w:tc>
        <w:tc>
          <w:tcPr>
            <w:tcW w:w="390" w:type="pct"/>
            <w:hideMark/>
          </w:tcPr>
          <w:p w14:paraId="6EFEFCA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99,76</w:t>
            </w:r>
          </w:p>
        </w:tc>
        <w:tc>
          <w:tcPr>
            <w:tcW w:w="299" w:type="pct"/>
            <w:hideMark/>
          </w:tcPr>
          <w:p w14:paraId="473023E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101,62</w:t>
            </w:r>
          </w:p>
        </w:tc>
        <w:tc>
          <w:tcPr>
            <w:tcW w:w="343" w:type="pct"/>
            <w:hideMark/>
          </w:tcPr>
          <w:p w14:paraId="1CDF4C6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100,88</w:t>
            </w:r>
          </w:p>
        </w:tc>
        <w:tc>
          <w:tcPr>
            <w:tcW w:w="299" w:type="pct"/>
            <w:hideMark/>
          </w:tcPr>
          <w:p w14:paraId="3D822D2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102,05</w:t>
            </w:r>
          </w:p>
        </w:tc>
        <w:tc>
          <w:tcPr>
            <w:tcW w:w="299" w:type="pct"/>
            <w:hideMark/>
          </w:tcPr>
          <w:p w14:paraId="460B446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100,54</w:t>
            </w:r>
          </w:p>
        </w:tc>
        <w:tc>
          <w:tcPr>
            <w:tcW w:w="299" w:type="pct"/>
            <w:hideMark/>
          </w:tcPr>
          <w:p w14:paraId="394BFA5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99,69</w:t>
            </w:r>
          </w:p>
        </w:tc>
        <w:tc>
          <w:tcPr>
            <w:tcW w:w="325" w:type="pct"/>
            <w:hideMark/>
          </w:tcPr>
          <w:p w14:paraId="32CF83B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99,77</w:t>
            </w:r>
          </w:p>
        </w:tc>
        <w:tc>
          <w:tcPr>
            <w:tcW w:w="433" w:type="pct"/>
            <w:hideMark/>
          </w:tcPr>
          <w:p w14:paraId="5DFBFDF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100,85</w:t>
            </w:r>
          </w:p>
        </w:tc>
        <w:tc>
          <w:tcPr>
            <w:tcW w:w="299" w:type="pct"/>
            <w:hideMark/>
          </w:tcPr>
          <w:p w14:paraId="274A85F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106,80</w:t>
            </w:r>
          </w:p>
        </w:tc>
      </w:tr>
      <w:tr w:rsidR="003F4CFF" w:rsidRPr="0069184F" w14:paraId="0DA96C25" w14:textId="77777777" w:rsidTr="003F4CFF">
        <w:trPr>
          <w:trHeight w:val="57"/>
          <w:jc w:val="center"/>
        </w:trPr>
        <w:tc>
          <w:tcPr>
            <w:tcW w:w="154" w:type="pct"/>
            <w:hideMark/>
          </w:tcPr>
          <w:p w14:paraId="13F9B1C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13</w:t>
            </w:r>
          </w:p>
        </w:tc>
        <w:tc>
          <w:tcPr>
            <w:tcW w:w="928" w:type="pct"/>
            <w:hideMark/>
          </w:tcPr>
          <w:p w14:paraId="6D251DB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Мука пшеничная, кг</w:t>
            </w:r>
          </w:p>
        </w:tc>
        <w:tc>
          <w:tcPr>
            <w:tcW w:w="299" w:type="pct"/>
            <w:hideMark/>
          </w:tcPr>
          <w:p w14:paraId="43F2D9B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89,24</w:t>
            </w:r>
          </w:p>
        </w:tc>
        <w:tc>
          <w:tcPr>
            <w:tcW w:w="299" w:type="pct"/>
            <w:hideMark/>
          </w:tcPr>
          <w:p w14:paraId="569622D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106,69</w:t>
            </w:r>
          </w:p>
        </w:tc>
        <w:tc>
          <w:tcPr>
            <w:tcW w:w="334" w:type="pct"/>
            <w:hideMark/>
          </w:tcPr>
          <w:p w14:paraId="58C4174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105,71</w:t>
            </w:r>
          </w:p>
        </w:tc>
        <w:tc>
          <w:tcPr>
            <w:tcW w:w="390" w:type="pct"/>
            <w:hideMark/>
          </w:tcPr>
          <w:p w14:paraId="75BEECD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105,30</w:t>
            </w:r>
          </w:p>
        </w:tc>
        <w:tc>
          <w:tcPr>
            <w:tcW w:w="299" w:type="pct"/>
            <w:hideMark/>
          </w:tcPr>
          <w:p w14:paraId="388FF3D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103,12</w:t>
            </w:r>
          </w:p>
        </w:tc>
        <w:tc>
          <w:tcPr>
            <w:tcW w:w="343" w:type="pct"/>
            <w:hideMark/>
          </w:tcPr>
          <w:p w14:paraId="0589E70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97,50</w:t>
            </w:r>
          </w:p>
        </w:tc>
        <w:tc>
          <w:tcPr>
            <w:tcW w:w="299" w:type="pct"/>
            <w:hideMark/>
          </w:tcPr>
          <w:p w14:paraId="1671D22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100,28</w:t>
            </w:r>
          </w:p>
        </w:tc>
        <w:tc>
          <w:tcPr>
            <w:tcW w:w="299" w:type="pct"/>
            <w:hideMark/>
          </w:tcPr>
          <w:p w14:paraId="2798531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101,86</w:t>
            </w:r>
          </w:p>
        </w:tc>
        <w:tc>
          <w:tcPr>
            <w:tcW w:w="299" w:type="pct"/>
            <w:hideMark/>
          </w:tcPr>
          <w:p w14:paraId="19B7D42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100,81</w:t>
            </w:r>
          </w:p>
        </w:tc>
        <w:tc>
          <w:tcPr>
            <w:tcW w:w="325" w:type="pct"/>
            <w:hideMark/>
          </w:tcPr>
          <w:p w14:paraId="3C51896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99,35</w:t>
            </w:r>
          </w:p>
        </w:tc>
        <w:tc>
          <w:tcPr>
            <w:tcW w:w="433" w:type="pct"/>
            <w:hideMark/>
          </w:tcPr>
          <w:p w14:paraId="1F10C34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99,91</w:t>
            </w:r>
          </w:p>
        </w:tc>
        <w:tc>
          <w:tcPr>
            <w:tcW w:w="299" w:type="pct"/>
            <w:hideMark/>
          </w:tcPr>
          <w:p w14:paraId="611F6D1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114,39</w:t>
            </w:r>
          </w:p>
        </w:tc>
      </w:tr>
      <w:tr w:rsidR="003F4CFF" w:rsidRPr="0069184F" w14:paraId="7D54239A" w14:textId="77777777" w:rsidTr="003F4CFF">
        <w:trPr>
          <w:trHeight w:val="57"/>
          <w:jc w:val="center"/>
        </w:trPr>
        <w:tc>
          <w:tcPr>
            <w:tcW w:w="154" w:type="pct"/>
            <w:hideMark/>
          </w:tcPr>
          <w:p w14:paraId="37A677E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14</w:t>
            </w:r>
          </w:p>
        </w:tc>
        <w:tc>
          <w:tcPr>
            <w:tcW w:w="928" w:type="pct"/>
            <w:hideMark/>
          </w:tcPr>
          <w:p w14:paraId="0853603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Хлеб ржаной, ржано-пшеничный, кг</w:t>
            </w:r>
          </w:p>
        </w:tc>
        <w:tc>
          <w:tcPr>
            <w:tcW w:w="299" w:type="pct"/>
            <w:hideMark/>
          </w:tcPr>
          <w:p w14:paraId="019F02C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100,26</w:t>
            </w:r>
          </w:p>
        </w:tc>
        <w:tc>
          <w:tcPr>
            <w:tcW w:w="299" w:type="pct"/>
            <w:hideMark/>
          </w:tcPr>
          <w:p w14:paraId="4C39B21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107,58</w:t>
            </w:r>
          </w:p>
        </w:tc>
        <w:tc>
          <w:tcPr>
            <w:tcW w:w="334" w:type="pct"/>
            <w:hideMark/>
          </w:tcPr>
          <w:p w14:paraId="5C718EC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100,96</w:t>
            </w:r>
          </w:p>
        </w:tc>
        <w:tc>
          <w:tcPr>
            <w:tcW w:w="390" w:type="pct"/>
            <w:hideMark/>
          </w:tcPr>
          <w:p w14:paraId="0B7FEBC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100,18</w:t>
            </w:r>
          </w:p>
        </w:tc>
        <w:tc>
          <w:tcPr>
            <w:tcW w:w="299" w:type="pct"/>
            <w:hideMark/>
          </w:tcPr>
          <w:p w14:paraId="4584BF3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99,67</w:t>
            </w:r>
          </w:p>
        </w:tc>
        <w:tc>
          <w:tcPr>
            <w:tcW w:w="343" w:type="pct"/>
            <w:hideMark/>
          </w:tcPr>
          <w:p w14:paraId="10A90C0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101,01</w:t>
            </w:r>
          </w:p>
        </w:tc>
        <w:tc>
          <w:tcPr>
            <w:tcW w:w="299" w:type="pct"/>
            <w:hideMark/>
          </w:tcPr>
          <w:p w14:paraId="403F615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99,28</w:t>
            </w:r>
          </w:p>
        </w:tc>
        <w:tc>
          <w:tcPr>
            <w:tcW w:w="299" w:type="pct"/>
            <w:hideMark/>
          </w:tcPr>
          <w:p w14:paraId="5A85A5D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101,65</w:t>
            </w:r>
          </w:p>
        </w:tc>
        <w:tc>
          <w:tcPr>
            <w:tcW w:w="299" w:type="pct"/>
            <w:hideMark/>
          </w:tcPr>
          <w:p w14:paraId="5438DAA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100,50</w:t>
            </w:r>
          </w:p>
        </w:tc>
        <w:tc>
          <w:tcPr>
            <w:tcW w:w="325" w:type="pct"/>
            <w:hideMark/>
          </w:tcPr>
          <w:p w14:paraId="24297B4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102,47</w:t>
            </w:r>
          </w:p>
        </w:tc>
        <w:tc>
          <w:tcPr>
            <w:tcW w:w="433" w:type="pct"/>
            <w:hideMark/>
          </w:tcPr>
          <w:p w14:paraId="666A621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101,74</w:t>
            </w:r>
          </w:p>
        </w:tc>
        <w:tc>
          <w:tcPr>
            <w:tcW w:w="299" w:type="pct"/>
            <w:hideMark/>
          </w:tcPr>
          <w:p w14:paraId="1A42521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107,68</w:t>
            </w:r>
          </w:p>
        </w:tc>
      </w:tr>
      <w:tr w:rsidR="003F4CFF" w:rsidRPr="0069184F" w14:paraId="564594AC" w14:textId="77777777" w:rsidTr="003F4CFF">
        <w:trPr>
          <w:trHeight w:val="57"/>
          <w:jc w:val="center"/>
        </w:trPr>
        <w:tc>
          <w:tcPr>
            <w:tcW w:w="154" w:type="pct"/>
            <w:hideMark/>
          </w:tcPr>
          <w:p w14:paraId="1FE6D6B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15</w:t>
            </w:r>
          </w:p>
        </w:tc>
        <w:tc>
          <w:tcPr>
            <w:tcW w:w="928" w:type="pct"/>
            <w:shd w:val="clear" w:color="auto" w:fill="auto"/>
            <w:hideMark/>
          </w:tcPr>
          <w:p w14:paraId="75C6EEA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Хлеб и булочные изделия из пшеничной муки</w:t>
            </w:r>
          </w:p>
          <w:p w14:paraId="6BBDAEB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 и 2 сорта, кг</w:t>
            </w:r>
          </w:p>
        </w:tc>
        <w:tc>
          <w:tcPr>
            <w:tcW w:w="299" w:type="pct"/>
            <w:shd w:val="clear" w:color="auto" w:fill="auto"/>
            <w:hideMark/>
          </w:tcPr>
          <w:p w14:paraId="66E58C7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100,61</w:t>
            </w:r>
          </w:p>
        </w:tc>
        <w:tc>
          <w:tcPr>
            <w:tcW w:w="299" w:type="pct"/>
            <w:shd w:val="clear" w:color="auto" w:fill="auto"/>
            <w:hideMark/>
          </w:tcPr>
          <w:p w14:paraId="0F4A51D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108,91</w:t>
            </w:r>
          </w:p>
        </w:tc>
        <w:tc>
          <w:tcPr>
            <w:tcW w:w="334" w:type="pct"/>
            <w:shd w:val="clear" w:color="auto" w:fill="auto"/>
            <w:hideMark/>
          </w:tcPr>
          <w:p w14:paraId="3131E60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99,52</w:t>
            </w:r>
          </w:p>
        </w:tc>
        <w:tc>
          <w:tcPr>
            <w:tcW w:w="390" w:type="pct"/>
            <w:shd w:val="clear" w:color="auto" w:fill="auto"/>
            <w:hideMark/>
          </w:tcPr>
          <w:p w14:paraId="6252038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101,58</w:t>
            </w:r>
          </w:p>
        </w:tc>
        <w:tc>
          <w:tcPr>
            <w:tcW w:w="299" w:type="pct"/>
            <w:shd w:val="clear" w:color="auto" w:fill="auto"/>
            <w:hideMark/>
          </w:tcPr>
          <w:p w14:paraId="7F5EA80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99,68</w:t>
            </w:r>
          </w:p>
        </w:tc>
        <w:tc>
          <w:tcPr>
            <w:tcW w:w="343" w:type="pct"/>
            <w:shd w:val="clear" w:color="auto" w:fill="auto"/>
            <w:hideMark/>
          </w:tcPr>
          <w:p w14:paraId="6D61587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101,90</w:t>
            </w:r>
          </w:p>
        </w:tc>
        <w:tc>
          <w:tcPr>
            <w:tcW w:w="299" w:type="pct"/>
            <w:shd w:val="clear" w:color="auto" w:fill="auto"/>
            <w:hideMark/>
          </w:tcPr>
          <w:p w14:paraId="4A8C403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99,76</w:t>
            </w:r>
          </w:p>
        </w:tc>
        <w:tc>
          <w:tcPr>
            <w:tcW w:w="299" w:type="pct"/>
            <w:shd w:val="clear" w:color="auto" w:fill="auto"/>
            <w:hideMark/>
          </w:tcPr>
          <w:p w14:paraId="0188A6F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99,76</w:t>
            </w:r>
          </w:p>
        </w:tc>
        <w:tc>
          <w:tcPr>
            <w:tcW w:w="299" w:type="pct"/>
            <w:shd w:val="clear" w:color="auto" w:fill="auto"/>
            <w:hideMark/>
          </w:tcPr>
          <w:p w14:paraId="72795C6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99,77</w:t>
            </w:r>
          </w:p>
        </w:tc>
        <w:tc>
          <w:tcPr>
            <w:tcW w:w="325" w:type="pct"/>
            <w:shd w:val="clear" w:color="auto" w:fill="auto"/>
            <w:hideMark/>
          </w:tcPr>
          <w:p w14:paraId="34DA574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102,27</w:t>
            </w:r>
          </w:p>
        </w:tc>
        <w:tc>
          <w:tcPr>
            <w:tcW w:w="433" w:type="pct"/>
            <w:hideMark/>
          </w:tcPr>
          <w:p w14:paraId="3753E47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101,78</w:t>
            </w:r>
          </w:p>
        </w:tc>
        <w:tc>
          <w:tcPr>
            <w:tcW w:w="299" w:type="pct"/>
            <w:hideMark/>
          </w:tcPr>
          <w:p w14:paraId="286F70C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106,13</w:t>
            </w:r>
          </w:p>
        </w:tc>
      </w:tr>
      <w:tr w:rsidR="003F4CFF" w:rsidRPr="0069184F" w14:paraId="2AE62684" w14:textId="77777777" w:rsidTr="003F4CFF">
        <w:trPr>
          <w:trHeight w:val="57"/>
          <w:jc w:val="center"/>
        </w:trPr>
        <w:tc>
          <w:tcPr>
            <w:tcW w:w="154" w:type="pct"/>
            <w:hideMark/>
          </w:tcPr>
          <w:p w14:paraId="46656E4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16</w:t>
            </w:r>
          </w:p>
        </w:tc>
        <w:tc>
          <w:tcPr>
            <w:tcW w:w="928" w:type="pct"/>
            <w:shd w:val="clear" w:color="auto" w:fill="auto"/>
            <w:hideMark/>
          </w:tcPr>
          <w:p w14:paraId="3C44E4A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Рис шлифованный, кг</w:t>
            </w:r>
          </w:p>
        </w:tc>
        <w:tc>
          <w:tcPr>
            <w:tcW w:w="299" w:type="pct"/>
            <w:shd w:val="clear" w:color="auto" w:fill="auto"/>
            <w:hideMark/>
          </w:tcPr>
          <w:p w14:paraId="3A039C8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93,23</w:t>
            </w:r>
          </w:p>
        </w:tc>
        <w:tc>
          <w:tcPr>
            <w:tcW w:w="299" w:type="pct"/>
            <w:shd w:val="clear" w:color="auto" w:fill="auto"/>
            <w:hideMark/>
          </w:tcPr>
          <w:p w14:paraId="3797B43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114,88</w:t>
            </w:r>
          </w:p>
        </w:tc>
        <w:tc>
          <w:tcPr>
            <w:tcW w:w="334" w:type="pct"/>
            <w:shd w:val="clear" w:color="auto" w:fill="auto"/>
            <w:hideMark/>
          </w:tcPr>
          <w:p w14:paraId="51E87F8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96,03</w:t>
            </w:r>
          </w:p>
        </w:tc>
        <w:tc>
          <w:tcPr>
            <w:tcW w:w="390" w:type="pct"/>
            <w:shd w:val="clear" w:color="auto" w:fill="auto"/>
            <w:hideMark/>
          </w:tcPr>
          <w:p w14:paraId="5F718C6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99,94</w:t>
            </w:r>
          </w:p>
        </w:tc>
        <w:tc>
          <w:tcPr>
            <w:tcW w:w="299" w:type="pct"/>
            <w:shd w:val="clear" w:color="auto" w:fill="auto"/>
            <w:hideMark/>
          </w:tcPr>
          <w:p w14:paraId="222418E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100,00</w:t>
            </w:r>
          </w:p>
        </w:tc>
        <w:tc>
          <w:tcPr>
            <w:tcW w:w="343" w:type="pct"/>
            <w:shd w:val="clear" w:color="auto" w:fill="auto"/>
            <w:hideMark/>
          </w:tcPr>
          <w:p w14:paraId="5DDBDBF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101,31</w:t>
            </w:r>
          </w:p>
        </w:tc>
        <w:tc>
          <w:tcPr>
            <w:tcW w:w="299" w:type="pct"/>
            <w:shd w:val="clear" w:color="auto" w:fill="auto"/>
            <w:hideMark/>
          </w:tcPr>
          <w:p w14:paraId="569347B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103,45</w:t>
            </w:r>
          </w:p>
        </w:tc>
        <w:tc>
          <w:tcPr>
            <w:tcW w:w="299" w:type="pct"/>
            <w:shd w:val="clear" w:color="auto" w:fill="auto"/>
            <w:hideMark/>
          </w:tcPr>
          <w:p w14:paraId="6B33D46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101,30</w:t>
            </w:r>
          </w:p>
        </w:tc>
        <w:tc>
          <w:tcPr>
            <w:tcW w:w="299" w:type="pct"/>
            <w:shd w:val="clear" w:color="auto" w:fill="auto"/>
            <w:hideMark/>
          </w:tcPr>
          <w:p w14:paraId="3E6977B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101,65</w:t>
            </w:r>
          </w:p>
        </w:tc>
        <w:tc>
          <w:tcPr>
            <w:tcW w:w="325" w:type="pct"/>
            <w:shd w:val="clear" w:color="auto" w:fill="auto"/>
            <w:hideMark/>
          </w:tcPr>
          <w:p w14:paraId="6F21CBB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103,15</w:t>
            </w:r>
          </w:p>
        </w:tc>
        <w:tc>
          <w:tcPr>
            <w:tcW w:w="433" w:type="pct"/>
            <w:hideMark/>
          </w:tcPr>
          <w:p w14:paraId="7E9031F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101,84</w:t>
            </w:r>
          </w:p>
        </w:tc>
        <w:tc>
          <w:tcPr>
            <w:tcW w:w="299" w:type="pct"/>
            <w:hideMark/>
          </w:tcPr>
          <w:p w14:paraId="7CD8F97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108,81</w:t>
            </w:r>
          </w:p>
        </w:tc>
      </w:tr>
      <w:tr w:rsidR="003F4CFF" w:rsidRPr="0069184F" w14:paraId="7622973B" w14:textId="77777777" w:rsidTr="003F4CFF">
        <w:trPr>
          <w:trHeight w:val="57"/>
          <w:jc w:val="center"/>
        </w:trPr>
        <w:tc>
          <w:tcPr>
            <w:tcW w:w="154" w:type="pct"/>
            <w:hideMark/>
          </w:tcPr>
          <w:p w14:paraId="5A604DE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17</w:t>
            </w:r>
          </w:p>
        </w:tc>
        <w:tc>
          <w:tcPr>
            <w:tcW w:w="928" w:type="pct"/>
            <w:shd w:val="clear" w:color="auto" w:fill="auto"/>
            <w:hideMark/>
          </w:tcPr>
          <w:p w14:paraId="3B9A4AE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Пшено, кг</w:t>
            </w:r>
          </w:p>
        </w:tc>
        <w:tc>
          <w:tcPr>
            <w:tcW w:w="299" w:type="pct"/>
            <w:shd w:val="clear" w:color="auto" w:fill="auto"/>
            <w:hideMark/>
          </w:tcPr>
          <w:p w14:paraId="29373BA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99,66</w:t>
            </w:r>
          </w:p>
        </w:tc>
        <w:tc>
          <w:tcPr>
            <w:tcW w:w="299" w:type="pct"/>
            <w:shd w:val="clear" w:color="auto" w:fill="auto"/>
            <w:hideMark/>
          </w:tcPr>
          <w:p w14:paraId="46F966E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184,97</w:t>
            </w:r>
          </w:p>
        </w:tc>
        <w:tc>
          <w:tcPr>
            <w:tcW w:w="334" w:type="pct"/>
            <w:shd w:val="clear" w:color="auto" w:fill="auto"/>
            <w:hideMark/>
          </w:tcPr>
          <w:p w14:paraId="68EDFDA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97,39</w:t>
            </w:r>
          </w:p>
        </w:tc>
        <w:tc>
          <w:tcPr>
            <w:tcW w:w="390" w:type="pct"/>
            <w:shd w:val="clear" w:color="auto" w:fill="auto"/>
            <w:hideMark/>
          </w:tcPr>
          <w:p w14:paraId="0D28663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106,95</w:t>
            </w:r>
          </w:p>
        </w:tc>
        <w:tc>
          <w:tcPr>
            <w:tcW w:w="299" w:type="pct"/>
            <w:shd w:val="clear" w:color="auto" w:fill="auto"/>
            <w:hideMark/>
          </w:tcPr>
          <w:p w14:paraId="61E69D4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102,44</w:t>
            </w:r>
          </w:p>
        </w:tc>
        <w:tc>
          <w:tcPr>
            <w:tcW w:w="343" w:type="pct"/>
            <w:shd w:val="clear" w:color="auto" w:fill="auto"/>
            <w:hideMark/>
          </w:tcPr>
          <w:p w14:paraId="672BACD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103,30</w:t>
            </w:r>
          </w:p>
        </w:tc>
        <w:tc>
          <w:tcPr>
            <w:tcW w:w="299" w:type="pct"/>
            <w:shd w:val="clear" w:color="auto" w:fill="auto"/>
            <w:hideMark/>
          </w:tcPr>
          <w:p w14:paraId="11919E7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102,60</w:t>
            </w:r>
          </w:p>
        </w:tc>
        <w:tc>
          <w:tcPr>
            <w:tcW w:w="299" w:type="pct"/>
            <w:shd w:val="clear" w:color="auto" w:fill="auto"/>
            <w:hideMark/>
          </w:tcPr>
          <w:p w14:paraId="1A796BE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100,76</w:t>
            </w:r>
          </w:p>
        </w:tc>
        <w:tc>
          <w:tcPr>
            <w:tcW w:w="299" w:type="pct"/>
            <w:shd w:val="clear" w:color="auto" w:fill="auto"/>
            <w:hideMark/>
          </w:tcPr>
          <w:p w14:paraId="3F2DAF5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104,30</w:t>
            </w:r>
          </w:p>
        </w:tc>
        <w:tc>
          <w:tcPr>
            <w:tcW w:w="325" w:type="pct"/>
            <w:shd w:val="clear" w:color="auto" w:fill="auto"/>
            <w:hideMark/>
          </w:tcPr>
          <w:p w14:paraId="56ABC94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100,18</w:t>
            </w:r>
          </w:p>
        </w:tc>
        <w:tc>
          <w:tcPr>
            <w:tcW w:w="433" w:type="pct"/>
            <w:hideMark/>
          </w:tcPr>
          <w:p w14:paraId="1755CFF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100,46</w:t>
            </w:r>
          </w:p>
        </w:tc>
        <w:tc>
          <w:tcPr>
            <w:tcW w:w="299" w:type="pct"/>
            <w:hideMark/>
          </w:tcPr>
          <w:p w14:paraId="5217CD0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119,59</w:t>
            </w:r>
          </w:p>
        </w:tc>
      </w:tr>
      <w:tr w:rsidR="003F4CFF" w:rsidRPr="0069184F" w14:paraId="54A7C1C9" w14:textId="77777777" w:rsidTr="003F4CFF">
        <w:trPr>
          <w:trHeight w:val="57"/>
          <w:jc w:val="center"/>
        </w:trPr>
        <w:tc>
          <w:tcPr>
            <w:tcW w:w="154" w:type="pct"/>
            <w:hideMark/>
          </w:tcPr>
          <w:p w14:paraId="2810AA0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18</w:t>
            </w:r>
          </w:p>
        </w:tc>
        <w:tc>
          <w:tcPr>
            <w:tcW w:w="928" w:type="pct"/>
            <w:shd w:val="clear" w:color="auto" w:fill="auto"/>
            <w:hideMark/>
          </w:tcPr>
          <w:p w14:paraId="225757C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Крупа гречневая-ядрица, кг</w:t>
            </w:r>
          </w:p>
        </w:tc>
        <w:tc>
          <w:tcPr>
            <w:tcW w:w="299" w:type="pct"/>
            <w:shd w:val="clear" w:color="auto" w:fill="auto"/>
            <w:hideMark/>
          </w:tcPr>
          <w:p w14:paraId="0BCE946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59,14</w:t>
            </w:r>
          </w:p>
        </w:tc>
        <w:tc>
          <w:tcPr>
            <w:tcW w:w="299" w:type="pct"/>
            <w:shd w:val="clear" w:color="auto" w:fill="auto"/>
            <w:hideMark/>
          </w:tcPr>
          <w:p w14:paraId="0F21097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83,96</w:t>
            </w:r>
          </w:p>
        </w:tc>
        <w:tc>
          <w:tcPr>
            <w:tcW w:w="334" w:type="pct"/>
            <w:shd w:val="clear" w:color="auto" w:fill="auto"/>
            <w:hideMark/>
          </w:tcPr>
          <w:p w14:paraId="0174FB5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101,97</w:t>
            </w:r>
          </w:p>
        </w:tc>
        <w:tc>
          <w:tcPr>
            <w:tcW w:w="390" w:type="pct"/>
            <w:shd w:val="clear" w:color="auto" w:fill="auto"/>
            <w:hideMark/>
          </w:tcPr>
          <w:p w14:paraId="7FDAFBA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104,79</w:t>
            </w:r>
          </w:p>
        </w:tc>
        <w:tc>
          <w:tcPr>
            <w:tcW w:w="299" w:type="pct"/>
            <w:shd w:val="clear" w:color="auto" w:fill="auto"/>
            <w:hideMark/>
          </w:tcPr>
          <w:p w14:paraId="0EF5986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100,02</w:t>
            </w:r>
          </w:p>
        </w:tc>
        <w:tc>
          <w:tcPr>
            <w:tcW w:w="343" w:type="pct"/>
            <w:shd w:val="clear" w:color="auto" w:fill="auto"/>
            <w:hideMark/>
          </w:tcPr>
          <w:p w14:paraId="7EE47F2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106,46</w:t>
            </w:r>
          </w:p>
        </w:tc>
        <w:tc>
          <w:tcPr>
            <w:tcW w:w="299" w:type="pct"/>
            <w:shd w:val="clear" w:color="auto" w:fill="auto"/>
            <w:hideMark/>
          </w:tcPr>
          <w:p w14:paraId="1EEF164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97,37</w:t>
            </w:r>
          </w:p>
        </w:tc>
        <w:tc>
          <w:tcPr>
            <w:tcW w:w="299" w:type="pct"/>
            <w:shd w:val="clear" w:color="auto" w:fill="auto"/>
            <w:hideMark/>
          </w:tcPr>
          <w:p w14:paraId="55362EE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100,36</w:t>
            </w:r>
          </w:p>
        </w:tc>
        <w:tc>
          <w:tcPr>
            <w:tcW w:w="299" w:type="pct"/>
            <w:shd w:val="clear" w:color="auto" w:fill="auto"/>
            <w:hideMark/>
          </w:tcPr>
          <w:p w14:paraId="1AB24BF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100,92</w:t>
            </w:r>
          </w:p>
        </w:tc>
        <w:tc>
          <w:tcPr>
            <w:tcW w:w="325" w:type="pct"/>
            <w:shd w:val="clear" w:color="auto" w:fill="auto"/>
            <w:hideMark/>
          </w:tcPr>
          <w:p w14:paraId="4518A90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98,18</w:t>
            </w:r>
          </w:p>
        </w:tc>
        <w:tc>
          <w:tcPr>
            <w:tcW w:w="433" w:type="pct"/>
            <w:hideMark/>
          </w:tcPr>
          <w:p w14:paraId="5E19662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98,64</w:t>
            </w:r>
          </w:p>
        </w:tc>
        <w:tc>
          <w:tcPr>
            <w:tcW w:w="299" w:type="pct"/>
            <w:hideMark/>
          </w:tcPr>
          <w:p w14:paraId="0F6FF21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108,68</w:t>
            </w:r>
          </w:p>
        </w:tc>
      </w:tr>
      <w:tr w:rsidR="003F4CFF" w:rsidRPr="0069184F" w14:paraId="4C0C1170" w14:textId="77777777" w:rsidTr="003F4CFF">
        <w:trPr>
          <w:trHeight w:val="57"/>
          <w:jc w:val="center"/>
        </w:trPr>
        <w:tc>
          <w:tcPr>
            <w:tcW w:w="154" w:type="pct"/>
            <w:hideMark/>
          </w:tcPr>
          <w:p w14:paraId="42C21CE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19</w:t>
            </w:r>
          </w:p>
        </w:tc>
        <w:tc>
          <w:tcPr>
            <w:tcW w:w="928" w:type="pct"/>
            <w:shd w:val="clear" w:color="auto" w:fill="auto"/>
            <w:hideMark/>
          </w:tcPr>
          <w:p w14:paraId="2BDB9E7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Вермишель, кг</w:t>
            </w:r>
          </w:p>
        </w:tc>
        <w:tc>
          <w:tcPr>
            <w:tcW w:w="299" w:type="pct"/>
            <w:shd w:val="clear" w:color="auto" w:fill="auto"/>
            <w:hideMark/>
          </w:tcPr>
          <w:p w14:paraId="235A045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97,53</w:t>
            </w:r>
          </w:p>
        </w:tc>
        <w:tc>
          <w:tcPr>
            <w:tcW w:w="299" w:type="pct"/>
            <w:shd w:val="clear" w:color="auto" w:fill="auto"/>
            <w:hideMark/>
          </w:tcPr>
          <w:p w14:paraId="4F64FBF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109,84</w:t>
            </w:r>
          </w:p>
        </w:tc>
        <w:tc>
          <w:tcPr>
            <w:tcW w:w="334" w:type="pct"/>
            <w:shd w:val="clear" w:color="auto" w:fill="auto"/>
            <w:hideMark/>
          </w:tcPr>
          <w:p w14:paraId="7022BFF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107,52</w:t>
            </w:r>
          </w:p>
        </w:tc>
        <w:tc>
          <w:tcPr>
            <w:tcW w:w="390" w:type="pct"/>
            <w:shd w:val="clear" w:color="auto" w:fill="auto"/>
            <w:hideMark/>
          </w:tcPr>
          <w:p w14:paraId="002C52E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100,24</w:t>
            </w:r>
          </w:p>
        </w:tc>
        <w:tc>
          <w:tcPr>
            <w:tcW w:w="299" w:type="pct"/>
            <w:shd w:val="clear" w:color="auto" w:fill="auto"/>
            <w:hideMark/>
          </w:tcPr>
          <w:p w14:paraId="3F74794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96,04</w:t>
            </w:r>
          </w:p>
        </w:tc>
        <w:tc>
          <w:tcPr>
            <w:tcW w:w="343" w:type="pct"/>
            <w:shd w:val="clear" w:color="auto" w:fill="auto"/>
            <w:hideMark/>
          </w:tcPr>
          <w:p w14:paraId="725C5B3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102,49</w:t>
            </w:r>
          </w:p>
        </w:tc>
        <w:tc>
          <w:tcPr>
            <w:tcW w:w="299" w:type="pct"/>
            <w:shd w:val="clear" w:color="auto" w:fill="auto"/>
            <w:hideMark/>
          </w:tcPr>
          <w:p w14:paraId="5C24932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100,78</w:t>
            </w:r>
          </w:p>
        </w:tc>
        <w:tc>
          <w:tcPr>
            <w:tcW w:w="299" w:type="pct"/>
            <w:shd w:val="clear" w:color="auto" w:fill="auto"/>
            <w:hideMark/>
          </w:tcPr>
          <w:p w14:paraId="022E9D0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99,91</w:t>
            </w:r>
          </w:p>
        </w:tc>
        <w:tc>
          <w:tcPr>
            <w:tcW w:w="299" w:type="pct"/>
            <w:shd w:val="clear" w:color="auto" w:fill="auto"/>
            <w:hideMark/>
          </w:tcPr>
          <w:p w14:paraId="514B0F8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103,08</w:t>
            </w:r>
          </w:p>
        </w:tc>
        <w:tc>
          <w:tcPr>
            <w:tcW w:w="325" w:type="pct"/>
            <w:shd w:val="clear" w:color="auto" w:fill="auto"/>
            <w:hideMark/>
          </w:tcPr>
          <w:p w14:paraId="479F7CC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99,14</w:t>
            </w:r>
          </w:p>
        </w:tc>
        <w:tc>
          <w:tcPr>
            <w:tcW w:w="433" w:type="pct"/>
            <w:hideMark/>
          </w:tcPr>
          <w:p w14:paraId="4C8364E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100,24</w:t>
            </w:r>
          </w:p>
        </w:tc>
        <w:tc>
          <w:tcPr>
            <w:tcW w:w="299" w:type="pct"/>
            <w:hideMark/>
          </w:tcPr>
          <w:p w14:paraId="67C357C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109,43</w:t>
            </w:r>
          </w:p>
        </w:tc>
      </w:tr>
      <w:tr w:rsidR="003F4CFF" w:rsidRPr="0069184F" w14:paraId="78697DDF" w14:textId="77777777" w:rsidTr="003F4CFF">
        <w:trPr>
          <w:trHeight w:val="57"/>
          <w:jc w:val="center"/>
        </w:trPr>
        <w:tc>
          <w:tcPr>
            <w:tcW w:w="154" w:type="pct"/>
            <w:hideMark/>
          </w:tcPr>
          <w:p w14:paraId="0605D7D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20</w:t>
            </w:r>
          </w:p>
        </w:tc>
        <w:tc>
          <w:tcPr>
            <w:tcW w:w="928" w:type="pct"/>
            <w:shd w:val="clear" w:color="auto" w:fill="auto"/>
            <w:hideMark/>
          </w:tcPr>
          <w:p w14:paraId="2936515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Картофель, кг</w:t>
            </w:r>
          </w:p>
        </w:tc>
        <w:tc>
          <w:tcPr>
            <w:tcW w:w="299" w:type="pct"/>
            <w:shd w:val="clear" w:color="auto" w:fill="auto"/>
            <w:hideMark/>
          </w:tcPr>
          <w:p w14:paraId="23DC12B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126,59</w:t>
            </w:r>
          </w:p>
        </w:tc>
        <w:tc>
          <w:tcPr>
            <w:tcW w:w="299" w:type="pct"/>
            <w:shd w:val="clear" w:color="auto" w:fill="auto"/>
            <w:hideMark/>
          </w:tcPr>
          <w:p w14:paraId="4CC787B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87,38</w:t>
            </w:r>
          </w:p>
        </w:tc>
        <w:tc>
          <w:tcPr>
            <w:tcW w:w="334" w:type="pct"/>
            <w:shd w:val="clear" w:color="auto" w:fill="auto"/>
            <w:hideMark/>
          </w:tcPr>
          <w:p w14:paraId="1DAF6EE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100,10</w:t>
            </w:r>
          </w:p>
        </w:tc>
        <w:tc>
          <w:tcPr>
            <w:tcW w:w="390" w:type="pct"/>
            <w:shd w:val="clear" w:color="auto" w:fill="auto"/>
            <w:hideMark/>
          </w:tcPr>
          <w:p w14:paraId="6E3D3B9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105,94</w:t>
            </w:r>
          </w:p>
        </w:tc>
        <w:tc>
          <w:tcPr>
            <w:tcW w:w="299" w:type="pct"/>
            <w:shd w:val="clear" w:color="auto" w:fill="auto"/>
            <w:hideMark/>
          </w:tcPr>
          <w:p w14:paraId="3E244D9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98,68</w:t>
            </w:r>
          </w:p>
        </w:tc>
        <w:tc>
          <w:tcPr>
            <w:tcW w:w="343" w:type="pct"/>
            <w:shd w:val="clear" w:color="auto" w:fill="auto"/>
            <w:hideMark/>
          </w:tcPr>
          <w:p w14:paraId="11C0D6F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92,31</w:t>
            </w:r>
          </w:p>
        </w:tc>
        <w:tc>
          <w:tcPr>
            <w:tcW w:w="299" w:type="pct"/>
            <w:shd w:val="clear" w:color="auto" w:fill="auto"/>
            <w:hideMark/>
          </w:tcPr>
          <w:p w14:paraId="2E02D3E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120,07</w:t>
            </w:r>
          </w:p>
        </w:tc>
        <w:tc>
          <w:tcPr>
            <w:tcW w:w="299" w:type="pct"/>
            <w:shd w:val="clear" w:color="auto" w:fill="auto"/>
            <w:hideMark/>
          </w:tcPr>
          <w:p w14:paraId="3D877A5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114,52</w:t>
            </w:r>
          </w:p>
        </w:tc>
        <w:tc>
          <w:tcPr>
            <w:tcW w:w="299" w:type="pct"/>
            <w:shd w:val="clear" w:color="auto" w:fill="auto"/>
            <w:hideMark/>
          </w:tcPr>
          <w:p w14:paraId="116E25E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131,30</w:t>
            </w:r>
          </w:p>
        </w:tc>
        <w:tc>
          <w:tcPr>
            <w:tcW w:w="325" w:type="pct"/>
            <w:shd w:val="clear" w:color="auto" w:fill="auto"/>
            <w:hideMark/>
          </w:tcPr>
          <w:p w14:paraId="49B0691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86,36</w:t>
            </w:r>
          </w:p>
        </w:tc>
        <w:tc>
          <w:tcPr>
            <w:tcW w:w="433" w:type="pct"/>
            <w:hideMark/>
          </w:tcPr>
          <w:p w14:paraId="0FBC088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59,46</w:t>
            </w:r>
          </w:p>
        </w:tc>
        <w:tc>
          <w:tcPr>
            <w:tcW w:w="299" w:type="pct"/>
            <w:hideMark/>
          </w:tcPr>
          <w:p w14:paraId="3B9FB18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89,56</w:t>
            </w:r>
          </w:p>
        </w:tc>
      </w:tr>
      <w:tr w:rsidR="003F4CFF" w:rsidRPr="0069184F" w14:paraId="5653D438" w14:textId="77777777" w:rsidTr="003F4CFF">
        <w:trPr>
          <w:trHeight w:val="57"/>
          <w:jc w:val="center"/>
        </w:trPr>
        <w:tc>
          <w:tcPr>
            <w:tcW w:w="154" w:type="pct"/>
            <w:hideMark/>
          </w:tcPr>
          <w:p w14:paraId="020ED65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21</w:t>
            </w:r>
          </w:p>
        </w:tc>
        <w:tc>
          <w:tcPr>
            <w:tcW w:w="928" w:type="pct"/>
            <w:shd w:val="clear" w:color="auto" w:fill="auto"/>
            <w:hideMark/>
          </w:tcPr>
          <w:p w14:paraId="0E40901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Капуста белокочанная свежая, кг</w:t>
            </w:r>
          </w:p>
        </w:tc>
        <w:tc>
          <w:tcPr>
            <w:tcW w:w="299" w:type="pct"/>
            <w:shd w:val="clear" w:color="auto" w:fill="auto"/>
            <w:hideMark/>
          </w:tcPr>
          <w:p w14:paraId="5DE53BD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93,09</w:t>
            </w:r>
          </w:p>
        </w:tc>
        <w:tc>
          <w:tcPr>
            <w:tcW w:w="299" w:type="pct"/>
            <w:shd w:val="clear" w:color="auto" w:fill="auto"/>
            <w:hideMark/>
          </w:tcPr>
          <w:p w14:paraId="3E369F3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120,12</w:t>
            </w:r>
          </w:p>
        </w:tc>
        <w:tc>
          <w:tcPr>
            <w:tcW w:w="334" w:type="pct"/>
            <w:shd w:val="clear" w:color="auto" w:fill="auto"/>
            <w:hideMark/>
          </w:tcPr>
          <w:p w14:paraId="5088076E"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115,77</w:t>
            </w:r>
          </w:p>
        </w:tc>
        <w:tc>
          <w:tcPr>
            <w:tcW w:w="390" w:type="pct"/>
            <w:shd w:val="clear" w:color="auto" w:fill="auto"/>
            <w:hideMark/>
          </w:tcPr>
          <w:p w14:paraId="0D91F51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131,37</w:t>
            </w:r>
          </w:p>
        </w:tc>
        <w:tc>
          <w:tcPr>
            <w:tcW w:w="299" w:type="pct"/>
            <w:shd w:val="clear" w:color="auto" w:fill="auto"/>
            <w:hideMark/>
          </w:tcPr>
          <w:p w14:paraId="3374E71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144,97</w:t>
            </w:r>
          </w:p>
        </w:tc>
        <w:tc>
          <w:tcPr>
            <w:tcW w:w="343" w:type="pct"/>
            <w:shd w:val="clear" w:color="auto" w:fill="auto"/>
            <w:hideMark/>
          </w:tcPr>
          <w:p w14:paraId="26D27F3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122,65</w:t>
            </w:r>
          </w:p>
        </w:tc>
        <w:tc>
          <w:tcPr>
            <w:tcW w:w="299" w:type="pct"/>
            <w:shd w:val="clear" w:color="auto" w:fill="auto"/>
            <w:hideMark/>
          </w:tcPr>
          <w:p w14:paraId="7466AE8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102,61</w:t>
            </w:r>
          </w:p>
        </w:tc>
        <w:tc>
          <w:tcPr>
            <w:tcW w:w="299" w:type="pct"/>
            <w:shd w:val="clear" w:color="auto" w:fill="auto"/>
            <w:hideMark/>
          </w:tcPr>
          <w:p w14:paraId="22434E1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50,04</w:t>
            </w:r>
          </w:p>
        </w:tc>
        <w:tc>
          <w:tcPr>
            <w:tcW w:w="299" w:type="pct"/>
            <w:shd w:val="clear" w:color="auto" w:fill="auto"/>
            <w:hideMark/>
          </w:tcPr>
          <w:p w14:paraId="0B16729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73,70</w:t>
            </w:r>
          </w:p>
        </w:tc>
        <w:tc>
          <w:tcPr>
            <w:tcW w:w="325" w:type="pct"/>
            <w:shd w:val="clear" w:color="auto" w:fill="auto"/>
            <w:hideMark/>
          </w:tcPr>
          <w:p w14:paraId="7736B5D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95,62</w:t>
            </w:r>
          </w:p>
        </w:tc>
        <w:tc>
          <w:tcPr>
            <w:tcW w:w="433" w:type="pct"/>
            <w:hideMark/>
          </w:tcPr>
          <w:p w14:paraId="08EBC32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81,89</w:t>
            </w:r>
          </w:p>
        </w:tc>
        <w:tc>
          <w:tcPr>
            <w:tcW w:w="299" w:type="pct"/>
            <w:hideMark/>
          </w:tcPr>
          <w:p w14:paraId="57AB010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80,14</w:t>
            </w:r>
          </w:p>
        </w:tc>
      </w:tr>
      <w:tr w:rsidR="003F4CFF" w:rsidRPr="0069184F" w14:paraId="7842C99A" w14:textId="77777777" w:rsidTr="003F4CFF">
        <w:trPr>
          <w:trHeight w:val="57"/>
          <w:jc w:val="center"/>
        </w:trPr>
        <w:tc>
          <w:tcPr>
            <w:tcW w:w="154" w:type="pct"/>
            <w:hideMark/>
          </w:tcPr>
          <w:p w14:paraId="69013E4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22</w:t>
            </w:r>
          </w:p>
        </w:tc>
        <w:tc>
          <w:tcPr>
            <w:tcW w:w="928" w:type="pct"/>
            <w:shd w:val="clear" w:color="auto" w:fill="auto"/>
            <w:hideMark/>
          </w:tcPr>
          <w:p w14:paraId="6FBF5D7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Лук репчатый, кг</w:t>
            </w:r>
          </w:p>
        </w:tc>
        <w:tc>
          <w:tcPr>
            <w:tcW w:w="299" w:type="pct"/>
            <w:shd w:val="clear" w:color="auto" w:fill="auto"/>
            <w:hideMark/>
          </w:tcPr>
          <w:p w14:paraId="1B71B47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111,10</w:t>
            </w:r>
          </w:p>
        </w:tc>
        <w:tc>
          <w:tcPr>
            <w:tcW w:w="299" w:type="pct"/>
            <w:shd w:val="clear" w:color="auto" w:fill="auto"/>
            <w:hideMark/>
          </w:tcPr>
          <w:p w14:paraId="7424F40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85,12</w:t>
            </w:r>
          </w:p>
        </w:tc>
        <w:tc>
          <w:tcPr>
            <w:tcW w:w="334" w:type="pct"/>
            <w:shd w:val="clear" w:color="auto" w:fill="auto"/>
            <w:hideMark/>
          </w:tcPr>
          <w:p w14:paraId="48B360C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102,78</w:t>
            </w:r>
          </w:p>
        </w:tc>
        <w:tc>
          <w:tcPr>
            <w:tcW w:w="390" w:type="pct"/>
            <w:shd w:val="clear" w:color="auto" w:fill="auto"/>
            <w:hideMark/>
          </w:tcPr>
          <w:p w14:paraId="2493914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109,07</w:t>
            </w:r>
          </w:p>
        </w:tc>
        <w:tc>
          <w:tcPr>
            <w:tcW w:w="299" w:type="pct"/>
            <w:shd w:val="clear" w:color="auto" w:fill="auto"/>
            <w:hideMark/>
          </w:tcPr>
          <w:p w14:paraId="4C38F70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124,58</w:t>
            </w:r>
          </w:p>
        </w:tc>
        <w:tc>
          <w:tcPr>
            <w:tcW w:w="343" w:type="pct"/>
            <w:shd w:val="clear" w:color="auto" w:fill="auto"/>
            <w:hideMark/>
          </w:tcPr>
          <w:p w14:paraId="4068D3A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98,77</w:t>
            </w:r>
          </w:p>
        </w:tc>
        <w:tc>
          <w:tcPr>
            <w:tcW w:w="299" w:type="pct"/>
            <w:shd w:val="clear" w:color="auto" w:fill="auto"/>
            <w:hideMark/>
          </w:tcPr>
          <w:p w14:paraId="108BA16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163,62</w:t>
            </w:r>
          </w:p>
        </w:tc>
        <w:tc>
          <w:tcPr>
            <w:tcW w:w="299" w:type="pct"/>
            <w:shd w:val="clear" w:color="auto" w:fill="auto"/>
            <w:hideMark/>
          </w:tcPr>
          <w:p w14:paraId="57BBC50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98,36</w:t>
            </w:r>
          </w:p>
        </w:tc>
        <w:tc>
          <w:tcPr>
            <w:tcW w:w="299" w:type="pct"/>
            <w:shd w:val="clear" w:color="auto" w:fill="auto"/>
            <w:hideMark/>
          </w:tcPr>
          <w:p w14:paraId="5983A5B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87,28</w:t>
            </w:r>
          </w:p>
        </w:tc>
        <w:tc>
          <w:tcPr>
            <w:tcW w:w="325" w:type="pct"/>
            <w:shd w:val="clear" w:color="auto" w:fill="auto"/>
            <w:hideMark/>
          </w:tcPr>
          <w:p w14:paraId="2A79527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80,66</w:t>
            </w:r>
          </w:p>
        </w:tc>
        <w:tc>
          <w:tcPr>
            <w:tcW w:w="433" w:type="pct"/>
            <w:hideMark/>
          </w:tcPr>
          <w:p w14:paraId="0B5CA7A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64,80</w:t>
            </w:r>
          </w:p>
        </w:tc>
        <w:tc>
          <w:tcPr>
            <w:tcW w:w="299" w:type="pct"/>
            <w:hideMark/>
          </w:tcPr>
          <w:p w14:paraId="7C9842A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101,25</w:t>
            </w:r>
          </w:p>
        </w:tc>
      </w:tr>
      <w:tr w:rsidR="003F4CFF" w:rsidRPr="0069184F" w14:paraId="1156D54B" w14:textId="77777777" w:rsidTr="003F4CFF">
        <w:trPr>
          <w:trHeight w:val="57"/>
          <w:jc w:val="center"/>
        </w:trPr>
        <w:tc>
          <w:tcPr>
            <w:tcW w:w="154" w:type="pct"/>
            <w:hideMark/>
          </w:tcPr>
          <w:p w14:paraId="353D025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lastRenderedPageBreak/>
              <w:t>23</w:t>
            </w:r>
          </w:p>
        </w:tc>
        <w:tc>
          <w:tcPr>
            <w:tcW w:w="928" w:type="pct"/>
            <w:hideMark/>
          </w:tcPr>
          <w:p w14:paraId="0090BFD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Морковь, кг</w:t>
            </w:r>
          </w:p>
        </w:tc>
        <w:tc>
          <w:tcPr>
            <w:tcW w:w="299" w:type="pct"/>
            <w:hideMark/>
          </w:tcPr>
          <w:p w14:paraId="4C1D7AD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101,92</w:t>
            </w:r>
          </w:p>
        </w:tc>
        <w:tc>
          <w:tcPr>
            <w:tcW w:w="299" w:type="pct"/>
            <w:hideMark/>
          </w:tcPr>
          <w:p w14:paraId="21FD959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97,01</w:t>
            </w:r>
          </w:p>
        </w:tc>
        <w:tc>
          <w:tcPr>
            <w:tcW w:w="334" w:type="pct"/>
            <w:hideMark/>
          </w:tcPr>
          <w:p w14:paraId="1860BC3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86,89</w:t>
            </w:r>
          </w:p>
        </w:tc>
        <w:tc>
          <w:tcPr>
            <w:tcW w:w="390" w:type="pct"/>
            <w:hideMark/>
          </w:tcPr>
          <w:p w14:paraId="5221553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107,10</w:t>
            </w:r>
          </w:p>
        </w:tc>
        <w:tc>
          <w:tcPr>
            <w:tcW w:w="299" w:type="pct"/>
            <w:hideMark/>
          </w:tcPr>
          <w:p w14:paraId="63CEBA2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119,33</w:t>
            </w:r>
          </w:p>
        </w:tc>
        <w:tc>
          <w:tcPr>
            <w:tcW w:w="343" w:type="pct"/>
            <w:hideMark/>
          </w:tcPr>
          <w:p w14:paraId="0CC94E1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107,77</w:t>
            </w:r>
          </w:p>
        </w:tc>
        <w:tc>
          <w:tcPr>
            <w:tcW w:w="299" w:type="pct"/>
            <w:hideMark/>
          </w:tcPr>
          <w:p w14:paraId="21C5272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125,21</w:t>
            </w:r>
          </w:p>
        </w:tc>
        <w:tc>
          <w:tcPr>
            <w:tcW w:w="299" w:type="pct"/>
            <w:hideMark/>
          </w:tcPr>
          <w:p w14:paraId="237C3E3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104,14</w:t>
            </w:r>
          </w:p>
        </w:tc>
        <w:tc>
          <w:tcPr>
            <w:tcW w:w="299" w:type="pct"/>
            <w:hideMark/>
          </w:tcPr>
          <w:p w14:paraId="706A9FA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118,09</w:t>
            </w:r>
          </w:p>
        </w:tc>
        <w:tc>
          <w:tcPr>
            <w:tcW w:w="325" w:type="pct"/>
            <w:hideMark/>
          </w:tcPr>
          <w:p w14:paraId="457C09A2"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74,28</w:t>
            </w:r>
          </w:p>
        </w:tc>
        <w:tc>
          <w:tcPr>
            <w:tcW w:w="433" w:type="pct"/>
            <w:hideMark/>
          </w:tcPr>
          <w:p w14:paraId="428A73C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63,50</w:t>
            </w:r>
          </w:p>
        </w:tc>
        <w:tc>
          <w:tcPr>
            <w:tcW w:w="299" w:type="pct"/>
            <w:hideMark/>
          </w:tcPr>
          <w:p w14:paraId="548870A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86,93</w:t>
            </w:r>
          </w:p>
        </w:tc>
      </w:tr>
      <w:tr w:rsidR="003F4CFF" w:rsidRPr="0069184F" w14:paraId="401ACF2F" w14:textId="77777777" w:rsidTr="003F4CFF">
        <w:trPr>
          <w:trHeight w:val="57"/>
          <w:jc w:val="center"/>
        </w:trPr>
        <w:tc>
          <w:tcPr>
            <w:tcW w:w="154" w:type="pct"/>
            <w:hideMark/>
          </w:tcPr>
          <w:p w14:paraId="4B41662D"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24</w:t>
            </w:r>
          </w:p>
        </w:tc>
        <w:tc>
          <w:tcPr>
            <w:tcW w:w="928" w:type="pct"/>
            <w:hideMark/>
          </w:tcPr>
          <w:p w14:paraId="26F9B493"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Яблоки, кг</w:t>
            </w:r>
          </w:p>
        </w:tc>
        <w:tc>
          <w:tcPr>
            <w:tcW w:w="299" w:type="pct"/>
            <w:hideMark/>
          </w:tcPr>
          <w:p w14:paraId="5491384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114,70</w:t>
            </w:r>
          </w:p>
        </w:tc>
        <w:tc>
          <w:tcPr>
            <w:tcW w:w="299" w:type="pct"/>
            <w:hideMark/>
          </w:tcPr>
          <w:p w14:paraId="6228E39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88,21</w:t>
            </w:r>
          </w:p>
        </w:tc>
        <w:tc>
          <w:tcPr>
            <w:tcW w:w="334" w:type="pct"/>
            <w:hideMark/>
          </w:tcPr>
          <w:p w14:paraId="55AF217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104,55</w:t>
            </w:r>
          </w:p>
        </w:tc>
        <w:tc>
          <w:tcPr>
            <w:tcW w:w="390" w:type="pct"/>
            <w:hideMark/>
          </w:tcPr>
          <w:p w14:paraId="3AA3D2B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99,88</w:t>
            </w:r>
          </w:p>
        </w:tc>
        <w:tc>
          <w:tcPr>
            <w:tcW w:w="299" w:type="pct"/>
            <w:hideMark/>
          </w:tcPr>
          <w:p w14:paraId="39D83D7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97,22</w:t>
            </w:r>
          </w:p>
        </w:tc>
        <w:tc>
          <w:tcPr>
            <w:tcW w:w="343" w:type="pct"/>
            <w:hideMark/>
          </w:tcPr>
          <w:p w14:paraId="37BB609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101,91</w:t>
            </w:r>
          </w:p>
        </w:tc>
        <w:tc>
          <w:tcPr>
            <w:tcW w:w="299" w:type="pct"/>
            <w:hideMark/>
          </w:tcPr>
          <w:p w14:paraId="2A75509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107,10</w:t>
            </w:r>
          </w:p>
        </w:tc>
        <w:tc>
          <w:tcPr>
            <w:tcW w:w="299" w:type="pct"/>
            <w:hideMark/>
          </w:tcPr>
          <w:p w14:paraId="71A121C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104,84</w:t>
            </w:r>
          </w:p>
        </w:tc>
        <w:tc>
          <w:tcPr>
            <w:tcW w:w="299" w:type="pct"/>
            <w:hideMark/>
          </w:tcPr>
          <w:p w14:paraId="4D9A556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102,64</w:t>
            </w:r>
          </w:p>
        </w:tc>
        <w:tc>
          <w:tcPr>
            <w:tcW w:w="325" w:type="pct"/>
            <w:hideMark/>
          </w:tcPr>
          <w:p w14:paraId="34CAC5DB"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101,22</w:t>
            </w:r>
          </w:p>
        </w:tc>
        <w:tc>
          <w:tcPr>
            <w:tcW w:w="433" w:type="pct"/>
            <w:hideMark/>
          </w:tcPr>
          <w:p w14:paraId="621524F1"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83,25</w:t>
            </w:r>
          </w:p>
        </w:tc>
        <w:tc>
          <w:tcPr>
            <w:tcW w:w="299" w:type="pct"/>
            <w:hideMark/>
          </w:tcPr>
          <w:p w14:paraId="60372F34"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100,48</w:t>
            </w:r>
          </w:p>
        </w:tc>
      </w:tr>
      <w:tr w:rsidR="003F4CFF" w:rsidRPr="0069184F" w14:paraId="5B8FDCEF" w14:textId="77777777" w:rsidTr="003F4CFF">
        <w:trPr>
          <w:trHeight w:val="57"/>
          <w:jc w:val="center"/>
        </w:trPr>
        <w:tc>
          <w:tcPr>
            <w:tcW w:w="154" w:type="pct"/>
          </w:tcPr>
          <w:p w14:paraId="5F8B0A20" w14:textId="77777777" w:rsidR="003F4CFF" w:rsidRPr="00912A6B" w:rsidRDefault="003F4CFF" w:rsidP="003F4CFF">
            <w:pPr>
              <w:rPr>
                <w:rFonts w:ascii="Times New Roman" w:hAnsi="Times New Roman" w:cs="Times New Roman"/>
                <w:sz w:val="20"/>
                <w:szCs w:val="20"/>
              </w:rPr>
            </w:pPr>
          </w:p>
        </w:tc>
        <w:tc>
          <w:tcPr>
            <w:tcW w:w="928" w:type="pct"/>
            <w:hideMark/>
          </w:tcPr>
          <w:p w14:paraId="74105579"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Продовольственные товары первой необходимости в целом</w:t>
            </w:r>
          </w:p>
        </w:tc>
        <w:tc>
          <w:tcPr>
            <w:tcW w:w="299" w:type="pct"/>
            <w:hideMark/>
          </w:tcPr>
          <w:p w14:paraId="31ABF9B8"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97,70</w:t>
            </w:r>
          </w:p>
        </w:tc>
        <w:tc>
          <w:tcPr>
            <w:tcW w:w="299" w:type="pct"/>
            <w:hideMark/>
          </w:tcPr>
          <w:p w14:paraId="2D97DDF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107,80</w:t>
            </w:r>
          </w:p>
        </w:tc>
        <w:tc>
          <w:tcPr>
            <w:tcW w:w="334" w:type="pct"/>
            <w:hideMark/>
          </w:tcPr>
          <w:p w14:paraId="362A0EB7"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101,58</w:t>
            </w:r>
          </w:p>
        </w:tc>
        <w:tc>
          <w:tcPr>
            <w:tcW w:w="390" w:type="pct"/>
            <w:hideMark/>
          </w:tcPr>
          <w:p w14:paraId="068343B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103,14</w:t>
            </w:r>
          </w:p>
        </w:tc>
        <w:tc>
          <w:tcPr>
            <w:tcW w:w="299" w:type="pct"/>
            <w:hideMark/>
          </w:tcPr>
          <w:p w14:paraId="74CAB1E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103,70</w:t>
            </w:r>
          </w:p>
        </w:tc>
        <w:tc>
          <w:tcPr>
            <w:tcW w:w="343" w:type="pct"/>
            <w:hideMark/>
          </w:tcPr>
          <w:p w14:paraId="1F16E71F"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101,71</w:t>
            </w:r>
          </w:p>
        </w:tc>
        <w:tc>
          <w:tcPr>
            <w:tcW w:w="299" w:type="pct"/>
            <w:hideMark/>
          </w:tcPr>
          <w:p w14:paraId="4CAD56C5"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104,97</w:t>
            </w:r>
          </w:p>
        </w:tc>
        <w:tc>
          <w:tcPr>
            <w:tcW w:w="299" w:type="pct"/>
            <w:hideMark/>
          </w:tcPr>
          <w:p w14:paraId="30E69A7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98,86</w:t>
            </w:r>
          </w:p>
        </w:tc>
        <w:tc>
          <w:tcPr>
            <w:tcW w:w="299" w:type="pct"/>
            <w:hideMark/>
          </w:tcPr>
          <w:p w14:paraId="19C15580"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100,80</w:t>
            </w:r>
          </w:p>
        </w:tc>
        <w:tc>
          <w:tcPr>
            <w:tcW w:w="325" w:type="pct"/>
            <w:hideMark/>
          </w:tcPr>
          <w:p w14:paraId="28F9C9CC"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98,05</w:t>
            </w:r>
          </w:p>
        </w:tc>
        <w:tc>
          <w:tcPr>
            <w:tcW w:w="433" w:type="pct"/>
            <w:hideMark/>
          </w:tcPr>
          <w:p w14:paraId="11BF56BA"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93,33</w:t>
            </w:r>
          </w:p>
        </w:tc>
        <w:tc>
          <w:tcPr>
            <w:tcW w:w="299" w:type="pct"/>
            <w:hideMark/>
          </w:tcPr>
          <w:p w14:paraId="746ED936" w14:textId="77777777" w:rsidR="003F4CFF" w:rsidRPr="00912A6B" w:rsidRDefault="003F4CFF" w:rsidP="003F4CFF">
            <w:pPr>
              <w:rPr>
                <w:rFonts w:ascii="Times New Roman" w:hAnsi="Times New Roman" w:cs="Times New Roman"/>
                <w:sz w:val="20"/>
                <w:szCs w:val="20"/>
              </w:rPr>
            </w:pPr>
            <w:r w:rsidRPr="00912A6B">
              <w:rPr>
                <w:rFonts w:ascii="Times New Roman" w:hAnsi="Times New Roman" w:cs="Times New Roman"/>
                <w:sz w:val="20"/>
                <w:szCs w:val="20"/>
              </w:rPr>
              <w:t>101,83</w:t>
            </w:r>
          </w:p>
        </w:tc>
      </w:tr>
    </w:tbl>
    <w:p w14:paraId="391BA174" w14:textId="77777777" w:rsidR="00BE2FD7" w:rsidRDefault="00BE2FD7" w:rsidP="00BE2FD7">
      <w:bookmarkStart w:id="102" w:name="_Toc31983983"/>
      <w:bookmarkStart w:id="103" w:name="_Toc32240323"/>
      <w:bookmarkStart w:id="104" w:name="_Toc32421908"/>
    </w:p>
    <w:p w14:paraId="740DB6CE" w14:textId="77777777" w:rsidR="004D3A67" w:rsidRDefault="004D3A67" w:rsidP="003F4CFF">
      <w:pPr>
        <w:pStyle w:val="ac"/>
        <w:ind w:firstLine="567"/>
        <w:jc w:val="both"/>
        <w:outlineLvl w:val="2"/>
        <w:rPr>
          <w:rFonts w:ascii="Times New Roman" w:hAnsi="Times New Roman"/>
          <w:b/>
        </w:rPr>
        <w:sectPr w:rsidR="004D3A67" w:rsidSect="004D3A67">
          <w:type w:val="continuous"/>
          <w:pgSz w:w="16838" w:h="11906" w:orient="landscape" w:code="9"/>
          <w:pgMar w:top="1418" w:right="1134" w:bottom="567" w:left="1134" w:header="709" w:footer="709" w:gutter="0"/>
          <w:cols w:space="708"/>
          <w:docGrid w:linePitch="360"/>
        </w:sectPr>
      </w:pPr>
    </w:p>
    <w:p w14:paraId="4D2AEA9B" w14:textId="77777777" w:rsidR="003F4CFF" w:rsidRPr="00F732D1" w:rsidRDefault="003F4CFF" w:rsidP="003F4CFF">
      <w:pPr>
        <w:pStyle w:val="ac"/>
        <w:ind w:firstLine="567"/>
        <w:jc w:val="both"/>
        <w:outlineLvl w:val="2"/>
        <w:rPr>
          <w:rFonts w:ascii="Times New Roman" w:hAnsi="Times New Roman"/>
          <w:b/>
        </w:rPr>
      </w:pPr>
      <w:bookmarkStart w:id="105" w:name="_Toc34129187"/>
      <w:r>
        <w:rPr>
          <w:rFonts w:ascii="Times New Roman" w:hAnsi="Times New Roman"/>
          <w:b/>
        </w:rPr>
        <w:lastRenderedPageBreak/>
        <w:t>2</w:t>
      </w:r>
      <w:r w:rsidRPr="00F732D1">
        <w:rPr>
          <w:rFonts w:ascii="Times New Roman" w:hAnsi="Times New Roman"/>
          <w:b/>
        </w:rPr>
        <w:t>.3.10. Результаты мониторинга логистических возможностей суб</w:t>
      </w:r>
      <w:r>
        <w:rPr>
          <w:rFonts w:ascii="Times New Roman" w:hAnsi="Times New Roman"/>
          <w:b/>
        </w:rPr>
        <w:t>ъекта Российской Федерации</w:t>
      </w:r>
      <w:bookmarkEnd w:id="102"/>
      <w:bookmarkEnd w:id="103"/>
      <w:bookmarkEnd w:id="104"/>
      <w:bookmarkEnd w:id="105"/>
    </w:p>
    <w:p w14:paraId="02771A33" w14:textId="17A6D2D2" w:rsidR="003F4CFF" w:rsidRPr="003C40A8" w:rsidRDefault="003F4CFF" w:rsidP="00E649D8">
      <w:pPr>
        <w:ind w:right="-2" w:firstLine="567"/>
        <w:jc w:val="both"/>
        <w:rPr>
          <w:rFonts w:ascii="Times New Roman" w:hAnsi="Times New Roman" w:cs="Times New Roman"/>
          <w:sz w:val="28"/>
          <w:szCs w:val="28"/>
        </w:rPr>
      </w:pPr>
      <w:r w:rsidRPr="0069184F">
        <w:rPr>
          <w:rFonts w:ascii="Times New Roman" w:hAnsi="Times New Roman" w:cs="Times New Roman"/>
          <w:b/>
          <w:sz w:val="28"/>
          <w:szCs w:val="28"/>
        </w:rPr>
        <w:t>Уровень развития автодорожной инфраструктуры в Новосибирской области и субъектах РФ, имеющих общие территориальные границы с Новосибирской областью</w:t>
      </w:r>
      <w:r>
        <w:rPr>
          <w:rFonts w:ascii="Times New Roman" w:hAnsi="Times New Roman" w:cs="Times New Roman"/>
          <w:b/>
          <w:sz w:val="28"/>
          <w:szCs w:val="28"/>
        </w:rPr>
        <w:t xml:space="preserve">. </w:t>
      </w:r>
      <w:r w:rsidRPr="0069184F">
        <w:rPr>
          <w:rFonts w:ascii="Times New Roman" w:hAnsi="Times New Roman" w:cs="Times New Roman"/>
          <w:sz w:val="28"/>
          <w:szCs w:val="28"/>
        </w:rPr>
        <w:t xml:space="preserve">Удельный вес автомобильных дорог с твердым покрытием в общей протяженности автомобильных дорог Новосибирской области – 70,6%, что выше среднероссийского показателя в 70,4%, но вместе с тем меньше аналогичного показателя, рассчитанного для Сибирского федерального округа (71,5%). За период с 2016 по 2018 годы показатель динамики удельного веса автомобильных дорог с твердым покрытием практически не изменился, показав незначительный рост в 0,8%. </w:t>
      </w:r>
      <w:r w:rsidRPr="003C40A8">
        <w:rPr>
          <w:rFonts w:ascii="Times New Roman" w:hAnsi="Times New Roman" w:cs="Times New Roman"/>
          <w:sz w:val="28"/>
          <w:szCs w:val="28"/>
        </w:rPr>
        <w:t xml:space="preserve">Удельный вес автомобильных дорог с усовершенствованным покрытием в протяженности автомобильных дорог с твердым покрытием Новосибирской области на начало 2019 года составляет 45,1% и практически не менялся за период 2016–2018 гг. Это меньше, чем в среднем по России (62,2%) и незначительно меньше среднего показателя для Сибирского федерального округа (48,2%). </w:t>
      </w:r>
      <w:r w:rsidRPr="0069184F">
        <w:rPr>
          <w:rFonts w:ascii="Times New Roman" w:hAnsi="Times New Roman" w:cs="Times New Roman"/>
          <w:sz w:val="28"/>
          <w:szCs w:val="28"/>
        </w:rPr>
        <w:t>Если сравнивать удельный вес автомобильных дорог с твердым покрытием в Новосибирской области и соседних с ней регионах РФ, то можно отметить превосходст</w:t>
      </w:r>
      <w:r>
        <w:rPr>
          <w:rFonts w:ascii="Times New Roman" w:hAnsi="Times New Roman" w:cs="Times New Roman"/>
          <w:sz w:val="28"/>
          <w:szCs w:val="28"/>
        </w:rPr>
        <w:t xml:space="preserve">во Кемеровской области (83,1%) </w:t>
      </w:r>
      <w:r w:rsidRPr="003C40A8">
        <w:rPr>
          <w:rFonts w:ascii="Times New Roman" w:hAnsi="Times New Roman" w:cs="Times New Roman"/>
          <w:sz w:val="28"/>
          <w:szCs w:val="28"/>
        </w:rPr>
        <w:t>( диаграмм</w:t>
      </w:r>
      <w:r w:rsidR="00F307F2">
        <w:rPr>
          <w:rFonts w:ascii="Times New Roman" w:hAnsi="Times New Roman" w:cs="Times New Roman"/>
          <w:sz w:val="28"/>
          <w:szCs w:val="28"/>
        </w:rPr>
        <w:t>а</w:t>
      </w:r>
      <w:r w:rsidRPr="003C40A8">
        <w:rPr>
          <w:rFonts w:ascii="Times New Roman" w:hAnsi="Times New Roman" w:cs="Times New Roman"/>
          <w:sz w:val="28"/>
          <w:szCs w:val="28"/>
        </w:rPr>
        <w:t xml:space="preserve"> 17).</w:t>
      </w:r>
    </w:p>
    <w:p w14:paraId="2E34BA7F" w14:textId="77777777" w:rsidR="003F4CFF" w:rsidRPr="003C40A8" w:rsidRDefault="003F4CFF" w:rsidP="003F4CFF">
      <w:pPr>
        <w:spacing w:after="160" w:line="259" w:lineRule="auto"/>
        <w:rPr>
          <w:rFonts w:ascii="Times New Roman" w:hAnsi="Times New Roman" w:cs="Times New Roman"/>
          <w:sz w:val="28"/>
          <w:szCs w:val="28"/>
        </w:rPr>
      </w:pPr>
      <w:r w:rsidRPr="003C40A8">
        <w:rPr>
          <w:rFonts w:ascii="Times New Roman" w:hAnsi="Times New Roman" w:cs="Times New Roman"/>
          <w:noProof/>
          <w:sz w:val="28"/>
          <w:szCs w:val="28"/>
        </w:rPr>
        <w:drawing>
          <wp:inline distT="0" distB="0" distL="0" distR="0" wp14:anchorId="3ABC2FA0" wp14:editId="607BEEE8">
            <wp:extent cx="4851400" cy="1160145"/>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7E354CF" w14:textId="77777777" w:rsidR="003F4CFF" w:rsidRPr="0069184F" w:rsidRDefault="003F4CFF" w:rsidP="003F4CFF">
      <w:pPr>
        <w:rPr>
          <w:rFonts w:ascii="Times New Roman" w:hAnsi="Times New Roman" w:cs="Times New Roman"/>
          <w:b/>
          <w:sz w:val="24"/>
          <w:szCs w:val="24"/>
        </w:rPr>
      </w:pPr>
      <w:r w:rsidRPr="009A7C23">
        <w:rPr>
          <w:rFonts w:ascii="Times New Roman" w:hAnsi="Times New Roman" w:cs="Times New Roman"/>
          <w:b/>
          <w:sz w:val="24"/>
          <w:szCs w:val="24"/>
        </w:rPr>
        <w:t xml:space="preserve">Диаграмма 17 </w:t>
      </w:r>
      <w:r w:rsidRPr="0069184F">
        <w:rPr>
          <w:rFonts w:ascii="Times New Roman" w:hAnsi="Times New Roman" w:cs="Times New Roman"/>
          <w:b/>
          <w:sz w:val="24"/>
          <w:szCs w:val="24"/>
          <w:highlight w:val="white"/>
        </w:rPr>
        <w:t xml:space="preserve">– </w:t>
      </w:r>
      <w:r w:rsidRPr="0069184F">
        <w:rPr>
          <w:rFonts w:ascii="Times New Roman" w:hAnsi="Times New Roman" w:cs="Times New Roman"/>
          <w:b/>
          <w:sz w:val="24"/>
          <w:szCs w:val="24"/>
        </w:rPr>
        <w:t>Удельный вес автомобильных дорог с твердым покрытием в общей протяженности автомобильных дорог общего пользования в Кемеровской, Новосибирской, Томской, Омской областях и Алтайском крае, 2018 г., %</w:t>
      </w:r>
    </w:p>
    <w:p w14:paraId="27395C4C" w14:textId="77777777" w:rsidR="003F4CFF" w:rsidRPr="0069184F" w:rsidRDefault="003F4CFF" w:rsidP="003F4CFF">
      <w:pPr>
        <w:rPr>
          <w:rFonts w:ascii="Times New Roman" w:hAnsi="Times New Roman" w:cs="Times New Roman"/>
          <w:b/>
          <w:sz w:val="24"/>
          <w:szCs w:val="24"/>
        </w:rPr>
      </w:pPr>
    </w:p>
    <w:p w14:paraId="5E9693F1"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В сравнении с субъектами РФ, имеющими общие территориальные границы с Новосибирской областью, последняя имеет наихудший показатель обеспеченности усовершенствованным дорожным покрытием (45,1% против 88,7% у Омской области, 49,2% у Кемеровской области, 47,4% у Томской обл</w:t>
      </w:r>
      <w:r>
        <w:rPr>
          <w:rFonts w:ascii="Times New Roman" w:hAnsi="Times New Roman" w:cs="Times New Roman"/>
          <w:sz w:val="28"/>
          <w:szCs w:val="28"/>
        </w:rPr>
        <w:t>асти и 47,3% у Алтайского края).</w:t>
      </w:r>
    </w:p>
    <w:p w14:paraId="51B67791" w14:textId="77777777" w:rsidR="003F4CFF" w:rsidRPr="0069184F"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Н</w:t>
      </w:r>
      <w:r w:rsidRPr="0069184F">
        <w:rPr>
          <w:rFonts w:ascii="Times New Roman" w:hAnsi="Times New Roman" w:cs="Times New Roman"/>
          <w:sz w:val="28"/>
          <w:szCs w:val="28"/>
        </w:rPr>
        <w:t xml:space="preserve">а автомобильных дорогах общего пользования федерального значения размещено </w:t>
      </w:r>
      <w:r>
        <w:rPr>
          <w:rFonts w:ascii="Times New Roman" w:hAnsi="Times New Roman" w:cs="Times New Roman"/>
          <w:sz w:val="28"/>
          <w:szCs w:val="28"/>
        </w:rPr>
        <w:t>110 объектов дорожного сервиса.</w:t>
      </w:r>
    </w:p>
    <w:p w14:paraId="6015C88B" w14:textId="6E14D87A" w:rsidR="003F4CFF" w:rsidRPr="0069184F"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С</w:t>
      </w:r>
      <w:r w:rsidRPr="0069184F">
        <w:rPr>
          <w:rFonts w:ascii="Times New Roman" w:hAnsi="Times New Roman" w:cs="Times New Roman"/>
          <w:sz w:val="28"/>
          <w:szCs w:val="28"/>
        </w:rPr>
        <w:t xml:space="preserve">реднее по Новосибирской области значение радиопокрытия мобильной связью дорог регионального и межмуниципального значения составляет 59,8%, что намного меньше среднероссийского показателя (75,9%), но вместе с тем несколько выше среднего значения по Сибирскому федеральному округу (58,2%). Новосибирская область существенно уступает по показателю радиопокрытия мобильной связью дорог регионального и межмуниципального значения таким соседним регионам, как Томская, Кемеровская и Омская области </w:t>
      </w:r>
      <w:r w:rsidRPr="009A7C23">
        <w:rPr>
          <w:rFonts w:ascii="Times New Roman" w:hAnsi="Times New Roman" w:cs="Times New Roman"/>
          <w:sz w:val="28"/>
          <w:szCs w:val="28"/>
        </w:rPr>
        <w:t>(диаграмм</w:t>
      </w:r>
      <w:r w:rsidR="00F307F2">
        <w:rPr>
          <w:rFonts w:ascii="Times New Roman" w:hAnsi="Times New Roman" w:cs="Times New Roman"/>
          <w:sz w:val="28"/>
          <w:szCs w:val="28"/>
        </w:rPr>
        <w:t>а </w:t>
      </w:r>
      <w:r w:rsidRPr="009A7C23">
        <w:rPr>
          <w:rFonts w:ascii="Times New Roman" w:hAnsi="Times New Roman" w:cs="Times New Roman"/>
          <w:sz w:val="28"/>
          <w:szCs w:val="28"/>
        </w:rPr>
        <w:t>18).</w:t>
      </w:r>
      <w:r w:rsidRPr="0069184F">
        <w:rPr>
          <w:rFonts w:ascii="Times New Roman" w:hAnsi="Times New Roman" w:cs="Times New Roman"/>
          <w:sz w:val="28"/>
          <w:szCs w:val="28"/>
        </w:rPr>
        <w:t xml:space="preserve"> </w:t>
      </w:r>
    </w:p>
    <w:p w14:paraId="3EBB78A7" w14:textId="77777777" w:rsidR="003F4CFF" w:rsidRPr="009A7C23" w:rsidRDefault="003F4CFF" w:rsidP="003F4CFF">
      <w:pPr>
        <w:spacing w:after="160" w:line="259" w:lineRule="auto"/>
        <w:rPr>
          <w:rFonts w:ascii="Times New Roman" w:hAnsi="Times New Roman" w:cs="Times New Roman"/>
          <w:b/>
          <w:sz w:val="24"/>
          <w:szCs w:val="24"/>
        </w:rPr>
      </w:pPr>
      <w:r w:rsidRPr="0069184F">
        <w:rPr>
          <w:rFonts w:cs="Times New Roman"/>
          <w:noProof/>
          <w:sz w:val="22"/>
          <w:szCs w:val="22"/>
        </w:rPr>
        <w:lastRenderedPageBreak/>
        <w:drawing>
          <wp:inline distT="0" distB="0" distL="0" distR="0" wp14:anchorId="0D8915B2" wp14:editId="5F121837">
            <wp:extent cx="6019800" cy="183705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9A7C23">
        <w:rPr>
          <w:rFonts w:ascii="Times New Roman" w:hAnsi="Times New Roman" w:cs="Times New Roman"/>
          <w:b/>
          <w:sz w:val="24"/>
          <w:szCs w:val="24"/>
        </w:rPr>
        <w:t>Диаграмма 18 – Доля радиопокрытия мобильной связью дорог регионального и межмуниципального значения Кемеровской, Новосибирской, Томской, Омской областей и Алтайского края, 2018 г., %</w:t>
      </w:r>
    </w:p>
    <w:p w14:paraId="391077AF" w14:textId="77777777" w:rsidR="003F4CFF" w:rsidRPr="009A7C23" w:rsidRDefault="003F4CFF" w:rsidP="003F4CFF">
      <w:pPr>
        <w:ind w:firstLine="567"/>
        <w:jc w:val="both"/>
        <w:rPr>
          <w:rFonts w:ascii="Times New Roman" w:hAnsi="Times New Roman" w:cs="Times New Roman"/>
          <w:b/>
          <w:sz w:val="28"/>
          <w:szCs w:val="28"/>
        </w:rPr>
      </w:pPr>
    </w:p>
    <w:p w14:paraId="47CC4652" w14:textId="12713889" w:rsidR="003F4CFF" w:rsidRPr="00F50198" w:rsidRDefault="003F4CFF" w:rsidP="00124BC6">
      <w:pPr>
        <w:tabs>
          <w:tab w:val="left" w:pos="0"/>
        </w:tabs>
        <w:ind w:firstLine="567"/>
        <w:jc w:val="both"/>
        <w:rPr>
          <w:rFonts w:ascii="Times New Roman" w:hAnsi="Times New Roman" w:cs="Times New Roman"/>
          <w:b/>
          <w:sz w:val="28"/>
          <w:szCs w:val="28"/>
        </w:rPr>
      </w:pPr>
      <w:r w:rsidRPr="009A7C23">
        <w:rPr>
          <w:rFonts w:ascii="Times New Roman" w:hAnsi="Times New Roman" w:cs="Times New Roman"/>
          <w:b/>
          <w:sz w:val="28"/>
          <w:szCs w:val="28"/>
        </w:rPr>
        <w:t xml:space="preserve">Плотность железнодорожных путей в Новосибирской области и субъектах РФ, имеющих общие территориальные границы с Новосибирской областью. </w:t>
      </w:r>
      <w:r w:rsidRPr="009A7C23">
        <w:rPr>
          <w:rFonts w:ascii="Times New Roman" w:hAnsi="Times New Roman" w:cs="Times New Roman"/>
          <w:sz w:val="28"/>
          <w:szCs w:val="28"/>
        </w:rPr>
        <w:t>Плотность железнодорожных путей общего пользования в Новосибирской области составляет 85 километров путей на 100 квадратных метров. Это существенно больше, чем в среднем по Сибирскому федеральному округу (25 км путей на 1000 кв. м) и по России в целом (51 км путей на 1000 кв. м) (диаграмм</w:t>
      </w:r>
      <w:r w:rsidR="00F307F2">
        <w:rPr>
          <w:rFonts w:ascii="Times New Roman" w:hAnsi="Times New Roman" w:cs="Times New Roman"/>
          <w:sz w:val="28"/>
          <w:szCs w:val="28"/>
        </w:rPr>
        <w:t>а</w:t>
      </w:r>
      <w:r w:rsidRPr="009A7C23">
        <w:rPr>
          <w:rFonts w:ascii="Times New Roman" w:hAnsi="Times New Roman" w:cs="Times New Roman"/>
          <w:sz w:val="28"/>
          <w:szCs w:val="28"/>
        </w:rPr>
        <w:t xml:space="preserve"> 19).</w:t>
      </w:r>
      <w:r w:rsidRPr="0069184F">
        <w:rPr>
          <w:rFonts w:ascii="Times New Roman" w:hAnsi="Times New Roman" w:cs="Times New Roman"/>
          <w:sz w:val="28"/>
          <w:szCs w:val="28"/>
        </w:rPr>
        <w:t xml:space="preserve"> </w:t>
      </w:r>
    </w:p>
    <w:p w14:paraId="02B29827" w14:textId="77777777" w:rsidR="003F4CFF" w:rsidRPr="0069184F" w:rsidRDefault="003F4CFF" w:rsidP="003F4CFF">
      <w:pPr>
        <w:tabs>
          <w:tab w:val="left" w:pos="142"/>
        </w:tabs>
        <w:ind w:firstLine="567"/>
        <w:jc w:val="both"/>
        <w:rPr>
          <w:rFonts w:cs="Times New Roman"/>
          <w:sz w:val="22"/>
          <w:szCs w:val="22"/>
        </w:rPr>
      </w:pPr>
    </w:p>
    <w:p w14:paraId="1883B3E9" w14:textId="77777777" w:rsidR="003F4CFF" w:rsidRPr="0069184F" w:rsidRDefault="003F4CFF" w:rsidP="003F4CFF">
      <w:pPr>
        <w:spacing w:after="160" w:line="259" w:lineRule="auto"/>
        <w:rPr>
          <w:rFonts w:ascii="Times New Roman" w:hAnsi="Times New Roman" w:cs="Times New Roman"/>
          <w:b/>
          <w:sz w:val="22"/>
          <w:szCs w:val="22"/>
        </w:rPr>
      </w:pPr>
      <w:r w:rsidRPr="0069184F">
        <w:rPr>
          <w:rFonts w:cs="Times New Roman"/>
          <w:noProof/>
          <w:sz w:val="22"/>
          <w:szCs w:val="22"/>
        </w:rPr>
        <w:drawing>
          <wp:inline distT="0" distB="0" distL="0" distR="0" wp14:anchorId="5437EBEB" wp14:editId="00626C78">
            <wp:extent cx="5895975" cy="148590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9A7C23">
        <w:rPr>
          <w:rFonts w:ascii="Times New Roman" w:hAnsi="Times New Roman" w:cs="Times New Roman"/>
          <w:b/>
          <w:sz w:val="22"/>
          <w:szCs w:val="22"/>
        </w:rPr>
        <w:t>Диаграмма 19– Плотность железнодорожных путей Кемеровской, Новосибирской, Томской, Омской областей и Алтайского края, 2018 г., %</w:t>
      </w:r>
    </w:p>
    <w:p w14:paraId="0F99BDC7" w14:textId="77777777" w:rsidR="003F4CFF" w:rsidRPr="00F50198" w:rsidRDefault="003F4CFF" w:rsidP="003F4CFF">
      <w:pPr>
        <w:ind w:firstLine="567"/>
        <w:jc w:val="both"/>
        <w:rPr>
          <w:rFonts w:ascii="Times New Roman" w:hAnsi="Times New Roman" w:cs="Times New Roman"/>
          <w:b/>
          <w:sz w:val="28"/>
          <w:szCs w:val="28"/>
        </w:rPr>
      </w:pPr>
      <w:r w:rsidRPr="0069184F">
        <w:rPr>
          <w:rFonts w:ascii="Times New Roman" w:hAnsi="Times New Roman" w:cs="Times New Roman"/>
          <w:b/>
          <w:sz w:val="28"/>
          <w:szCs w:val="28"/>
        </w:rPr>
        <w:t>Пропускная способность аэропорта «Толмачево»</w:t>
      </w:r>
      <w:r>
        <w:rPr>
          <w:rFonts w:ascii="Times New Roman" w:hAnsi="Times New Roman" w:cs="Times New Roman"/>
          <w:b/>
          <w:sz w:val="28"/>
          <w:szCs w:val="28"/>
        </w:rPr>
        <w:t xml:space="preserve">. </w:t>
      </w:r>
      <w:r w:rsidRPr="0069184F">
        <w:rPr>
          <w:rFonts w:ascii="Times New Roman" w:hAnsi="Times New Roman" w:cs="Times New Roman"/>
          <w:sz w:val="28"/>
          <w:szCs w:val="28"/>
        </w:rPr>
        <w:t xml:space="preserve">Пропускная способность «Толмачево» в 2016-2019 годах составляла 1 800 пассажиров в час на внутренних и 1 300 пассажиров на международных рейсах. Годовая пропускная способность по объему грузовых перевозок в этот период составляла 50 000 тонн. </w:t>
      </w:r>
    </w:p>
    <w:p w14:paraId="18123464" w14:textId="77777777" w:rsidR="003F4CFF" w:rsidRPr="00F50198" w:rsidRDefault="003F4CFF" w:rsidP="003F4CFF">
      <w:pPr>
        <w:ind w:firstLine="567"/>
        <w:jc w:val="both"/>
        <w:rPr>
          <w:rFonts w:ascii="Times New Roman" w:hAnsi="Times New Roman" w:cs="Times New Roman"/>
          <w:b/>
          <w:sz w:val="28"/>
          <w:szCs w:val="28"/>
        </w:rPr>
      </w:pPr>
      <w:r w:rsidRPr="0069184F">
        <w:rPr>
          <w:rFonts w:ascii="Times New Roman" w:hAnsi="Times New Roman" w:cs="Times New Roman"/>
          <w:b/>
          <w:sz w:val="28"/>
          <w:szCs w:val="28"/>
        </w:rPr>
        <w:t>Складской рынок Новосибирской области</w:t>
      </w:r>
      <w:r>
        <w:rPr>
          <w:rFonts w:ascii="Times New Roman" w:hAnsi="Times New Roman" w:cs="Times New Roman"/>
          <w:b/>
          <w:sz w:val="28"/>
          <w:szCs w:val="28"/>
        </w:rPr>
        <w:t xml:space="preserve">. </w:t>
      </w:r>
      <w:r w:rsidRPr="0069184F">
        <w:rPr>
          <w:rFonts w:ascii="Times New Roman" w:hAnsi="Times New Roman" w:cs="Times New Roman"/>
          <w:sz w:val="28"/>
          <w:szCs w:val="28"/>
        </w:rPr>
        <w:t xml:space="preserve">Складской рынок Новосибирской области — крупнейший в Сибири. На него приходится 14% от общего объема качественной складской недвижимости регионов России. </w:t>
      </w:r>
    </w:p>
    <w:p w14:paraId="0D70A38B" w14:textId="77777777" w:rsidR="003F4CFF" w:rsidRPr="0069184F" w:rsidRDefault="003F4CFF" w:rsidP="003F4CFF">
      <w:pPr>
        <w:ind w:firstLine="567"/>
        <w:jc w:val="both"/>
        <w:rPr>
          <w:rFonts w:ascii="Times New Roman" w:hAnsi="Times New Roman" w:cs="Times New Roman"/>
        </w:rPr>
      </w:pPr>
      <w:r w:rsidRPr="0069184F">
        <w:rPr>
          <w:rFonts w:ascii="Times New Roman" w:hAnsi="Times New Roman" w:cs="Times New Roman"/>
          <w:sz w:val="28"/>
          <w:szCs w:val="28"/>
        </w:rPr>
        <w:t>По оценкам экспертов общая площадь складских помещений региона по состоянию на август 2019 года составляет 6,06 миллиона квадратных метров, что на 3,8% больше, чем в 2018 году. В свою очередь, общая площадь складских помещений региона за 2018 год (5,84 млн кв. м) превышает аналогич</w:t>
      </w:r>
      <w:r>
        <w:rPr>
          <w:rFonts w:ascii="Times New Roman" w:hAnsi="Times New Roman" w:cs="Times New Roman"/>
          <w:sz w:val="28"/>
          <w:szCs w:val="28"/>
        </w:rPr>
        <w:t>ный показатель 2017 года (5,69).</w:t>
      </w:r>
    </w:p>
    <w:p w14:paraId="353EBC5A"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 xml:space="preserve">Большая часть складов региона (4,15 млн кв. м, или 68,5%) — это индустриальная недвижимость низкого качества (классы C и D), представляющая </w:t>
      </w:r>
      <w:r w:rsidRPr="0069184F">
        <w:rPr>
          <w:rFonts w:ascii="Times New Roman" w:hAnsi="Times New Roman" w:cs="Times New Roman"/>
          <w:sz w:val="28"/>
          <w:szCs w:val="28"/>
        </w:rPr>
        <w:lastRenderedPageBreak/>
        <w:t xml:space="preserve">из себя бывшие заводские территории с мостовыми кранами или многоэтажные производственные здания. Объем складской недвижимости А класса – 1,09 млн кв. м (+6,9% в сравнении с 2018 годом), аналогичный показатель для складов </w:t>
      </w:r>
      <w:r w:rsidR="009A7C23" w:rsidRPr="0069184F">
        <w:rPr>
          <w:rFonts w:ascii="Times New Roman" w:hAnsi="Times New Roman" w:cs="Times New Roman"/>
          <w:sz w:val="28"/>
          <w:szCs w:val="28"/>
        </w:rPr>
        <w:t>В класс</w:t>
      </w:r>
      <w:r w:rsidR="009A7C23">
        <w:rPr>
          <w:rFonts w:ascii="Times New Roman" w:hAnsi="Times New Roman" w:cs="Times New Roman"/>
          <w:sz w:val="28"/>
          <w:szCs w:val="28"/>
        </w:rPr>
        <w:t>а</w:t>
      </w:r>
      <w:r w:rsidRPr="0069184F">
        <w:rPr>
          <w:rFonts w:ascii="Times New Roman" w:hAnsi="Times New Roman" w:cs="Times New Roman"/>
          <w:sz w:val="28"/>
          <w:szCs w:val="28"/>
        </w:rPr>
        <w:t xml:space="preserve"> – 0,82 млн кв. м (+22,4% в сравнении с прошлым годом). Обеспеченность складскими помещениями категории А и В составляет 335 кв. м для Новосибирска и 186 кв. м для новосибирского региона в целом.</w:t>
      </w:r>
    </w:p>
    <w:p w14:paraId="42CC8CA8" w14:textId="77777777" w:rsidR="003F4CFF" w:rsidRPr="00F50198" w:rsidRDefault="003F4CFF" w:rsidP="003F4CFF">
      <w:pPr>
        <w:ind w:firstLine="567"/>
        <w:jc w:val="both"/>
        <w:rPr>
          <w:rFonts w:ascii="Times New Roman" w:hAnsi="Times New Roman" w:cs="Times New Roman"/>
          <w:b/>
          <w:sz w:val="28"/>
          <w:szCs w:val="28"/>
        </w:rPr>
      </w:pPr>
      <w:r w:rsidRPr="0069184F">
        <w:rPr>
          <w:rFonts w:ascii="Times New Roman" w:hAnsi="Times New Roman" w:cs="Times New Roman"/>
          <w:b/>
          <w:sz w:val="28"/>
          <w:szCs w:val="28"/>
        </w:rPr>
        <w:t>Контейнерные перевозки в Новосибирской области</w:t>
      </w:r>
      <w:r>
        <w:rPr>
          <w:rFonts w:ascii="Times New Roman" w:hAnsi="Times New Roman" w:cs="Times New Roman"/>
          <w:b/>
          <w:sz w:val="28"/>
          <w:szCs w:val="28"/>
        </w:rPr>
        <w:t xml:space="preserve">. </w:t>
      </w:r>
      <w:r w:rsidRPr="0069184F">
        <w:rPr>
          <w:rFonts w:ascii="Times New Roman" w:hAnsi="Times New Roman" w:cs="Times New Roman"/>
          <w:sz w:val="28"/>
          <w:szCs w:val="28"/>
        </w:rPr>
        <w:t>Основные контейнерные терминалы Новосибирской области – это «Клещиха», «Евросиб» и «ФЕСКО». Лидером по емкости единовременного хранения грузов является терминал «Евросиб» (6 тысяч TEU). На втором месте – терминал «Клещиха» с объемом 4 700 TEU. Контейнерный терминал группы FESCO с показателем емкости 1 300 TEU замыкает тройку. Все три компании, развивающие контейнерные площадки в Новосибирске, имеют потенциал для модерниза</w:t>
      </w:r>
      <w:r>
        <w:rPr>
          <w:rFonts w:ascii="Times New Roman" w:hAnsi="Times New Roman" w:cs="Times New Roman"/>
          <w:sz w:val="28"/>
          <w:szCs w:val="28"/>
        </w:rPr>
        <w:t>ции своих логистических центров</w:t>
      </w:r>
      <w:r w:rsidRPr="0069184F">
        <w:rPr>
          <w:rFonts w:ascii="Times New Roman" w:hAnsi="Times New Roman" w:cs="Times New Roman"/>
          <w:sz w:val="28"/>
          <w:szCs w:val="28"/>
        </w:rPr>
        <w:t>.</w:t>
      </w:r>
    </w:p>
    <w:p w14:paraId="3C3CD935" w14:textId="77777777" w:rsidR="003F4CFF" w:rsidRPr="003C40A8" w:rsidRDefault="003F4CFF" w:rsidP="003F4CFF">
      <w:pPr>
        <w:spacing w:after="160" w:line="259" w:lineRule="auto"/>
        <w:rPr>
          <w:rFonts w:ascii="Times New Roman" w:hAnsi="Times New Roman" w:cs="Times New Roman"/>
          <w:sz w:val="28"/>
          <w:szCs w:val="28"/>
        </w:rPr>
      </w:pPr>
      <w:r w:rsidRPr="003C40A8">
        <w:rPr>
          <w:rFonts w:ascii="Times New Roman" w:hAnsi="Times New Roman" w:cs="Times New Roman"/>
          <w:noProof/>
          <w:sz w:val="28"/>
          <w:szCs w:val="28"/>
        </w:rPr>
        <w:drawing>
          <wp:inline distT="0" distB="0" distL="0" distR="0" wp14:anchorId="5AE7DFC1" wp14:editId="0C7FD6BE">
            <wp:extent cx="5924550" cy="151447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565875F" w14:textId="77777777" w:rsidR="003F4CFF" w:rsidRPr="0069184F" w:rsidRDefault="003F4CFF" w:rsidP="003F4CFF">
      <w:pPr>
        <w:spacing w:after="160" w:line="259" w:lineRule="auto"/>
        <w:rPr>
          <w:rFonts w:ascii="Times New Roman" w:hAnsi="Times New Roman" w:cs="Times New Roman"/>
          <w:b/>
          <w:sz w:val="24"/>
          <w:szCs w:val="24"/>
        </w:rPr>
      </w:pPr>
      <w:r w:rsidRPr="009A7C23">
        <w:rPr>
          <w:rFonts w:ascii="Times New Roman" w:hAnsi="Times New Roman" w:cs="Times New Roman"/>
          <w:b/>
          <w:sz w:val="24"/>
          <w:szCs w:val="24"/>
        </w:rPr>
        <w:t>Диаграмма 20</w:t>
      </w:r>
      <w:r w:rsidRPr="0069184F">
        <w:rPr>
          <w:rFonts w:ascii="Times New Roman" w:hAnsi="Times New Roman" w:cs="Times New Roman"/>
          <w:b/>
          <w:sz w:val="24"/>
          <w:szCs w:val="24"/>
        </w:rPr>
        <w:t xml:space="preserve"> – Емкость единовременного хранения грузов на контейнерных терминалах Новосибирской области, 2018 г., TEU</w:t>
      </w:r>
    </w:p>
    <w:p w14:paraId="2306F512" w14:textId="77777777" w:rsidR="003F4CFF" w:rsidRPr="003C40A8" w:rsidRDefault="003F4CFF" w:rsidP="003F4CFF">
      <w:pPr>
        <w:ind w:firstLine="567"/>
        <w:jc w:val="both"/>
        <w:rPr>
          <w:rFonts w:ascii="Times New Roman" w:hAnsi="Times New Roman" w:cs="Times New Roman"/>
          <w:sz w:val="28"/>
          <w:szCs w:val="28"/>
        </w:rPr>
      </w:pPr>
      <w:bookmarkStart w:id="106" w:name="_Toc23500426"/>
      <w:bookmarkStart w:id="107" w:name="_Toc25309293"/>
      <w:r w:rsidRPr="0069184F">
        <w:rPr>
          <w:rFonts w:ascii="Times New Roman" w:hAnsi="Times New Roman" w:cs="Times New Roman"/>
          <w:b/>
          <w:sz w:val="28"/>
          <w:szCs w:val="28"/>
        </w:rPr>
        <w:t>Существующие транспортные хабы Новосибирской области и</w:t>
      </w:r>
      <w:r>
        <w:rPr>
          <w:rFonts w:ascii="Times New Roman" w:hAnsi="Times New Roman" w:cs="Times New Roman"/>
          <w:b/>
          <w:sz w:val="28"/>
          <w:szCs w:val="28"/>
        </w:rPr>
        <w:t xml:space="preserve"> </w:t>
      </w:r>
      <w:r w:rsidRPr="0069184F">
        <w:rPr>
          <w:rFonts w:ascii="Times New Roman" w:hAnsi="Times New Roman" w:cs="Times New Roman"/>
          <w:b/>
          <w:sz w:val="28"/>
          <w:szCs w:val="28"/>
        </w:rPr>
        <w:t>потенциал создания новых</w:t>
      </w:r>
      <w:bookmarkEnd w:id="106"/>
      <w:bookmarkEnd w:id="107"/>
      <w:r>
        <w:rPr>
          <w:rFonts w:ascii="Times New Roman" w:hAnsi="Times New Roman" w:cs="Times New Roman"/>
          <w:b/>
          <w:sz w:val="28"/>
          <w:szCs w:val="28"/>
        </w:rPr>
        <w:t xml:space="preserve">. </w:t>
      </w:r>
      <w:r w:rsidRPr="0069184F">
        <w:rPr>
          <w:rFonts w:ascii="Times New Roman" w:hAnsi="Times New Roman" w:cs="Times New Roman"/>
          <w:sz w:val="28"/>
          <w:szCs w:val="28"/>
        </w:rPr>
        <w:t xml:space="preserve">Новосибирская область является крупнейшим транспортно-распределительным узлом Сибири, а г. Новосибирск – опорным пунктом товаропроводящей системы, способной в оперативном режиме обслужить десятки городов Сибири, Алтая, Казахстана и Средней Азии, то есть автомобильным, железнодорожным и авиационным хабом. </w:t>
      </w:r>
    </w:p>
    <w:p w14:paraId="5CF477CC"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 xml:space="preserve">В </w:t>
      </w:r>
      <w:r w:rsidR="00BE2FD7">
        <w:rPr>
          <w:rFonts w:ascii="Times New Roman" w:hAnsi="Times New Roman" w:cs="Times New Roman"/>
          <w:sz w:val="28"/>
          <w:szCs w:val="28"/>
        </w:rPr>
        <w:t>качестве автомобильного хаба г. </w:t>
      </w:r>
      <w:r w:rsidRPr="0069184F">
        <w:rPr>
          <w:rFonts w:ascii="Times New Roman" w:hAnsi="Times New Roman" w:cs="Times New Roman"/>
          <w:sz w:val="28"/>
          <w:szCs w:val="28"/>
        </w:rPr>
        <w:t xml:space="preserve">Новосибирск является центром накопления, обработки и распределения автомобильных грузов. </w:t>
      </w:r>
    </w:p>
    <w:p w14:paraId="29A4B928"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В ка</w:t>
      </w:r>
      <w:r w:rsidR="00BE2FD7">
        <w:rPr>
          <w:rFonts w:ascii="Times New Roman" w:hAnsi="Times New Roman" w:cs="Times New Roman"/>
          <w:sz w:val="28"/>
          <w:szCs w:val="28"/>
        </w:rPr>
        <w:t>честве железнодорожного хаба г. </w:t>
      </w:r>
      <w:r w:rsidRPr="0069184F">
        <w:rPr>
          <w:rFonts w:ascii="Times New Roman" w:hAnsi="Times New Roman" w:cs="Times New Roman"/>
          <w:sz w:val="28"/>
          <w:szCs w:val="28"/>
        </w:rPr>
        <w:t>Новосибирск выступает как центр накопления, обработки и распределения железнодорожных грузов, в том числе контейнерных и – с недавнего времени – контрейлерных. Инфраструктура</w:t>
      </w:r>
      <w:r>
        <w:rPr>
          <w:rFonts w:ascii="Times New Roman" w:hAnsi="Times New Roman" w:cs="Times New Roman"/>
          <w:sz w:val="28"/>
          <w:szCs w:val="28"/>
        </w:rPr>
        <w:t xml:space="preserve"> железнодорожного транспорта </w:t>
      </w:r>
      <w:r w:rsidRPr="0069184F">
        <w:rPr>
          <w:rFonts w:ascii="Times New Roman" w:hAnsi="Times New Roman" w:cs="Times New Roman"/>
          <w:sz w:val="28"/>
          <w:szCs w:val="28"/>
        </w:rPr>
        <w:t xml:space="preserve">Новосибирской области уже сформирована и каким-либо существенным изменениям в плане путевого развития не подлежит. </w:t>
      </w:r>
    </w:p>
    <w:p w14:paraId="2F600A86"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 xml:space="preserve">Будучи авиационным хабом, новосибирский аэропорт «Толмачево» является крупнейшим по объемам пассажирских и грузоперевозок в сибирском макрорегионе. </w:t>
      </w:r>
    </w:p>
    <w:p w14:paraId="12808C1A"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В настоящее время идет процесс сокращения объемов перевозок по реке и уменьшение пропускных и перегрузочных возможностей инфраструктуры речного транспорта</w:t>
      </w:r>
      <w:r>
        <w:rPr>
          <w:rFonts w:ascii="Times New Roman" w:hAnsi="Times New Roman" w:cs="Times New Roman"/>
          <w:sz w:val="28"/>
          <w:szCs w:val="28"/>
        </w:rPr>
        <w:t>.</w:t>
      </w:r>
      <w:r w:rsidRPr="0069184F">
        <w:rPr>
          <w:rFonts w:ascii="Times New Roman" w:hAnsi="Times New Roman" w:cs="Times New Roman"/>
          <w:sz w:val="28"/>
          <w:szCs w:val="28"/>
        </w:rPr>
        <w:t xml:space="preserve"> </w:t>
      </w:r>
    </w:p>
    <w:p w14:paraId="688B779E" w14:textId="77777777" w:rsidR="003F4CFF" w:rsidRPr="0075649C" w:rsidRDefault="003F4CFF" w:rsidP="003F4CFF">
      <w:pPr>
        <w:rPr>
          <w:rFonts w:ascii="Times New Roman" w:hAnsi="Times New Roman" w:cs="Times New Roman"/>
          <w:sz w:val="28"/>
          <w:szCs w:val="28"/>
        </w:rPr>
      </w:pPr>
    </w:p>
    <w:p w14:paraId="4978CEC0" w14:textId="77777777" w:rsidR="003F4CFF" w:rsidRDefault="003F4CFF" w:rsidP="003F4CFF">
      <w:pPr>
        <w:pStyle w:val="ac"/>
        <w:ind w:firstLine="567"/>
        <w:jc w:val="both"/>
        <w:outlineLvl w:val="2"/>
        <w:rPr>
          <w:rFonts w:ascii="Times New Roman" w:hAnsi="Times New Roman"/>
          <w:b/>
        </w:rPr>
      </w:pPr>
      <w:bookmarkStart w:id="108" w:name="_Toc31983984"/>
      <w:bookmarkStart w:id="109" w:name="_Toc32240324"/>
      <w:bookmarkStart w:id="110" w:name="_Toc32421909"/>
      <w:bookmarkStart w:id="111" w:name="_Toc34129188"/>
      <w:r w:rsidRPr="00F732D1">
        <w:rPr>
          <w:rFonts w:ascii="Times New Roman" w:hAnsi="Times New Roman"/>
          <w:b/>
        </w:rPr>
        <w:t>2.3.11. Результаты мониторинга развития передовых производственных технологий и их внедрения, а также процесса цифровизации экономики и формиров</w:t>
      </w:r>
      <w:r>
        <w:rPr>
          <w:rFonts w:ascii="Times New Roman" w:hAnsi="Times New Roman"/>
          <w:b/>
        </w:rPr>
        <w:t>ания ее новых рынков и секторов</w:t>
      </w:r>
      <w:bookmarkEnd w:id="108"/>
      <w:bookmarkEnd w:id="109"/>
      <w:bookmarkEnd w:id="110"/>
      <w:bookmarkEnd w:id="111"/>
    </w:p>
    <w:p w14:paraId="3AA07A3C" w14:textId="77777777" w:rsidR="003F4CFF" w:rsidRPr="00F50198" w:rsidRDefault="003F4CFF" w:rsidP="003F4CFF">
      <w:pPr>
        <w:ind w:firstLine="567"/>
        <w:jc w:val="both"/>
        <w:rPr>
          <w:rFonts w:ascii="Times New Roman" w:hAnsi="Times New Roman" w:cs="Times New Roman"/>
          <w:b/>
          <w:sz w:val="28"/>
          <w:szCs w:val="28"/>
          <w:lang w:eastAsia="en-US"/>
        </w:rPr>
      </w:pPr>
      <w:r w:rsidRPr="0069184F">
        <w:rPr>
          <w:rFonts w:ascii="Times New Roman" w:hAnsi="Times New Roman" w:cs="Times New Roman"/>
          <w:b/>
          <w:sz w:val="28"/>
          <w:szCs w:val="28"/>
        </w:rPr>
        <w:t>Основные показатели развития передовых производственных технологий</w:t>
      </w:r>
      <w:r>
        <w:rPr>
          <w:rFonts w:ascii="Times New Roman" w:hAnsi="Times New Roman" w:cs="Times New Roman"/>
          <w:b/>
          <w:sz w:val="28"/>
          <w:szCs w:val="28"/>
          <w:lang w:eastAsia="en-US"/>
        </w:rPr>
        <w:t xml:space="preserve">. </w:t>
      </w:r>
      <w:r>
        <w:rPr>
          <w:rFonts w:ascii="Times New Roman" w:hAnsi="Times New Roman" w:cs="Times New Roman"/>
          <w:sz w:val="28"/>
          <w:szCs w:val="28"/>
        </w:rPr>
        <w:t>П</w:t>
      </w:r>
      <w:r w:rsidRPr="0069184F">
        <w:rPr>
          <w:rFonts w:ascii="Times New Roman" w:hAnsi="Times New Roman" w:cs="Times New Roman"/>
          <w:sz w:val="28"/>
          <w:szCs w:val="28"/>
        </w:rPr>
        <w:t>редприятия региона разработали 23 передовые производственные технологии. 9 из них (39,1%) относятся к группе проектирования и инжиниринга, 6 (26,1%) – к группе производства и сборки, 5 (23,7%) – к группе аппаратуры автоматизированного наблюдения и контроля. Остальные передовые производственные технологии относятся к группам связи и управления, а также интегрированного управления и контроля технологий. 6 технологий (26,1%) – из числа принципиально новых, остальные 17 (73,9%) – новые для России.</w:t>
      </w:r>
    </w:p>
    <w:p w14:paraId="397E2B83"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 xml:space="preserve">275 предприятий региона использовали 3507 передовых производственных технологий, большинство из них относятся к производственным группам «Производство, обработка и сборка» (38%), «Связь и управление» (33,2%) и «Проектирование и инжиниринг» (18,5%). 147 технологий (4,2%) являются </w:t>
      </w:r>
      <w:r>
        <w:rPr>
          <w:rFonts w:ascii="Times New Roman" w:hAnsi="Times New Roman" w:cs="Times New Roman"/>
          <w:sz w:val="28"/>
          <w:szCs w:val="28"/>
        </w:rPr>
        <w:t>запатентованными изобретениями</w:t>
      </w:r>
      <w:r w:rsidRPr="0069184F">
        <w:rPr>
          <w:rFonts w:ascii="Times New Roman" w:hAnsi="Times New Roman" w:cs="Times New Roman"/>
          <w:sz w:val="28"/>
          <w:szCs w:val="28"/>
        </w:rPr>
        <w:t>.</w:t>
      </w:r>
    </w:p>
    <w:p w14:paraId="385800A8" w14:textId="77777777" w:rsidR="003F4CF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 xml:space="preserve">В числе организаций, использовавших передовые производственные технологии, наиболее широко представлены организации, относящиеся к категории обрабатывающих производств (44%). Удельный вес организаций, использовавших передовые производственные технологии, в общем числе </w:t>
      </w:r>
      <w:r>
        <w:rPr>
          <w:rFonts w:ascii="Times New Roman" w:hAnsi="Times New Roman" w:cs="Times New Roman"/>
          <w:sz w:val="28"/>
          <w:szCs w:val="28"/>
        </w:rPr>
        <w:t>обследуемых организаций – 0,2%.</w:t>
      </w:r>
    </w:p>
    <w:p w14:paraId="231DEC1F" w14:textId="77777777" w:rsidR="003F4CFF" w:rsidRDefault="003F4CFF" w:rsidP="003F4CFF">
      <w:pPr>
        <w:ind w:firstLine="567"/>
        <w:jc w:val="both"/>
        <w:rPr>
          <w:rFonts w:ascii="Times New Roman" w:hAnsi="Times New Roman" w:cs="Times New Roman"/>
          <w:sz w:val="28"/>
          <w:szCs w:val="28"/>
        </w:rPr>
      </w:pPr>
      <w:r w:rsidRPr="003C40A8">
        <w:rPr>
          <w:rFonts w:ascii="Times New Roman" w:hAnsi="Times New Roman" w:cs="Times New Roman"/>
          <w:b/>
          <w:sz w:val="28"/>
          <w:szCs w:val="28"/>
        </w:rPr>
        <w:t>Оценка темпов цифровизации.</w:t>
      </w:r>
      <w:r>
        <w:rPr>
          <w:rFonts w:ascii="Times New Roman" w:hAnsi="Times New Roman" w:cs="Times New Roman"/>
          <w:sz w:val="28"/>
          <w:szCs w:val="28"/>
        </w:rPr>
        <w:t xml:space="preserve"> Согласно мониторингу</w:t>
      </w:r>
      <w:r w:rsidRPr="0069184F">
        <w:rPr>
          <w:rFonts w:ascii="Times New Roman" w:hAnsi="Times New Roman" w:cs="Times New Roman"/>
          <w:sz w:val="28"/>
          <w:szCs w:val="28"/>
        </w:rPr>
        <w:t xml:space="preserve"> развития информацио</w:t>
      </w:r>
      <w:r>
        <w:rPr>
          <w:rFonts w:ascii="Times New Roman" w:hAnsi="Times New Roman" w:cs="Times New Roman"/>
          <w:sz w:val="28"/>
          <w:szCs w:val="28"/>
        </w:rPr>
        <w:t>нной культуры</w:t>
      </w:r>
      <w:r w:rsidRPr="0069184F">
        <w:rPr>
          <w:rFonts w:ascii="Times New Roman" w:hAnsi="Times New Roman" w:cs="Times New Roman"/>
          <w:sz w:val="28"/>
          <w:szCs w:val="28"/>
        </w:rPr>
        <w:t>, реализуемо</w:t>
      </w:r>
      <w:r>
        <w:rPr>
          <w:rFonts w:ascii="Times New Roman" w:hAnsi="Times New Roman" w:cs="Times New Roman"/>
          <w:sz w:val="28"/>
          <w:szCs w:val="28"/>
        </w:rPr>
        <w:t xml:space="preserve">му </w:t>
      </w:r>
      <w:r w:rsidRPr="0069184F">
        <w:rPr>
          <w:rFonts w:ascii="Times New Roman" w:hAnsi="Times New Roman" w:cs="Times New Roman"/>
          <w:sz w:val="28"/>
          <w:szCs w:val="28"/>
        </w:rPr>
        <w:t>Федеральной службой государственной статистики, регион демонстрирует позитивную динамику по большинству направлений, отслеживаемых этим мониторингом. К их числу, в частности, относятся инновационный потенциал, инфраструктура информационно-коммуникационных технологий и доступ к Интернету, информационная безопасность, информационная индустрия, электронное правительство, электронный бизнес, электронная культура, использование ИКТ домохозяйствами и населением. При этом по направлениям электронного образования и электронного здравоохранения динамика неоднозначная (некоторые показатели демонстрируют положительную динамику, в то время как другие – отрицательную).</w:t>
      </w:r>
    </w:p>
    <w:p w14:paraId="5B3BFA44" w14:textId="77777777" w:rsidR="003F4CFF" w:rsidRPr="0069184F" w:rsidRDefault="003F4CFF" w:rsidP="003F4CFF">
      <w:pPr>
        <w:ind w:firstLine="567"/>
        <w:jc w:val="both"/>
        <w:rPr>
          <w:rFonts w:ascii="Times New Roman" w:hAnsi="Times New Roman" w:cs="Times New Roman"/>
          <w:sz w:val="28"/>
          <w:szCs w:val="28"/>
        </w:rPr>
      </w:pPr>
      <w:r w:rsidRPr="0069184F">
        <w:rPr>
          <w:rFonts w:ascii="Times New Roman" w:hAnsi="Times New Roman" w:cs="Times New Roman"/>
          <w:sz w:val="28"/>
          <w:szCs w:val="28"/>
        </w:rPr>
        <w:t>Уровень цифровизации Новосибирской области, измеренный в соответствии с методикой экспертов «Сколково», оказался одним из самых высоких в России: набрав 74,48 балла из 100 возможных, она замыкает десятку регионов-лидеров. Более того, регион продемонстрировал также максимальный рост среди регионов из топ-10 (+39,29% в 2018 году в сравнении с 2017 годом), что позволило ему подняться с 33-го места, которое он занимал в 2017 г., на 10-е.</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9"/>
        <w:gridCol w:w="2820"/>
        <w:gridCol w:w="1204"/>
        <w:gridCol w:w="1355"/>
        <w:gridCol w:w="1353"/>
        <w:gridCol w:w="1355"/>
        <w:gridCol w:w="1345"/>
      </w:tblGrid>
      <w:tr w:rsidR="003F4CFF" w:rsidRPr="0069184F" w14:paraId="22C78BCB" w14:textId="77777777" w:rsidTr="00124BC6">
        <w:trPr>
          <w:trHeight w:val="20"/>
          <w:jc w:val="center"/>
        </w:trPr>
        <w:tc>
          <w:tcPr>
            <w:tcW w:w="246" w:type="pct"/>
            <w:vMerge w:val="restart"/>
            <w:tcBorders>
              <w:top w:val="single" w:sz="4" w:space="0" w:color="auto"/>
              <w:left w:val="nil"/>
              <w:bottom w:val="single" w:sz="4" w:space="0" w:color="auto"/>
              <w:right w:val="single" w:sz="4" w:space="0" w:color="auto"/>
            </w:tcBorders>
            <w:shd w:val="clear" w:color="auto" w:fill="auto"/>
            <w:vAlign w:val="center"/>
            <w:hideMark/>
          </w:tcPr>
          <w:p w14:paraId="26FCF9B1"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w:t>
            </w:r>
          </w:p>
        </w:tc>
        <w:tc>
          <w:tcPr>
            <w:tcW w:w="1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3BFDC"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Субъект РФ</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E43C7A"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Балл в 2018 г.</w:t>
            </w:r>
          </w:p>
        </w:tc>
        <w:tc>
          <w:tcPr>
            <w:tcW w:w="2726" w:type="pct"/>
            <w:gridSpan w:val="4"/>
            <w:tcBorders>
              <w:top w:val="single" w:sz="4" w:space="0" w:color="auto"/>
              <w:left w:val="single" w:sz="4" w:space="0" w:color="auto"/>
              <w:bottom w:val="single" w:sz="4" w:space="0" w:color="auto"/>
              <w:right w:val="nil"/>
            </w:tcBorders>
            <w:shd w:val="clear" w:color="auto" w:fill="auto"/>
            <w:vAlign w:val="center"/>
            <w:hideMark/>
          </w:tcPr>
          <w:p w14:paraId="72F10130"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Изменение в 2018 г. к 2017 году</w:t>
            </w:r>
          </w:p>
        </w:tc>
      </w:tr>
      <w:tr w:rsidR="003F4CFF" w:rsidRPr="0069184F" w14:paraId="4E2F6A2C" w14:textId="77777777" w:rsidTr="00124BC6">
        <w:trPr>
          <w:trHeight w:val="20"/>
          <w:jc w:val="center"/>
        </w:trPr>
        <w:tc>
          <w:tcPr>
            <w:tcW w:w="246" w:type="pct"/>
            <w:vMerge/>
            <w:tcBorders>
              <w:top w:val="single" w:sz="4" w:space="0" w:color="auto"/>
              <w:left w:val="nil"/>
              <w:bottom w:val="single" w:sz="4" w:space="0" w:color="auto"/>
              <w:right w:val="single" w:sz="4" w:space="0" w:color="auto"/>
            </w:tcBorders>
            <w:shd w:val="clear" w:color="auto" w:fill="auto"/>
            <w:vAlign w:val="center"/>
            <w:hideMark/>
          </w:tcPr>
          <w:p w14:paraId="5C4AC03D" w14:textId="77777777" w:rsidR="003F4CFF" w:rsidRPr="0069184F" w:rsidRDefault="003F4CFF" w:rsidP="003F4CFF">
            <w:pPr>
              <w:rPr>
                <w:rFonts w:ascii="Times New Roman" w:hAnsi="Times New Roman" w:cs="Times New Roman"/>
              </w:rPr>
            </w:pPr>
          </w:p>
        </w:tc>
        <w:tc>
          <w:tcPr>
            <w:tcW w:w="14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BDC7AA" w14:textId="77777777" w:rsidR="003F4CFF" w:rsidRPr="0069184F" w:rsidRDefault="003F4CFF" w:rsidP="003F4CFF">
            <w:pPr>
              <w:rPr>
                <w:rFonts w:ascii="Times New Roman" w:hAnsi="Times New Roman" w:cs="Times New Roman"/>
              </w:rPr>
            </w:pPr>
          </w:p>
        </w:tc>
        <w:tc>
          <w:tcPr>
            <w:tcW w:w="6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A1A6FE" w14:textId="77777777" w:rsidR="003F4CFF" w:rsidRPr="0069184F" w:rsidRDefault="003F4CFF" w:rsidP="003F4CFF">
            <w:pPr>
              <w:rPr>
                <w:rFonts w:ascii="Times New Roman" w:hAnsi="Times New Roman" w:cs="Times New Roman"/>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016C5"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Балл в 2017 г.</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65BC1"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Место в 2017 г.</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AF34D"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Место (+/-)</w:t>
            </w:r>
          </w:p>
        </w:tc>
        <w:tc>
          <w:tcPr>
            <w:tcW w:w="678" w:type="pct"/>
            <w:tcBorders>
              <w:top w:val="single" w:sz="4" w:space="0" w:color="auto"/>
              <w:left w:val="single" w:sz="4" w:space="0" w:color="auto"/>
              <w:bottom w:val="single" w:sz="4" w:space="0" w:color="auto"/>
              <w:right w:val="nil"/>
            </w:tcBorders>
            <w:shd w:val="clear" w:color="auto" w:fill="auto"/>
            <w:vAlign w:val="center"/>
            <w:hideMark/>
          </w:tcPr>
          <w:p w14:paraId="361491F0"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Изменения (%)</w:t>
            </w:r>
          </w:p>
        </w:tc>
      </w:tr>
      <w:tr w:rsidR="003F4CFF" w:rsidRPr="0069184F" w14:paraId="1D840E68" w14:textId="77777777" w:rsidTr="00124BC6">
        <w:trPr>
          <w:trHeight w:val="20"/>
          <w:jc w:val="center"/>
        </w:trPr>
        <w:tc>
          <w:tcPr>
            <w:tcW w:w="246" w:type="pct"/>
            <w:tcBorders>
              <w:top w:val="single" w:sz="4" w:space="0" w:color="auto"/>
              <w:left w:val="nil"/>
              <w:bottom w:val="single" w:sz="4" w:space="0" w:color="auto"/>
              <w:right w:val="single" w:sz="4" w:space="0" w:color="auto"/>
            </w:tcBorders>
            <w:shd w:val="clear" w:color="auto" w:fill="auto"/>
            <w:vAlign w:val="center"/>
            <w:hideMark/>
          </w:tcPr>
          <w:p w14:paraId="0C08E67D"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w:t>
            </w:r>
          </w:p>
        </w:tc>
        <w:tc>
          <w:tcPr>
            <w:tcW w:w="1421" w:type="pct"/>
            <w:tcBorders>
              <w:top w:val="single" w:sz="4" w:space="0" w:color="auto"/>
              <w:left w:val="single" w:sz="4" w:space="0" w:color="auto"/>
              <w:bottom w:val="single" w:sz="4" w:space="0" w:color="auto"/>
              <w:right w:val="single" w:sz="4" w:space="0" w:color="auto"/>
            </w:tcBorders>
            <w:shd w:val="clear" w:color="auto" w:fill="auto"/>
            <w:hideMark/>
          </w:tcPr>
          <w:p w14:paraId="4C7F0E58"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Москва</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62401"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77,03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012A2"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70,01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78348"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41E00"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0</w:t>
            </w:r>
          </w:p>
        </w:tc>
        <w:tc>
          <w:tcPr>
            <w:tcW w:w="678" w:type="pct"/>
            <w:tcBorders>
              <w:top w:val="single" w:sz="4" w:space="0" w:color="auto"/>
              <w:left w:val="single" w:sz="4" w:space="0" w:color="auto"/>
              <w:bottom w:val="single" w:sz="4" w:space="0" w:color="auto"/>
              <w:right w:val="nil"/>
            </w:tcBorders>
            <w:shd w:val="clear" w:color="auto" w:fill="auto"/>
            <w:vAlign w:val="center"/>
            <w:hideMark/>
          </w:tcPr>
          <w:p w14:paraId="5AFFAC5B"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10,02%</w:t>
            </w:r>
          </w:p>
        </w:tc>
      </w:tr>
      <w:tr w:rsidR="003F4CFF" w:rsidRPr="0069184F" w14:paraId="0A27FD0E" w14:textId="77777777" w:rsidTr="00124BC6">
        <w:trPr>
          <w:trHeight w:val="20"/>
          <w:jc w:val="center"/>
        </w:trPr>
        <w:tc>
          <w:tcPr>
            <w:tcW w:w="246" w:type="pct"/>
            <w:tcBorders>
              <w:top w:val="single" w:sz="4" w:space="0" w:color="auto"/>
              <w:left w:val="nil"/>
              <w:bottom w:val="single" w:sz="4" w:space="0" w:color="auto"/>
              <w:right w:val="single" w:sz="4" w:space="0" w:color="auto"/>
            </w:tcBorders>
            <w:shd w:val="clear" w:color="auto" w:fill="auto"/>
            <w:vAlign w:val="center"/>
            <w:hideMark/>
          </w:tcPr>
          <w:p w14:paraId="6E295C1C"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2</w:t>
            </w:r>
          </w:p>
        </w:tc>
        <w:tc>
          <w:tcPr>
            <w:tcW w:w="1421" w:type="pct"/>
            <w:tcBorders>
              <w:top w:val="single" w:sz="4" w:space="0" w:color="auto"/>
              <w:left w:val="single" w:sz="4" w:space="0" w:color="auto"/>
              <w:bottom w:val="single" w:sz="4" w:space="0" w:color="auto"/>
              <w:right w:val="single" w:sz="4" w:space="0" w:color="auto"/>
            </w:tcBorders>
            <w:shd w:val="clear" w:color="auto" w:fill="auto"/>
            <w:hideMark/>
          </w:tcPr>
          <w:p w14:paraId="43BF7E15"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Республика Татарстан</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4B24A"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76,48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87F5F"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67,95</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B4C15"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2A309"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0</w:t>
            </w:r>
          </w:p>
        </w:tc>
        <w:tc>
          <w:tcPr>
            <w:tcW w:w="678" w:type="pct"/>
            <w:tcBorders>
              <w:top w:val="single" w:sz="4" w:space="0" w:color="auto"/>
              <w:left w:val="single" w:sz="4" w:space="0" w:color="auto"/>
              <w:bottom w:val="single" w:sz="4" w:space="0" w:color="auto"/>
              <w:right w:val="nil"/>
            </w:tcBorders>
            <w:shd w:val="clear" w:color="auto" w:fill="auto"/>
            <w:vAlign w:val="center"/>
            <w:hideMark/>
          </w:tcPr>
          <w:p w14:paraId="6F256F33"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12,56%</w:t>
            </w:r>
          </w:p>
        </w:tc>
      </w:tr>
      <w:tr w:rsidR="003F4CFF" w:rsidRPr="0069184F" w14:paraId="27196E86" w14:textId="77777777" w:rsidTr="00124BC6">
        <w:trPr>
          <w:trHeight w:val="20"/>
          <w:jc w:val="center"/>
        </w:trPr>
        <w:tc>
          <w:tcPr>
            <w:tcW w:w="246" w:type="pct"/>
            <w:tcBorders>
              <w:top w:val="single" w:sz="4" w:space="0" w:color="auto"/>
              <w:left w:val="nil"/>
              <w:bottom w:val="single" w:sz="4" w:space="0" w:color="auto"/>
              <w:right w:val="single" w:sz="4" w:space="0" w:color="auto"/>
            </w:tcBorders>
            <w:shd w:val="clear" w:color="auto" w:fill="auto"/>
            <w:vAlign w:val="center"/>
            <w:hideMark/>
          </w:tcPr>
          <w:p w14:paraId="3B23A993"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lastRenderedPageBreak/>
              <w:t>3</w:t>
            </w:r>
          </w:p>
        </w:tc>
        <w:tc>
          <w:tcPr>
            <w:tcW w:w="1421" w:type="pct"/>
            <w:tcBorders>
              <w:top w:val="single" w:sz="4" w:space="0" w:color="auto"/>
              <w:left w:val="single" w:sz="4" w:space="0" w:color="auto"/>
              <w:bottom w:val="single" w:sz="4" w:space="0" w:color="auto"/>
              <w:right w:val="single" w:sz="4" w:space="0" w:color="auto"/>
            </w:tcBorders>
            <w:shd w:val="clear" w:color="auto" w:fill="auto"/>
            <w:hideMark/>
          </w:tcPr>
          <w:p w14:paraId="622D3BAD"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Санкт-Петербург</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73C6D"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76,44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626F9"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67,54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1DE39"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6FA4A"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w:t>
            </w:r>
          </w:p>
        </w:tc>
        <w:tc>
          <w:tcPr>
            <w:tcW w:w="678" w:type="pct"/>
            <w:tcBorders>
              <w:top w:val="single" w:sz="4" w:space="0" w:color="auto"/>
              <w:left w:val="single" w:sz="4" w:space="0" w:color="auto"/>
              <w:bottom w:val="single" w:sz="4" w:space="0" w:color="auto"/>
              <w:right w:val="nil"/>
            </w:tcBorders>
            <w:shd w:val="clear" w:color="auto" w:fill="auto"/>
            <w:vAlign w:val="center"/>
            <w:hideMark/>
          </w:tcPr>
          <w:p w14:paraId="1CACAA99"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13,18%</w:t>
            </w:r>
          </w:p>
        </w:tc>
      </w:tr>
      <w:tr w:rsidR="003F4CFF" w:rsidRPr="0069184F" w14:paraId="41530FED" w14:textId="77777777" w:rsidTr="00124BC6">
        <w:trPr>
          <w:trHeight w:val="20"/>
          <w:jc w:val="center"/>
        </w:trPr>
        <w:tc>
          <w:tcPr>
            <w:tcW w:w="246" w:type="pct"/>
            <w:tcBorders>
              <w:top w:val="single" w:sz="4" w:space="0" w:color="auto"/>
              <w:left w:val="nil"/>
              <w:bottom w:val="single" w:sz="4" w:space="0" w:color="auto"/>
              <w:right w:val="single" w:sz="4" w:space="0" w:color="auto"/>
            </w:tcBorders>
            <w:shd w:val="clear" w:color="auto" w:fill="auto"/>
            <w:vAlign w:val="center"/>
            <w:hideMark/>
          </w:tcPr>
          <w:p w14:paraId="15B1D456"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4</w:t>
            </w:r>
          </w:p>
        </w:tc>
        <w:tc>
          <w:tcPr>
            <w:tcW w:w="1421" w:type="pct"/>
            <w:tcBorders>
              <w:top w:val="single" w:sz="4" w:space="0" w:color="auto"/>
              <w:left w:val="single" w:sz="4" w:space="0" w:color="auto"/>
              <w:bottom w:val="single" w:sz="4" w:space="0" w:color="auto"/>
              <w:right w:val="single" w:sz="4" w:space="0" w:color="auto"/>
            </w:tcBorders>
            <w:shd w:val="clear" w:color="auto" w:fill="auto"/>
            <w:hideMark/>
          </w:tcPr>
          <w:p w14:paraId="622BAFEC"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Московская область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8D1EB"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76,25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9EE67"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67,61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BAA94"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BBC58"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2</w:t>
            </w:r>
          </w:p>
        </w:tc>
        <w:tc>
          <w:tcPr>
            <w:tcW w:w="678" w:type="pct"/>
            <w:tcBorders>
              <w:top w:val="single" w:sz="4" w:space="0" w:color="auto"/>
              <w:left w:val="single" w:sz="4" w:space="0" w:color="auto"/>
              <w:bottom w:val="single" w:sz="4" w:space="0" w:color="auto"/>
              <w:right w:val="nil"/>
            </w:tcBorders>
            <w:shd w:val="clear" w:color="auto" w:fill="auto"/>
            <w:vAlign w:val="center"/>
            <w:hideMark/>
          </w:tcPr>
          <w:p w14:paraId="2F7547DF"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16,22%</w:t>
            </w:r>
          </w:p>
        </w:tc>
      </w:tr>
      <w:tr w:rsidR="003F4CFF" w:rsidRPr="0069184F" w14:paraId="206F69B2" w14:textId="77777777" w:rsidTr="00124BC6">
        <w:trPr>
          <w:trHeight w:val="20"/>
          <w:jc w:val="center"/>
        </w:trPr>
        <w:tc>
          <w:tcPr>
            <w:tcW w:w="246" w:type="pct"/>
            <w:tcBorders>
              <w:top w:val="single" w:sz="4" w:space="0" w:color="auto"/>
              <w:left w:val="nil"/>
              <w:bottom w:val="single" w:sz="4" w:space="0" w:color="auto"/>
              <w:right w:val="single" w:sz="4" w:space="0" w:color="auto"/>
            </w:tcBorders>
            <w:shd w:val="clear" w:color="auto" w:fill="auto"/>
            <w:vAlign w:val="center"/>
            <w:hideMark/>
          </w:tcPr>
          <w:p w14:paraId="2A96CFBD"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5</w:t>
            </w:r>
          </w:p>
        </w:tc>
        <w:tc>
          <w:tcPr>
            <w:tcW w:w="1421" w:type="pct"/>
            <w:tcBorders>
              <w:top w:val="single" w:sz="4" w:space="0" w:color="auto"/>
              <w:left w:val="single" w:sz="4" w:space="0" w:color="auto"/>
              <w:bottom w:val="single" w:sz="4" w:space="0" w:color="auto"/>
              <w:right w:val="single" w:sz="4" w:space="0" w:color="auto"/>
            </w:tcBorders>
            <w:shd w:val="clear" w:color="auto" w:fill="auto"/>
            <w:hideMark/>
          </w:tcPr>
          <w:p w14:paraId="76AC5AED"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Тюменская область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92B0F"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76,19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5CD1E"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65,44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ADC9A"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DDE94"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2</w:t>
            </w:r>
          </w:p>
        </w:tc>
        <w:tc>
          <w:tcPr>
            <w:tcW w:w="678" w:type="pct"/>
            <w:tcBorders>
              <w:top w:val="single" w:sz="4" w:space="0" w:color="auto"/>
              <w:left w:val="single" w:sz="4" w:space="0" w:color="auto"/>
              <w:bottom w:val="single" w:sz="4" w:space="0" w:color="auto"/>
              <w:right w:val="nil"/>
            </w:tcBorders>
            <w:shd w:val="clear" w:color="auto" w:fill="auto"/>
            <w:vAlign w:val="center"/>
            <w:hideMark/>
          </w:tcPr>
          <w:p w14:paraId="7D00BD69"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16,43%</w:t>
            </w:r>
          </w:p>
        </w:tc>
      </w:tr>
      <w:tr w:rsidR="003F4CFF" w:rsidRPr="0069184F" w14:paraId="24A95699" w14:textId="77777777" w:rsidTr="00124BC6">
        <w:trPr>
          <w:trHeight w:val="20"/>
          <w:jc w:val="center"/>
        </w:trPr>
        <w:tc>
          <w:tcPr>
            <w:tcW w:w="246" w:type="pct"/>
            <w:tcBorders>
              <w:top w:val="single" w:sz="4" w:space="0" w:color="auto"/>
              <w:left w:val="nil"/>
              <w:bottom w:val="single" w:sz="4" w:space="0" w:color="auto"/>
              <w:right w:val="single" w:sz="4" w:space="0" w:color="auto"/>
            </w:tcBorders>
            <w:shd w:val="clear" w:color="auto" w:fill="auto"/>
            <w:vAlign w:val="center"/>
            <w:hideMark/>
          </w:tcPr>
          <w:p w14:paraId="6D369193"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6</w:t>
            </w:r>
          </w:p>
        </w:tc>
        <w:tc>
          <w:tcPr>
            <w:tcW w:w="1421" w:type="pct"/>
            <w:tcBorders>
              <w:top w:val="single" w:sz="4" w:space="0" w:color="auto"/>
              <w:left w:val="single" w:sz="4" w:space="0" w:color="auto"/>
              <w:bottom w:val="single" w:sz="4" w:space="0" w:color="auto"/>
              <w:right w:val="single" w:sz="4" w:space="0" w:color="auto"/>
            </w:tcBorders>
            <w:shd w:val="clear" w:color="auto" w:fill="auto"/>
            <w:hideMark/>
          </w:tcPr>
          <w:p w14:paraId="617BB248"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ХМАО – Югра</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353FD"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75,81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9F6F7"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67,88</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42458"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309CE"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-3</w:t>
            </w:r>
          </w:p>
        </w:tc>
        <w:tc>
          <w:tcPr>
            <w:tcW w:w="678" w:type="pct"/>
            <w:tcBorders>
              <w:top w:val="single" w:sz="4" w:space="0" w:color="auto"/>
              <w:left w:val="single" w:sz="4" w:space="0" w:color="auto"/>
              <w:bottom w:val="single" w:sz="4" w:space="0" w:color="auto"/>
              <w:right w:val="nil"/>
            </w:tcBorders>
            <w:shd w:val="clear" w:color="auto" w:fill="auto"/>
            <w:vAlign w:val="center"/>
            <w:hideMark/>
          </w:tcPr>
          <w:p w14:paraId="4D7BE267"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11,69%</w:t>
            </w:r>
          </w:p>
        </w:tc>
      </w:tr>
      <w:tr w:rsidR="003F4CFF" w:rsidRPr="0069184F" w14:paraId="52F02D19" w14:textId="77777777" w:rsidTr="00124BC6">
        <w:trPr>
          <w:trHeight w:val="20"/>
          <w:jc w:val="center"/>
        </w:trPr>
        <w:tc>
          <w:tcPr>
            <w:tcW w:w="246" w:type="pct"/>
            <w:tcBorders>
              <w:top w:val="single" w:sz="4" w:space="0" w:color="auto"/>
              <w:left w:val="nil"/>
              <w:bottom w:val="single" w:sz="4" w:space="0" w:color="auto"/>
              <w:right w:val="single" w:sz="4" w:space="0" w:color="auto"/>
            </w:tcBorders>
            <w:shd w:val="clear" w:color="auto" w:fill="auto"/>
            <w:vAlign w:val="center"/>
            <w:hideMark/>
          </w:tcPr>
          <w:p w14:paraId="0F6BE282"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7</w:t>
            </w:r>
          </w:p>
        </w:tc>
        <w:tc>
          <w:tcPr>
            <w:tcW w:w="1421" w:type="pct"/>
            <w:tcBorders>
              <w:top w:val="single" w:sz="4" w:space="0" w:color="auto"/>
              <w:left w:val="single" w:sz="4" w:space="0" w:color="auto"/>
              <w:bottom w:val="single" w:sz="4" w:space="0" w:color="auto"/>
              <w:right w:val="single" w:sz="4" w:space="0" w:color="auto"/>
            </w:tcBorders>
            <w:shd w:val="clear" w:color="auto" w:fill="auto"/>
            <w:hideMark/>
          </w:tcPr>
          <w:p w14:paraId="38DD4E2C"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Ямало-Ненецкий АО</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CC9A0"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74,48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FB839"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66,03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B25EC"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A7F96"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-2</w:t>
            </w:r>
          </w:p>
        </w:tc>
        <w:tc>
          <w:tcPr>
            <w:tcW w:w="678" w:type="pct"/>
            <w:tcBorders>
              <w:top w:val="single" w:sz="4" w:space="0" w:color="auto"/>
              <w:left w:val="single" w:sz="4" w:space="0" w:color="auto"/>
              <w:bottom w:val="single" w:sz="4" w:space="0" w:color="auto"/>
              <w:right w:val="nil"/>
            </w:tcBorders>
            <w:shd w:val="clear" w:color="auto" w:fill="auto"/>
            <w:vAlign w:val="center"/>
            <w:hideMark/>
          </w:tcPr>
          <w:p w14:paraId="471D87D1"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12,79%</w:t>
            </w:r>
          </w:p>
        </w:tc>
      </w:tr>
      <w:tr w:rsidR="003F4CFF" w:rsidRPr="0069184F" w14:paraId="4B47A123" w14:textId="77777777" w:rsidTr="00124BC6">
        <w:trPr>
          <w:trHeight w:val="20"/>
          <w:jc w:val="center"/>
        </w:trPr>
        <w:tc>
          <w:tcPr>
            <w:tcW w:w="246" w:type="pct"/>
            <w:tcBorders>
              <w:top w:val="single" w:sz="4" w:space="0" w:color="auto"/>
              <w:left w:val="nil"/>
              <w:bottom w:val="single" w:sz="4" w:space="0" w:color="auto"/>
              <w:right w:val="single" w:sz="4" w:space="0" w:color="auto"/>
            </w:tcBorders>
            <w:shd w:val="clear" w:color="auto" w:fill="auto"/>
            <w:vAlign w:val="center"/>
            <w:hideMark/>
          </w:tcPr>
          <w:p w14:paraId="62FEFF8E"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8</w:t>
            </w:r>
          </w:p>
        </w:tc>
        <w:tc>
          <w:tcPr>
            <w:tcW w:w="1421" w:type="pct"/>
            <w:tcBorders>
              <w:top w:val="single" w:sz="4" w:space="0" w:color="auto"/>
              <w:left w:val="single" w:sz="4" w:space="0" w:color="auto"/>
              <w:bottom w:val="single" w:sz="4" w:space="0" w:color="auto"/>
              <w:right w:val="single" w:sz="4" w:space="0" w:color="auto"/>
            </w:tcBorders>
            <w:shd w:val="clear" w:color="auto" w:fill="auto"/>
            <w:hideMark/>
          </w:tcPr>
          <w:p w14:paraId="6B9EE4DE"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Республика Башкортостан</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F0345"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74,43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D5A30"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65,08</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9C167"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D3759"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0</w:t>
            </w:r>
          </w:p>
        </w:tc>
        <w:tc>
          <w:tcPr>
            <w:tcW w:w="678" w:type="pct"/>
            <w:tcBorders>
              <w:top w:val="single" w:sz="4" w:space="0" w:color="auto"/>
              <w:left w:val="single" w:sz="4" w:space="0" w:color="auto"/>
              <w:bottom w:val="single" w:sz="4" w:space="0" w:color="auto"/>
              <w:right w:val="nil"/>
            </w:tcBorders>
            <w:shd w:val="clear" w:color="auto" w:fill="auto"/>
            <w:vAlign w:val="center"/>
            <w:hideMark/>
          </w:tcPr>
          <w:p w14:paraId="3EF1549B"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14,36%</w:t>
            </w:r>
          </w:p>
        </w:tc>
      </w:tr>
      <w:tr w:rsidR="003F4CFF" w:rsidRPr="0069184F" w14:paraId="1C7F8C44" w14:textId="77777777" w:rsidTr="00124BC6">
        <w:trPr>
          <w:trHeight w:val="20"/>
          <w:jc w:val="center"/>
        </w:trPr>
        <w:tc>
          <w:tcPr>
            <w:tcW w:w="246" w:type="pct"/>
            <w:tcBorders>
              <w:top w:val="single" w:sz="4" w:space="0" w:color="auto"/>
              <w:left w:val="nil"/>
              <w:bottom w:val="single" w:sz="4" w:space="0" w:color="auto"/>
              <w:right w:val="single" w:sz="4" w:space="0" w:color="auto"/>
            </w:tcBorders>
            <w:shd w:val="clear" w:color="auto" w:fill="auto"/>
            <w:vAlign w:val="center"/>
            <w:hideMark/>
          </w:tcPr>
          <w:p w14:paraId="15FDABF6"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9</w:t>
            </w:r>
          </w:p>
        </w:tc>
        <w:tc>
          <w:tcPr>
            <w:tcW w:w="1421" w:type="pct"/>
            <w:tcBorders>
              <w:top w:val="single" w:sz="4" w:space="0" w:color="auto"/>
              <w:left w:val="single" w:sz="4" w:space="0" w:color="auto"/>
              <w:bottom w:val="single" w:sz="4" w:space="0" w:color="auto"/>
              <w:right w:val="single" w:sz="4" w:space="0" w:color="auto"/>
            </w:tcBorders>
            <w:shd w:val="clear" w:color="auto" w:fill="auto"/>
            <w:hideMark/>
          </w:tcPr>
          <w:p w14:paraId="3FBAB397"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Ленинградская область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87CAC"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73,15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3C401"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62,45</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31509"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AB65D"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3</w:t>
            </w:r>
          </w:p>
        </w:tc>
        <w:tc>
          <w:tcPr>
            <w:tcW w:w="678" w:type="pct"/>
            <w:tcBorders>
              <w:top w:val="single" w:sz="4" w:space="0" w:color="auto"/>
              <w:left w:val="single" w:sz="4" w:space="0" w:color="auto"/>
              <w:bottom w:val="single" w:sz="4" w:space="0" w:color="auto"/>
              <w:right w:val="nil"/>
            </w:tcBorders>
            <w:shd w:val="clear" w:color="auto" w:fill="auto"/>
            <w:vAlign w:val="center"/>
            <w:hideMark/>
          </w:tcPr>
          <w:p w14:paraId="6562DB2F"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17,13%</w:t>
            </w:r>
          </w:p>
        </w:tc>
      </w:tr>
      <w:tr w:rsidR="003F4CFF" w:rsidRPr="0069184F" w14:paraId="629320B8" w14:textId="77777777" w:rsidTr="00124BC6">
        <w:trPr>
          <w:trHeight w:val="20"/>
          <w:jc w:val="center"/>
        </w:trPr>
        <w:tc>
          <w:tcPr>
            <w:tcW w:w="246" w:type="pct"/>
            <w:tcBorders>
              <w:top w:val="single" w:sz="4" w:space="0" w:color="auto"/>
              <w:left w:val="nil"/>
              <w:bottom w:val="single" w:sz="4" w:space="0" w:color="auto"/>
              <w:right w:val="single" w:sz="4" w:space="0" w:color="auto"/>
            </w:tcBorders>
            <w:shd w:val="clear" w:color="auto" w:fill="auto"/>
            <w:vAlign w:val="center"/>
            <w:hideMark/>
          </w:tcPr>
          <w:p w14:paraId="6434DFA6"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10</w:t>
            </w:r>
          </w:p>
        </w:tc>
        <w:tc>
          <w:tcPr>
            <w:tcW w:w="1421" w:type="pct"/>
            <w:tcBorders>
              <w:top w:val="single" w:sz="4" w:space="0" w:color="auto"/>
              <w:left w:val="single" w:sz="4" w:space="0" w:color="auto"/>
              <w:bottom w:val="single" w:sz="4" w:space="0" w:color="auto"/>
              <w:right w:val="single" w:sz="4" w:space="0" w:color="auto"/>
            </w:tcBorders>
            <w:shd w:val="clear" w:color="auto" w:fill="auto"/>
            <w:hideMark/>
          </w:tcPr>
          <w:p w14:paraId="5B74C011"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Новосибирская область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92112"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73,10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681A8"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52,48</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90D3A"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33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D6C5E"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23</w:t>
            </w:r>
          </w:p>
        </w:tc>
        <w:tc>
          <w:tcPr>
            <w:tcW w:w="678" w:type="pct"/>
            <w:tcBorders>
              <w:top w:val="single" w:sz="4" w:space="0" w:color="auto"/>
              <w:left w:val="single" w:sz="4" w:space="0" w:color="auto"/>
              <w:bottom w:val="single" w:sz="4" w:space="0" w:color="auto"/>
              <w:right w:val="nil"/>
            </w:tcBorders>
            <w:shd w:val="clear" w:color="auto" w:fill="auto"/>
            <w:vAlign w:val="center"/>
            <w:hideMark/>
          </w:tcPr>
          <w:p w14:paraId="3F134D8E" w14:textId="77777777" w:rsidR="003F4CFF" w:rsidRPr="0069184F" w:rsidRDefault="003F4CFF" w:rsidP="003F4CFF">
            <w:pPr>
              <w:rPr>
                <w:rFonts w:ascii="Times New Roman" w:hAnsi="Times New Roman" w:cs="Times New Roman"/>
              </w:rPr>
            </w:pPr>
            <w:r w:rsidRPr="0069184F">
              <w:rPr>
                <w:rFonts w:ascii="Times New Roman" w:hAnsi="Times New Roman" w:cs="Times New Roman"/>
              </w:rPr>
              <w:t>39,29%</w:t>
            </w:r>
          </w:p>
        </w:tc>
      </w:tr>
    </w:tbl>
    <w:p w14:paraId="415B0E68" w14:textId="77777777" w:rsidR="003F4CFF" w:rsidRDefault="003F4CFF" w:rsidP="003F4CFF">
      <w:pPr>
        <w:ind w:firstLine="709"/>
        <w:jc w:val="both"/>
        <w:rPr>
          <w:rFonts w:ascii="Times New Roman" w:hAnsi="Times New Roman" w:cs="Times New Roman"/>
          <w:sz w:val="28"/>
          <w:szCs w:val="28"/>
        </w:rPr>
      </w:pPr>
    </w:p>
    <w:p w14:paraId="5D448445" w14:textId="77777777" w:rsidR="009B114E" w:rsidRPr="009B114E" w:rsidRDefault="009B114E" w:rsidP="009B114E">
      <w:pPr>
        <w:pStyle w:val="3"/>
        <w:jc w:val="both"/>
        <w:rPr>
          <w:rFonts w:ascii="Times New Roman" w:eastAsiaTheme="minorEastAsia" w:hAnsi="Times New Roman" w:cstheme="minorBidi"/>
          <w:b/>
          <w:color w:val="002060" w:themeColor="text2"/>
          <w:sz w:val="28"/>
          <w:szCs w:val="28"/>
        </w:rPr>
      </w:pPr>
      <w:bookmarkStart w:id="112" w:name="_Hlk499722824"/>
      <w:bookmarkStart w:id="113" w:name="_Toc501834172"/>
      <w:bookmarkStart w:id="114" w:name="_Toc34129189"/>
      <w:r w:rsidRPr="009B114E">
        <w:rPr>
          <w:rFonts w:ascii="Times New Roman" w:eastAsiaTheme="minorEastAsia" w:hAnsi="Times New Roman" w:cstheme="minorBidi"/>
          <w:b/>
          <w:color w:val="002060" w:themeColor="text2"/>
          <w:sz w:val="28"/>
          <w:szCs w:val="28"/>
        </w:rPr>
        <w:t xml:space="preserve">2.3.12. </w:t>
      </w:r>
      <w:r>
        <w:rPr>
          <w:rFonts w:ascii="Times New Roman" w:eastAsiaTheme="minorEastAsia" w:hAnsi="Times New Roman" w:cstheme="minorBidi"/>
          <w:b/>
          <w:color w:val="002060" w:themeColor="text2"/>
          <w:sz w:val="28"/>
          <w:szCs w:val="28"/>
        </w:rPr>
        <w:t>А</w:t>
      </w:r>
      <w:r w:rsidRPr="009B114E">
        <w:rPr>
          <w:rFonts w:ascii="Times New Roman" w:eastAsiaTheme="minorEastAsia" w:hAnsi="Times New Roman" w:cstheme="minorBidi"/>
          <w:b/>
          <w:color w:val="002060" w:themeColor="text2"/>
          <w:sz w:val="28"/>
          <w:szCs w:val="28"/>
        </w:rPr>
        <w:t>нализ результативности и эффективности деятельности</w:t>
      </w:r>
      <w:r>
        <w:rPr>
          <w:rFonts w:ascii="Times New Roman" w:eastAsiaTheme="minorEastAsia" w:hAnsi="Times New Roman" w:cstheme="minorBidi"/>
          <w:b/>
          <w:color w:val="002060" w:themeColor="text2"/>
          <w:sz w:val="28"/>
          <w:szCs w:val="28"/>
        </w:rPr>
        <w:t xml:space="preserve"> органов исполнительной власти Н</w:t>
      </w:r>
      <w:r w:rsidRPr="009B114E">
        <w:rPr>
          <w:rFonts w:ascii="Times New Roman" w:eastAsiaTheme="minorEastAsia" w:hAnsi="Times New Roman" w:cstheme="minorBidi"/>
          <w:b/>
          <w:color w:val="002060" w:themeColor="text2"/>
          <w:sz w:val="28"/>
          <w:szCs w:val="28"/>
        </w:rPr>
        <w:t>овосибирской области и органов местного самоуправления по содействию развитию конкуренции</w:t>
      </w:r>
      <w:bookmarkEnd w:id="112"/>
      <w:r w:rsidRPr="009B114E">
        <w:rPr>
          <w:rFonts w:ascii="Times New Roman" w:eastAsiaTheme="minorEastAsia" w:hAnsi="Times New Roman" w:cstheme="minorBidi"/>
          <w:b/>
          <w:color w:val="002060" w:themeColor="text2"/>
          <w:sz w:val="28"/>
          <w:szCs w:val="28"/>
        </w:rPr>
        <w:t xml:space="preserve"> в регионе</w:t>
      </w:r>
      <w:bookmarkEnd w:id="113"/>
      <w:bookmarkEnd w:id="114"/>
    </w:p>
    <w:p w14:paraId="289338C3" w14:textId="77777777" w:rsidR="009B114E" w:rsidRPr="00071076" w:rsidRDefault="009B114E" w:rsidP="009B114E">
      <w:pPr>
        <w:ind w:left="-426" w:firstLine="567"/>
        <w:jc w:val="both"/>
        <w:rPr>
          <w:rFonts w:ascii="Times New Roman" w:hAnsi="Times New Roman"/>
          <w:sz w:val="24"/>
          <w:szCs w:val="24"/>
        </w:rPr>
      </w:pPr>
    </w:p>
    <w:p w14:paraId="32F567AF" w14:textId="1C929B44" w:rsidR="009B114E" w:rsidRPr="00C30A3F" w:rsidRDefault="009B114E" w:rsidP="00B42DF0">
      <w:pPr>
        <w:ind w:firstLine="567"/>
        <w:jc w:val="both"/>
        <w:rPr>
          <w:rFonts w:ascii="Times New Roman" w:hAnsi="Times New Roman"/>
          <w:sz w:val="28"/>
          <w:szCs w:val="28"/>
        </w:rPr>
      </w:pPr>
      <w:r w:rsidRPr="00C30A3F">
        <w:rPr>
          <w:rFonts w:ascii="Times New Roman" w:hAnsi="Times New Roman"/>
          <w:sz w:val="28"/>
          <w:szCs w:val="28"/>
        </w:rPr>
        <w:t>В 201</w:t>
      </w:r>
      <w:r>
        <w:rPr>
          <w:rFonts w:ascii="Times New Roman" w:hAnsi="Times New Roman"/>
          <w:sz w:val="28"/>
          <w:szCs w:val="28"/>
        </w:rPr>
        <w:t>9</w:t>
      </w:r>
      <w:r w:rsidRPr="00C30A3F">
        <w:rPr>
          <w:rFonts w:ascii="Times New Roman" w:hAnsi="Times New Roman"/>
          <w:sz w:val="28"/>
          <w:szCs w:val="28"/>
        </w:rPr>
        <w:t xml:space="preserve"> году деятельность </w:t>
      </w:r>
      <w:r w:rsidR="00517DC1">
        <w:rPr>
          <w:rFonts w:ascii="Times New Roman" w:hAnsi="Times New Roman"/>
          <w:sz w:val="28"/>
          <w:szCs w:val="28"/>
        </w:rPr>
        <w:t xml:space="preserve">областных исполнительных </w:t>
      </w:r>
      <w:r w:rsidRPr="00C30A3F">
        <w:rPr>
          <w:rFonts w:ascii="Times New Roman" w:hAnsi="Times New Roman"/>
          <w:sz w:val="28"/>
          <w:szCs w:val="28"/>
        </w:rPr>
        <w:t xml:space="preserve">органов </w:t>
      </w:r>
      <w:r w:rsidR="00517DC1">
        <w:rPr>
          <w:rFonts w:ascii="Times New Roman" w:hAnsi="Times New Roman"/>
          <w:sz w:val="28"/>
          <w:szCs w:val="28"/>
        </w:rPr>
        <w:t>государственной</w:t>
      </w:r>
      <w:r w:rsidR="00517DC1" w:rsidRPr="00C30A3F">
        <w:rPr>
          <w:rFonts w:ascii="Times New Roman" w:hAnsi="Times New Roman"/>
          <w:sz w:val="28"/>
          <w:szCs w:val="28"/>
        </w:rPr>
        <w:t xml:space="preserve"> </w:t>
      </w:r>
      <w:r w:rsidRPr="00C30A3F">
        <w:rPr>
          <w:rFonts w:ascii="Times New Roman" w:hAnsi="Times New Roman"/>
          <w:sz w:val="28"/>
          <w:szCs w:val="28"/>
        </w:rPr>
        <w:t xml:space="preserve">власти Новосибирской области по </w:t>
      </w:r>
      <w:r w:rsidR="00517DC1">
        <w:rPr>
          <w:rFonts w:ascii="Times New Roman" w:hAnsi="Times New Roman"/>
          <w:sz w:val="28"/>
          <w:szCs w:val="28"/>
        </w:rPr>
        <w:t xml:space="preserve">содействию </w:t>
      </w:r>
      <w:r w:rsidRPr="00C30A3F">
        <w:rPr>
          <w:rFonts w:ascii="Times New Roman" w:hAnsi="Times New Roman"/>
          <w:sz w:val="28"/>
          <w:szCs w:val="28"/>
        </w:rPr>
        <w:t xml:space="preserve">развитию конкуренции осуществлялась по </w:t>
      </w:r>
      <w:r>
        <w:rPr>
          <w:rFonts w:ascii="Times New Roman" w:hAnsi="Times New Roman"/>
          <w:sz w:val="28"/>
          <w:szCs w:val="28"/>
        </w:rPr>
        <w:t>следующим основным направлениям</w:t>
      </w:r>
      <w:r w:rsidRPr="00C30A3F">
        <w:rPr>
          <w:rFonts w:ascii="Times New Roman" w:hAnsi="Times New Roman"/>
          <w:sz w:val="28"/>
          <w:szCs w:val="28"/>
        </w:rPr>
        <w:t>:</w:t>
      </w:r>
    </w:p>
    <w:p w14:paraId="0B976C0F" w14:textId="77777777" w:rsidR="009B114E" w:rsidRPr="00C30A3F" w:rsidRDefault="00B42DF0" w:rsidP="00B42DF0">
      <w:pPr>
        <w:ind w:firstLine="567"/>
        <w:jc w:val="both"/>
        <w:rPr>
          <w:rFonts w:ascii="Times New Roman" w:hAnsi="Times New Roman"/>
          <w:sz w:val="28"/>
          <w:szCs w:val="28"/>
        </w:rPr>
      </w:pPr>
      <w:r>
        <w:rPr>
          <w:rFonts w:ascii="Times New Roman" w:hAnsi="Times New Roman"/>
          <w:sz w:val="28"/>
          <w:szCs w:val="28"/>
        </w:rPr>
        <w:t>1. </w:t>
      </w:r>
      <w:r w:rsidR="009B114E" w:rsidRPr="00C30A3F">
        <w:rPr>
          <w:rFonts w:ascii="Times New Roman" w:hAnsi="Times New Roman"/>
          <w:sz w:val="28"/>
          <w:szCs w:val="28"/>
        </w:rPr>
        <w:t xml:space="preserve">Реализация </w:t>
      </w:r>
      <w:r w:rsidR="009B114E" w:rsidRPr="00C30A3F">
        <w:rPr>
          <w:rFonts w:ascii="Times New Roman" w:hAnsi="Times New Roman"/>
          <w:iCs/>
          <w:sz w:val="28"/>
          <w:szCs w:val="28"/>
        </w:rPr>
        <w:t>Указа Президента Российской Федерации от 21.12.2017 № 618 «Об основных направлениях государственной политики по развитию конкуренции».</w:t>
      </w:r>
    </w:p>
    <w:p w14:paraId="4B1939DD" w14:textId="77777777" w:rsidR="009B114E" w:rsidRPr="00C30A3F" w:rsidRDefault="00B42DF0" w:rsidP="00B42DF0">
      <w:pPr>
        <w:ind w:firstLine="567"/>
        <w:jc w:val="both"/>
        <w:rPr>
          <w:rFonts w:ascii="Times New Roman" w:hAnsi="Times New Roman"/>
          <w:sz w:val="28"/>
          <w:szCs w:val="28"/>
        </w:rPr>
      </w:pPr>
      <w:r>
        <w:rPr>
          <w:rFonts w:ascii="Times New Roman" w:hAnsi="Times New Roman"/>
          <w:iCs/>
          <w:sz w:val="28"/>
          <w:szCs w:val="28"/>
        </w:rPr>
        <w:t>2. </w:t>
      </w:r>
      <w:r w:rsidR="009B114E" w:rsidRPr="00C30A3F">
        <w:rPr>
          <w:rFonts w:ascii="Times New Roman" w:hAnsi="Times New Roman"/>
          <w:iCs/>
          <w:sz w:val="28"/>
          <w:szCs w:val="28"/>
        </w:rPr>
        <w:t xml:space="preserve">Выполнение Перечня поручений Президента Российской Федерации от 15.05.2018 № Пр-817ГС по итогам заседания Государственного совета Российской Федерации 5 апреля 2018 года. </w:t>
      </w:r>
    </w:p>
    <w:p w14:paraId="21CDB8E4" w14:textId="77777777" w:rsidR="009B114E" w:rsidRDefault="00B42DF0" w:rsidP="00B42DF0">
      <w:pPr>
        <w:ind w:firstLine="567"/>
        <w:jc w:val="both"/>
        <w:rPr>
          <w:rFonts w:ascii="Times New Roman" w:hAnsi="Times New Roman"/>
          <w:sz w:val="28"/>
          <w:szCs w:val="28"/>
        </w:rPr>
      </w:pPr>
      <w:r>
        <w:rPr>
          <w:rFonts w:ascii="Times New Roman" w:hAnsi="Times New Roman"/>
          <w:sz w:val="28"/>
          <w:szCs w:val="28"/>
        </w:rPr>
        <w:t>3. </w:t>
      </w:r>
      <w:r w:rsidR="009B114E">
        <w:rPr>
          <w:rFonts w:ascii="Times New Roman" w:hAnsi="Times New Roman"/>
          <w:sz w:val="28"/>
          <w:szCs w:val="28"/>
        </w:rPr>
        <w:t>Внедрение</w:t>
      </w:r>
      <w:r w:rsidR="009B114E" w:rsidRPr="00C30A3F">
        <w:rPr>
          <w:rFonts w:ascii="Times New Roman" w:hAnsi="Times New Roman"/>
          <w:sz w:val="28"/>
          <w:szCs w:val="28"/>
        </w:rPr>
        <w:t xml:space="preserve"> </w:t>
      </w:r>
      <w:r w:rsidR="009B114E">
        <w:rPr>
          <w:rFonts w:ascii="Times New Roman" w:hAnsi="Times New Roman"/>
          <w:sz w:val="28"/>
          <w:szCs w:val="28"/>
        </w:rPr>
        <w:t>С</w:t>
      </w:r>
      <w:r w:rsidR="009B114E" w:rsidRPr="00C30A3F">
        <w:rPr>
          <w:rFonts w:ascii="Times New Roman" w:hAnsi="Times New Roman"/>
          <w:sz w:val="28"/>
          <w:szCs w:val="28"/>
        </w:rPr>
        <w:t>тандарт</w:t>
      </w:r>
      <w:r w:rsidR="009B114E">
        <w:rPr>
          <w:rFonts w:ascii="Times New Roman" w:hAnsi="Times New Roman"/>
          <w:sz w:val="28"/>
          <w:szCs w:val="28"/>
        </w:rPr>
        <w:t>а</w:t>
      </w:r>
      <w:r w:rsidR="009B114E" w:rsidRPr="00C30A3F">
        <w:rPr>
          <w:rFonts w:ascii="Times New Roman" w:hAnsi="Times New Roman"/>
          <w:sz w:val="28"/>
          <w:szCs w:val="28"/>
        </w:rPr>
        <w:t xml:space="preserve"> развития конкуренции в субъектах Российской Федерации, утвержденно</w:t>
      </w:r>
      <w:r w:rsidR="009B114E">
        <w:rPr>
          <w:rFonts w:ascii="Times New Roman" w:hAnsi="Times New Roman"/>
          <w:sz w:val="28"/>
          <w:szCs w:val="28"/>
        </w:rPr>
        <w:t>го</w:t>
      </w:r>
      <w:r w:rsidR="009B114E" w:rsidRPr="00C30A3F">
        <w:rPr>
          <w:rFonts w:ascii="Times New Roman" w:hAnsi="Times New Roman"/>
          <w:sz w:val="28"/>
          <w:szCs w:val="28"/>
        </w:rPr>
        <w:t xml:space="preserve"> </w:t>
      </w:r>
      <w:r w:rsidR="009B114E">
        <w:rPr>
          <w:rFonts w:ascii="Times New Roman" w:hAnsi="Times New Roman"/>
          <w:sz w:val="28"/>
          <w:szCs w:val="28"/>
        </w:rPr>
        <w:t>р</w:t>
      </w:r>
      <w:r w:rsidR="009B114E" w:rsidRPr="00323DE6">
        <w:rPr>
          <w:rFonts w:ascii="Times New Roman" w:hAnsi="Times New Roman"/>
          <w:sz w:val="28"/>
          <w:szCs w:val="28"/>
        </w:rPr>
        <w:t>аспоряжение</w:t>
      </w:r>
      <w:r w:rsidR="009B114E">
        <w:rPr>
          <w:rFonts w:ascii="Times New Roman" w:hAnsi="Times New Roman"/>
          <w:sz w:val="28"/>
          <w:szCs w:val="28"/>
        </w:rPr>
        <w:t>м</w:t>
      </w:r>
      <w:r w:rsidR="009B114E" w:rsidRPr="00323DE6">
        <w:rPr>
          <w:rFonts w:ascii="Times New Roman" w:hAnsi="Times New Roman"/>
          <w:sz w:val="28"/>
          <w:szCs w:val="28"/>
        </w:rPr>
        <w:t xml:space="preserve"> Правительства РФ от 17.04.2019 </w:t>
      </w:r>
      <w:r w:rsidR="009B114E">
        <w:rPr>
          <w:rFonts w:ascii="Times New Roman" w:hAnsi="Times New Roman"/>
          <w:sz w:val="28"/>
          <w:szCs w:val="28"/>
        </w:rPr>
        <w:t>№ </w:t>
      </w:r>
      <w:r w:rsidR="009B114E" w:rsidRPr="00323DE6">
        <w:rPr>
          <w:rFonts w:ascii="Times New Roman" w:hAnsi="Times New Roman"/>
          <w:sz w:val="28"/>
          <w:szCs w:val="28"/>
        </w:rPr>
        <w:t>768-р</w:t>
      </w:r>
      <w:r w:rsidR="009B114E">
        <w:rPr>
          <w:rFonts w:ascii="Times New Roman" w:hAnsi="Times New Roman"/>
          <w:sz w:val="28"/>
          <w:szCs w:val="28"/>
        </w:rPr>
        <w:t>.</w:t>
      </w:r>
    </w:p>
    <w:p w14:paraId="6C3AC1FE" w14:textId="77777777" w:rsidR="002C281A" w:rsidRDefault="002C281A" w:rsidP="00B42DF0">
      <w:pPr>
        <w:ind w:firstLine="426"/>
        <w:jc w:val="both"/>
        <w:rPr>
          <w:rFonts w:ascii="Times New Roman" w:hAnsi="Times New Roman"/>
          <w:sz w:val="28"/>
          <w:szCs w:val="28"/>
        </w:rPr>
      </w:pPr>
      <w:r>
        <w:rPr>
          <w:rFonts w:ascii="Times New Roman" w:hAnsi="Times New Roman"/>
          <w:sz w:val="28"/>
          <w:szCs w:val="28"/>
        </w:rPr>
        <w:t xml:space="preserve">В целях реализации вышеуказанных направлений </w:t>
      </w:r>
      <w:r w:rsidRPr="002C281A">
        <w:rPr>
          <w:rFonts w:ascii="Times New Roman" w:hAnsi="Times New Roman"/>
          <w:b/>
          <w:sz w:val="28"/>
          <w:szCs w:val="28"/>
        </w:rPr>
        <w:t>областными исполнительными органами государственной власти Новосибирской области</w:t>
      </w:r>
      <w:r>
        <w:rPr>
          <w:rFonts w:ascii="Times New Roman" w:hAnsi="Times New Roman"/>
          <w:sz w:val="28"/>
          <w:szCs w:val="28"/>
        </w:rPr>
        <w:t>:</w:t>
      </w:r>
    </w:p>
    <w:p w14:paraId="25310BD6" w14:textId="77777777" w:rsidR="002C281A" w:rsidRDefault="002C281A" w:rsidP="00B42DF0">
      <w:pPr>
        <w:ind w:firstLine="426"/>
        <w:jc w:val="both"/>
        <w:rPr>
          <w:rFonts w:ascii="Times New Roman" w:hAnsi="Times New Roman"/>
          <w:sz w:val="28"/>
          <w:szCs w:val="28"/>
        </w:rPr>
      </w:pPr>
    </w:p>
    <w:p w14:paraId="659FCD35" w14:textId="77777777" w:rsidR="002C281A" w:rsidRPr="00C30A3F" w:rsidRDefault="002C281A" w:rsidP="00B42DF0">
      <w:pPr>
        <w:ind w:firstLine="426"/>
        <w:jc w:val="both"/>
        <w:rPr>
          <w:rFonts w:ascii="Times New Roman" w:hAnsi="Times New Roman"/>
          <w:sz w:val="28"/>
          <w:szCs w:val="28"/>
        </w:rPr>
      </w:pPr>
      <w:r w:rsidRPr="006D6A40">
        <w:rPr>
          <w:rFonts w:ascii="Times New Roman" w:hAnsi="Times New Roman"/>
          <w:sz w:val="28"/>
          <w:szCs w:val="28"/>
        </w:rPr>
        <w:t>1.</w:t>
      </w:r>
      <w:r w:rsidR="00371000">
        <w:rPr>
          <w:rFonts w:ascii="Times New Roman" w:hAnsi="Times New Roman"/>
          <w:sz w:val="28"/>
          <w:szCs w:val="28"/>
        </w:rPr>
        <w:t> </w:t>
      </w:r>
      <w:r w:rsidRPr="006D6A40">
        <w:rPr>
          <w:rFonts w:ascii="Times New Roman" w:hAnsi="Times New Roman"/>
          <w:sz w:val="28"/>
          <w:szCs w:val="28"/>
        </w:rPr>
        <w:t xml:space="preserve">Принято Постановление Губернатора Новосибирской области от 22.07.2019 № 184 «О внедрении </w:t>
      </w:r>
      <w:r>
        <w:rPr>
          <w:rFonts w:ascii="Times New Roman" w:hAnsi="Times New Roman"/>
          <w:sz w:val="28"/>
          <w:szCs w:val="28"/>
        </w:rPr>
        <w:t>с</w:t>
      </w:r>
      <w:r w:rsidRPr="006D6A40">
        <w:rPr>
          <w:rFonts w:ascii="Times New Roman" w:hAnsi="Times New Roman"/>
          <w:sz w:val="28"/>
          <w:szCs w:val="28"/>
        </w:rPr>
        <w:t>тандарта развития конкуренции в Новосибирской области».</w:t>
      </w:r>
    </w:p>
    <w:p w14:paraId="3E905A7F" w14:textId="3F5B3BB9" w:rsidR="002C281A" w:rsidRPr="00C30A3F" w:rsidRDefault="002C281A" w:rsidP="00B42DF0">
      <w:pPr>
        <w:ind w:firstLine="426"/>
        <w:jc w:val="both"/>
        <w:rPr>
          <w:rFonts w:ascii="Times New Roman" w:hAnsi="Times New Roman"/>
          <w:sz w:val="28"/>
          <w:szCs w:val="28"/>
        </w:rPr>
      </w:pPr>
      <w:r w:rsidRPr="006D6A40">
        <w:rPr>
          <w:rFonts w:ascii="Times New Roman" w:hAnsi="Times New Roman"/>
          <w:sz w:val="28"/>
          <w:szCs w:val="28"/>
        </w:rPr>
        <w:t>2.</w:t>
      </w:r>
      <w:r w:rsidR="00371000">
        <w:rPr>
          <w:rFonts w:ascii="Times New Roman" w:hAnsi="Times New Roman"/>
          <w:sz w:val="28"/>
          <w:szCs w:val="28"/>
        </w:rPr>
        <w:t> </w:t>
      </w:r>
      <w:r w:rsidRPr="006D6A40">
        <w:rPr>
          <w:rFonts w:ascii="Times New Roman" w:hAnsi="Times New Roman"/>
          <w:sz w:val="28"/>
          <w:szCs w:val="28"/>
        </w:rPr>
        <w:t>Принято Постановление Правительства Новосибирской области от</w:t>
      </w:r>
      <w:r w:rsidR="00517DC1">
        <w:rPr>
          <w:rFonts w:ascii="Times New Roman" w:hAnsi="Times New Roman"/>
          <w:sz w:val="28"/>
          <w:szCs w:val="28"/>
        </w:rPr>
        <w:t> </w:t>
      </w:r>
      <w:r w:rsidRPr="006D6A40">
        <w:rPr>
          <w:rFonts w:ascii="Times New Roman" w:hAnsi="Times New Roman"/>
          <w:sz w:val="28"/>
          <w:szCs w:val="28"/>
        </w:rPr>
        <w:t>22.07.2019 № 271-п «Об определении органа исполнительной власти Новосибирской области, уполномоченного содействовать развитию конкуренции».</w:t>
      </w:r>
    </w:p>
    <w:p w14:paraId="42EC97B9" w14:textId="77777777" w:rsidR="002C281A" w:rsidRPr="00C30A3F" w:rsidRDefault="002C281A" w:rsidP="00B42DF0">
      <w:pPr>
        <w:ind w:firstLine="426"/>
        <w:jc w:val="both"/>
        <w:rPr>
          <w:rFonts w:ascii="Times New Roman" w:hAnsi="Times New Roman"/>
          <w:sz w:val="28"/>
          <w:szCs w:val="28"/>
        </w:rPr>
      </w:pPr>
      <w:r w:rsidRPr="006D6A40">
        <w:rPr>
          <w:rFonts w:ascii="Times New Roman" w:hAnsi="Times New Roman"/>
          <w:sz w:val="28"/>
          <w:szCs w:val="28"/>
        </w:rPr>
        <w:t>3.</w:t>
      </w:r>
      <w:r w:rsidR="00371000">
        <w:rPr>
          <w:rFonts w:ascii="Times New Roman" w:hAnsi="Times New Roman"/>
          <w:sz w:val="28"/>
          <w:szCs w:val="28"/>
        </w:rPr>
        <w:t> </w:t>
      </w:r>
      <w:r w:rsidRPr="006D6A40">
        <w:rPr>
          <w:rFonts w:ascii="Times New Roman" w:hAnsi="Times New Roman"/>
          <w:sz w:val="28"/>
          <w:szCs w:val="28"/>
        </w:rPr>
        <w:t xml:space="preserve">Продолжена работа Совета по содействию развитию конкуренции в Новосибирской области. </w:t>
      </w:r>
      <w:r>
        <w:rPr>
          <w:rFonts w:ascii="Times New Roman" w:hAnsi="Times New Roman"/>
          <w:sz w:val="28"/>
          <w:szCs w:val="28"/>
        </w:rPr>
        <w:t>В 2019 году п</w:t>
      </w:r>
      <w:r w:rsidRPr="006D6A40">
        <w:rPr>
          <w:rFonts w:ascii="Times New Roman" w:hAnsi="Times New Roman"/>
          <w:sz w:val="28"/>
          <w:szCs w:val="28"/>
        </w:rPr>
        <w:t xml:space="preserve">роведено </w:t>
      </w:r>
      <w:r>
        <w:rPr>
          <w:rFonts w:ascii="Times New Roman" w:hAnsi="Times New Roman"/>
          <w:sz w:val="28"/>
          <w:szCs w:val="28"/>
        </w:rPr>
        <w:t>4</w:t>
      </w:r>
      <w:r w:rsidRPr="006D6A40">
        <w:rPr>
          <w:rFonts w:ascii="Times New Roman" w:hAnsi="Times New Roman"/>
          <w:sz w:val="28"/>
          <w:szCs w:val="28"/>
        </w:rPr>
        <w:t xml:space="preserve"> заседания Совета, рассмотрено </w:t>
      </w:r>
      <w:r>
        <w:rPr>
          <w:rFonts w:ascii="Times New Roman" w:hAnsi="Times New Roman"/>
          <w:sz w:val="28"/>
          <w:szCs w:val="28"/>
        </w:rPr>
        <w:t>10</w:t>
      </w:r>
      <w:r w:rsidRPr="006D6A40">
        <w:rPr>
          <w:rFonts w:ascii="Times New Roman" w:hAnsi="Times New Roman"/>
          <w:sz w:val="28"/>
          <w:szCs w:val="28"/>
        </w:rPr>
        <w:t xml:space="preserve"> вопросов.</w:t>
      </w:r>
    </w:p>
    <w:p w14:paraId="09856908" w14:textId="19E5D987" w:rsidR="002C281A" w:rsidRPr="009B114E" w:rsidRDefault="00371000" w:rsidP="00B42DF0">
      <w:pPr>
        <w:ind w:firstLine="426"/>
        <w:jc w:val="both"/>
        <w:rPr>
          <w:rFonts w:ascii="Times New Roman" w:eastAsia="Times New Roman" w:hAnsi="Times New Roman" w:cs="Times New Roman"/>
          <w:bCs/>
          <w:sz w:val="28"/>
          <w:szCs w:val="28"/>
        </w:rPr>
      </w:pPr>
      <w:r>
        <w:rPr>
          <w:rFonts w:ascii="Times New Roman" w:hAnsi="Times New Roman"/>
          <w:sz w:val="28"/>
          <w:szCs w:val="28"/>
        </w:rPr>
        <w:t>4. </w:t>
      </w:r>
      <w:r w:rsidR="002C281A" w:rsidRPr="006D6A40">
        <w:rPr>
          <w:rFonts w:ascii="Times New Roman" w:hAnsi="Times New Roman"/>
          <w:sz w:val="28"/>
          <w:szCs w:val="28"/>
        </w:rPr>
        <w:t xml:space="preserve">Постановлением Губернатора Новосибирской области </w:t>
      </w:r>
      <w:r w:rsidR="002C281A" w:rsidRPr="009B114E">
        <w:rPr>
          <w:rFonts w:ascii="Times New Roman" w:eastAsia="Times New Roman" w:hAnsi="Times New Roman" w:cs="Times New Roman"/>
          <w:sz w:val="28"/>
          <w:szCs w:val="28"/>
        </w:rPr>
        <w:t>от 20.12.2019 № 287</w:t>
      </w:r>
      <w:r w:rsidR="002C281A">
        <w:rPr>
          <w:rFonts w:ascii="Times New Roman" w:eastAsia="Times New Roman" w:hAnsi="Times New Roman" w:cs="Times New Roman"/>
          <w:sz w:val="28"/>
          <w:szCs w:val="28"/>
        </w:rPr>
        <w:t xml:space="preserve"> «</w:t>
      </w:r>
      <w:r w:rsidR="002C281A" w:rsidRPr="009B114E">
        <w:rPr>
          <w:rFonts w:ascii="Times New Roman" w:eastAsia="Times New Roman" w:hAnsi="Times New Roman" w:cs="Times New Roman"/>
          <w:bCs/>
          <w:sz w:val="28"/>
          <w:szCs w:val="28"/>
        </w:rPr>
        <w:t xml:space="preserve">Об утверждении перечня товарных рынков для содействия развитию </w:t>
      </w:r>
      <w:r w:rsidR="002C281A">
        <w:rPr>
          <w:rFonts w:ascii="Times New Roman" w:eastAsia="Times New Roman" w:hAnsi="Times New Roman" w:cs="Times New Roman"/>
          <w:bCs/>
          <w:sz w:val="28"/>
          <w:szCs w:val="28"/>
        </w:rPr>
        <w:t>к</w:t>
      </w:r>
      <w:r w:rsidR="002C281A" w:rsidRPr="009B114E">
        <w:rPr>
          <w:rFonts w:ascii="Times New Roman" w:eastAsia="Times New Roman" w:hAnsi="Times New Roman" w:cs="Times New Roman"/>
          <w:bCs/>
          <w:sz w:val="28"/>
          <w:szCs w:val="28"/>
        </w:rPr>
        <w:t>онкуренции и плана мероприятий («дорожной карты») по содействию развитию конкуренции в Новосибирской области</w:t>
      </w:r>
      <w:r w:rsidR="002C281A">
        <w:rPr>
          <w:rFonts w:ascii="Times New Roman" w:eastAsia="Times New Roman" w:hAnsi="Times New Roman" w:cs="Times New Roman"/>
          <w:bCs/>
          <w:sz w:val="28"/>
          <w:szCs w:val="28"/>
        </w:rPr>
        <w:t xml:space="preserve">» утвержден перечень товарных рынков и </w:t>
      </w:r>
      <w:r w:rsidR="00517DC1">
        <w:rPr>
          <w:rFonts w:ascii="Times New Roman" w:eastAsia="Times New Roman" w:hAnsi="Times New Roman" w:cs="Times New Roman"/>
          <w:bCs/>
          <w:sz w:val="28"/>
          <w:szCs w:val="28"/>
        </w:rPr>
        <w:t>план мероприятий (</w:t>
      </w:r>
      <w:r w:rsidR="002C281A">
        <w:rPr>
          <w:rFonts w:ascii="Times New Roman" w:eastAsia="Times New Roman" w:hAnsi="Times New Roman" w:cs="Times New Roman"/>
          <w:bCs/>
          <w:sz w:val="28"/>
          <w:szCs w:val="28"/>
        </w:rPr>
        <w:t>«дорожная карта</w:t>
      </w:r>
      <w:r w:rsidR="00517DC1">
        <w:rPr>
          <w:rFonts w:ascii="Times New Roman" w:eastAsia="Times New Roman" w:hAnsi="Times New Roman" w:cs="Times New Roman"/>
          <w:bCs/>
          <w:sz w:val="28"/>
          <w:szCs w:val="28"/>
        </w:rPr>
        <w:t>»)</w:t>
      </w:r>
      <w:r w:rsidR="002C281A">
        <w:rPr>
          <w:rFonts w:ascii="Times New Roman" w:eastAsia="Times New Roman" w:hAnsi="Times New Roman" w:cs="Times New Roman"/>
          <w:bCs/>
          <w:sz w:val="28"/>
          <w:szCs w:val="28"/>
        </w:rPr>
        <w:t xml:space="preserve"> по содействию развитию конкуренции</w:t>
      </w:r>
      <w:r w:rsidR="00517DC1">
        <w:rPr>
          <w:rFonts w:ascii="Times New Roman" w:eastAsia="Times New Roman" w:hAnsi="Times New Roman" w:cs="Times New Roman"/>
          <w:bCs/>
          <w:sz w:val="28"/>
          <w:szCs w:val="28"/>
        </w:rPr>
        <w:t xml:space="preserve"> в Новосибирской области</w:t>
      </w:r>
      <w:r w:rsidR="002C281A">
        <w:rPr>
          <w:rFonts w:ascii="Times New Roman" w:eastAsia="Times New Roman" w:hAnsi="Times New Roman" w:cs="Times New Roman"/>
          <w:bCs/>
          <w:sz w:val="28"/>
          <w:szCs w:val="28"/>
        </w:rPr>
        <w:t xml:space="preserve"> </w:t>
      </w:r>
      <w:r w:rsidR="002C281A" w:rsidRPr="006D6A40">
        <w:rPr>
          <w:rFonts w:ascii="Times New Roman" w:hAnsi="Times New Roman"/>
          <w:sz w:val="28"/>
          <w:szCs w:val="28"/>
        </w:rPr>
        <w:t>(</w:t>
      </w:r>
      <w:hyperlink r:id="rId95" w:history="1">
        <w:r w:rsidR="002C281A" w:rsidRPr="006D6A40">
          <w:rPr>
            <w:rStyle w:val="a3"/>
            <w:rFonts w:ascii="Times New Roman" w:hAnsi="Times New Roman"/>
            <w:sz w:val="28"/>
            <w:szCs w:val="28"/>
          </w:rPr>
          <w:t>http://econom.nso.ru/page/756</w:t>
        </w:r>
      </w:hyperlink>
      <w:r w:rsidR="002C281A" w:rsidRPr="006D6A40">
        <w:rPr>
          <w:rFonts w:ascii="Times New Roman" w:hAnsi="Times New Roman"/>
          <w:sz w:val="28"/>
          <w:szCs w:val="28"/>
        </w:rPr>
        <w:t xml:space="preserve">). </w:t>
      </w:r>
    </w:p>
    <w:p w14:paraId="5E1AFCB2" w14:textId="77777777" w:rsidR="002C281A" w:rsidRPr="00C30A3F" w:rsidRDefault="00371000" w:rsidP="00B42DF0">
      <w:pPr>
        <w:ind w:firstLine="567"/>
        <w:jc w:val="both"/>
        <w:rPr>
          <w:rFonts w:ascii="Times New Roman" w:hAnsi="Times New Roman"/>
          <w:sz w:val="28"/>
          <w:szCs w:val="28"/>
        </w:rPr>
      </w:pPr>
      <w:r>
        <w:rPr>
          <w:rFonts w:ascii="Times New Roman" w:hAnsi="Times New Roman"/>
          <w:sz w:val="28"/>
          <w:szCs w:val="28"/>
        </w:rPr>
        <w:t>5. </w:t>
      </w:r>
      <w:r w:rsidR="002C281A" w:rsidRPr="006D6A40">
        <w:rPr>
          <w:rFonts w:ascii="Times New Roman" w:hAnsi="Times New Roman"/>
          <w:sz w:val="28"/>
          <w:szCs w:val="28"/>
        </w:rPr>
        <w:t>Во исполнение подпункта «а» пункта 2 Перечня поручений Президента Российской Федерации от 15.05.2018 № Пр-817ГС областными исполнительными органами государственной власти Новосибирской области</w:t>
      </w:r>
      <w:r w:rsidR="002C281A" w:rsidRPr="006D6A40">
        <w:rPr>
          <w:rFonts w:ascii="Times New Roman" w:hAnsi="Times New Roman"/>
          <w:iCs/>
          <w:sz w:val="28"/>
          <w:szCs w:val="28"/>
        </w:rPr>
        <w:t xml:space="preserve"> разработан </w:t>
      </w:r>
      <w:r w:rsidR="002C281A" w:rsidRPr="006D6A40">
        <w:rPr>
          <w:rFonts w:ascii="Times New Roman" w:hAnsi="Times New Roman"/>
          <w:sz w:val="28"/>
          <w:szCs w:val="28"/>
        </w:rPr>
        <w:t xml:space="preserve">перечень </w:t>
      </w:r>
      <w:r w:rsidR="002C281A" w:rsidRPr="006D6A40">
        <w:rPr>
          <w:rFonts w:ascii="Times New Roman" w:hAnsi="Times New Roman"/>
          <w:sz w:val="28"/>
          <w:szCs w:val="28"/>
        </w:rPr>
        <w:lastRenderedPageBreak/>
        <w:t xml:space="preserve">ключевых показателей развития конкуренции в Новосибирской области (доля присутствия в отраслях (сферах) экономики частного бизнеса) к 1 января 2022 года (далее – ключевые показатели). </w:t>
      </w:r>
    </w:p>
    <w:p w14:paraId="4C5D199F" w14:textId="77777777" w:rsidR="002C281A" w:rsidRPr="00C30A3F" w:rsidRDefault="002C281A" w:rsidP="00B42DF0">
      <w:pPr>
        <w:ind w:firstLine="567"/>
        <w:jc w:val="both"/>
        <w:rPr>
          <w:rFonts w:ascii="Times New Roman" w:hAnsi="Times New Roman"/>
          <w:sz w:val="28"/>
          <w:szCs w:val="28"/>
        </w:rPr>
      </w:pPr>
      <w:r w:rsidRPr="006D6A40">
        <w:rPr>
          <w:rFonts w:ascii="Times New Roman" w:hAnsi="Times New Roman"/>
          <w:sz w:val="28"/>
          <w:szCs w:val="28"/>
        </w:rPr>
        <w:t xml:space="preserve">При разработке ключевых показателей </w:t>
      </w:r>
      <w:r w:rsidR="00F14B98" w:rsidRPr="00F14B98">
        <w:rPr>
          <w:rFonts w:ascii="Times New Roman" w:hAnsi="Times New Roman"/>
          <w:sz w:val="28"/>
          <w:szCs w:val="28"/>
        </w:rPr>
        <w:t>областны</w:t>
      </w:r>
      <w:r w:rsidR="00F14B98">
        <w:rPr>
          <w:rFonts w:ascii="Times New Roman" w:hAnsi="Times New Roman"/>
          <w:sz w:val="28"/>
          <w:szCs w:val="28"/>
        </w:rPr>
        <w:t>е</w:t>
      </w:r>
      <w:r w:rsidR="00F14B98" w:rsidRPr="00F14B98">
        <w:rPr>
          <w:rFonts w:ascii="Times New Roman" w:hAnsi="Times New Roman"/>
          <w:sz w:val="28"/>
          <w:szCs w:val="28"/>
        </w:rPr>
        <w:t xml:space="preserve"> исполнительны</w:t>
      </w:r>
      <w:r w:rsidR="00F14B98">
        <w:rPr>
          <w:rFonts w:ascii="Times New Roman" w:hAnsi="Times New Roman"/>
          <w:sz w:val="28"/>
          <w:szCs w:val="28"/>
        </w:rPr>
        <w:t>е</w:t>
      </w:r>
      <w:r w:rsidR="00F14B98" w:rsidRPr="00F14B98">
        <w:rPr>
          <w:rFonts w:ascii="Times New Roman" w:hAnsi="Times New Roman"/>
          <w:sz w:val="28"/>
          <w:szCs w:val="28"/>
        </w:rPr>
        <w:t xml:space="preserve"> орган</w:t>
      </w:r>
      <w:r w:rsidR="00F14B98">
        <w:rPr>
          <w:rFonts w:ascii="Times New Roman" w:hAnsi="Times New Roman"/>
          <w:sz w:val="28"/>
          <w:szCs w:val="28"/>
        </w:rPr>
        <w:t>ы</w:t>
      </w:r>
      <w:r w:rsidR="00F14B98" w:rsidRPr="00F14B98">
        <w:rPr>
          <w:rFonts w:ascii="Times New Roman" w:hAnsi="Times New Roman"/>
          <w:sz w:val="28"/>
          <w:szCs w:val="28"/>
        </w:rPr>
        <w:t xml:space="preserve"> государственной власти Новосибирской </w:t>
      </w:r>
      <w:r w:rsidRPr="006D6A40">
        <w:rPr>
          <w:rFonts w:ascii="Times New Roman" w:hAnsi="Times New Roman"/>
          <w:sz w:val="28"/>
          <w:szCs w:val="28"/>
        </w:rPr>
        <w:t>руководствовались приказом ФАС России от 29.08.2018 № 1232/18 «Об утверждении Методик по расчету ключевых показателей развития конкуренции в отраслях экономики в субъектах Российской Федерации».</w:t>
      </w:r>
    </w:p>
    <w:p w14:paraId="2AACC440" w14:textId="77777777" w:rsidR="002C281A" w:rsidRPr="00C30A3F" w:rsidRDefault="002C281A" w:rsidP="00B42DF0">
      <w:pPr>
        <w:ind w:firstLine="567"/>
        <w:jc w:val="both"/>
        <w:rPr>
          <w:rFonts w:ascii="Times New Roman" w:hAnsi="Times New Roman"/>
          <w:sz w:val="28"/>
          <w:szCs w:val="28"/>
        </w:rPr>
      </w:pPr>
      <w:r w:rsidRPr="006D6A40">
        <w:rPr>
          <w:rFonts w:ascii="Times New Roman" w:hAnsi="Times New Roman"/>
          <w:sz w:val="28"/>
          <w:szCs w:val="28"/>
        </w:rPr>
        <w:t>Ключевые показатели согласованы с Федеральной антимонопольной службой, а также с другими заинтересованными федеральными органами исполнительной власти, осуществляющими функции по выработке государственной политики в соответствующей отрасли (сфере) экономики.</w:t>
      </w:r>
    </w:p>
    <w:p w14:paraId="40F19CC6" w14:textId="77777777" w:rsidR="002C281A" w:rsidRDefault="00371000" w:rsidP="00B42DF0">
      <w:pPr>
        <w:ind w:firstLine="567"/>
        <w:jc w:val="both"/>
        <w:rPr>
          <w:rFonts w:ascii="Times New Roman" w:hAnsi="Times New Roman"/>
          <w:sz w:val="28"/>
          <w:szCs w:val="28"/>
        </w:rPr>
      </w:pPr>
      <w:r>
        <w:rPr>
          <w:rFonts w:ascii="Times New Roman" w:hAnsi="Times New Roman"/>
          <w:sz w:val="28"/>
          <w:szCs w:val="28"/>
        </w:rPr>
        <w:t>6. </w:t>
      </w:r>
      <w:r w:rsidR="002C281A">
        <w:rPr>
          <w:rFonts w:ascii="Times New Roman" w:hAnsi="Times New Roman"/>
          <w:sz w:val="28"/>
          <w:szCs w:val="28"/>
        </w:rPr>
        <w:t xml:space="preserve">Всеми областными исполнительными </w:t>
      </w:r>
      <w:r w:rsidR="002C281A" w:rsidRPr="006D6A40">
        <w:rPr>
          <w:rFonts w:ascii="Times New Roman" w:hAnsi="Times New Roman"/>
          <w:sz w:val="28"/>
          <w:szCs w:val="28"/>
        </w:rPr>
        <w:t>органа</w:t>
      </w:r>
      <w:r w:rsidR="002C281A">
        <w:rPr>
          <w:rFonts w:ascii="Times New Roman" w:hAnsi="Times New Roman"/>
          <w:sz w:val="28"/>
          <w:szCs w:val="28"/>
        </w:rPr>
        <w:t>ми государственной власти</w:t>
      </w:r>
      <w:r w:rsidR="00F14B98">
        <w:rPr>
          <w:rFonts w:ascii="Times New Roman" w:hAnsi="Times New Roman"/>
          <w:sz w:val="28"/>
          <w:szCs w:val="28"/>
        </w:rPr>
        <w:t xml:space="preserve"> Новосибирской области</w:t>
      </w:r>
      <w:r w:rsidR="002C281A" w:rsidRPr="006D6A40">
        <w:rPr>
          <w:rFonts w:ascii="Times New Roman" w:hAnsi="Times New Roman"/>
          <w:sz w:val="28"/>
          <w:szCs w:val="28"/>
        </w:rPr>
        <w:t xml:space="preserve"> определены должностные лица с правом принятия управленческих решений, занимающих должности не ниже заместителя руководителя, ответственны</w:t>
      </w:r>
      <w:r w:rsidR="002C281A">
        <w:rPr>
          <w:rFonts w:ascii="Times New Roman" w:hAnsi="Times New Roman"/>
          <w:sz w:val="28"/>
          <w:szCs w:val="28"/>
        </w:rPr>
        <w:t>е</w:t>
      </w:r>
      <w:r w:rsidR="002C281A" w:rsidRPr="006D6A40">
        <w:rPr>
          <w:rFonts w:ascii="Times New Roman" w:hAnsi="Times New Roman"/>
          <w:sz w:val="28"/>
          <w:szCs w:val="28"/>
        </w:rPr>
        <w:t xml:space="preserve"> за координацию вопросов содействия развитию конкуренции, а также структурны</w:t>
      </w:r>
      <w:r w:rsidR="002C281A">
        <w:rPr>
          <w:rFonts w:ascii="Times New Roman" w:hAnsi="Times New Roman"/>
          <w:sz w:val="28"/>
          <w:szCs w:val="28"/>
        </w:rPr>
        <w:t>е</w:t>
      </w:r>
      <w:r w:rsidR="002C281A" w:rsidRPr="006D6A40">
        <w:rPr>
          <w:rFonts w:ascii="Times New Roman" w:hAnsi="Times New Roman"/>
          <w:sz w:val="28"/>
          <w:szCs w:val="28"/>
        </w:rPr>
        <w:t xml:space="preserve"> подразделени</w:t>
      </w:r>
      <w:r w:rsidR="002C281A">
        <w:rPr>
          <w:rFonts w:ascii="Times New Roman" w:hAnsi="Times New Roman"/>
          <w:sz w:val="28"/>
          <w:szCs w:val="28"/>
        </w:rPr>
        <w:t>я</w:t>
      </w:r>
      <w:r w:rsidR="002C281A" w:rsidRPr="006D6A40">
        <w:rPr>
          <w:rFonts w:ascii="Times New Roman" w:hAnsi="Times New Roman"/>
          <w:sz w:val="28"/>
          <w:szCs w:val="28"/>
        </w:rPr>
        <w:t>, ответственны</w:t>
      </w:r>
      <w:r w:rsidR="002C281A">
        <w:rPr>
          <w:rFonts w:ascii="Times New Roman" w:hAnsi="Times New Roman"/>
          <w:sz w:val="28"/>
          <w:szCs w:val="28"/>
        </w:rPr>
        <w:t>е</w:t>
      </w:r>
      <w:r w:rsidR="002C281A" w:rsidRPr="006D6A40">
        <w:rPr>
          <w:rFonts w:ascii="Times New Roman" w:hAnsi="Times New Roman"/>
          <w:sz w:val="28"/>
          <w:szCs w:val="28"/>
        </w:rPr>
        <w:t xml:space="preserve">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14:paraId="10182363" w14:textId="332DE9ED" w:rsidR="002C281A" w:rsidRPr="00C30A3F" w:rsidRDefault="00371000" w:rsidP="00B42DF0">
      <w:pPr>
        <w:ind w:firstLine="567"/>
        <w:jc w:val="both"/>
        <w:rPr>
          <w:rFonts w:ascii="Times New Roman" w:hAnsi="Times New Roman"/>
          <w:sz w:val="28"/>
          <w:szCs w:val="28"/>
        </w:rPr>
      </w:pPr>
      <w:r>
        <w:rPr>
          <w:rFonts w:ascii="Times New Roman" w:hAnsi="Times New Roman"/>
          <w:sz w:val="28"/>
          <w:szCs w:val="28"/>
        </w:rPr>
        <w:t>7. </w:t>
      </w:r>
      <w:r w:rsidR="002C281A" w:rsidRPr="006D6A40">
        <w:rPr>
          <w:rFonts w:ascii="Times New Roman" w:hAnsi="Times New Roman"/>
          <w:sz w:val="28"/>
          <w:szCs w:val="28"/>
        </w:rPr>
        <w:t>Заключены Соглашения между министерством экономического развития Новосибирской области (уполномоченным органом) и администрациями муниципальных районов</w:t>
      </w:r>
      <w:r w:rsidR="00EA7E1B">
        <w:rPr>
          <w:rFonts w:ascii="Times New Roman" w:hAnsi="Times New Roman"/>
          <w:sz w:val="28"/>
          <w:szCs w:val="28"/>
        </w:rPr>
        <w:t xml:space="preserve"> и</w:t>
      </w:r>
      <w:r w:rsidR="002C281A" w:rsidRPr="006D6A40">
        <w:rPr>
          <w:rFonts w:ascii="Times New Roman" w:hAnsi="Times New Roman"/>
          <w:sz w:val="28"/>
          <w:szCs w:val="28"/>
        </w:rPr>
        <w:t xml:space="preserve"> городских округов о внедрении в Новосибирской области Стандарта развития конкуренции в субъектах Российской Федерации.</w:t>
      </w:r>
    </w:p>
    <w:p w14:paraId="09123D13" w14:textId="77777777" w:rsidR="002C281A" w:rsidRPr="00C30A3F" w:rsidRDefault="00371000" w:rsidP="00B42DF0">
      <w:pPr>
        <w:ind w:firstLine="567"/>
        <w:jc w:val="both"/>
        <w:rPr>
          <w:rFonts w:ascii="Times New Roman" w:hAnsi="Times New Roman"/>
          <w:sz w:val="28"/>
          <w:szCs w:val="28"/>
        </w:rPr>
      </w:pPr>
      <w:r>
        <w:rPr>
          <w:rFonts w:ascii="Times New Roman" w:hAnsi="Times New Roman"/>
          <w:sz w:val="28"/>
          <w:szCs w:val="28"/>
        </w:rPr>
        <w:t>8. </w:t>
      </w:r>
      <w:r w:rsidR="002C281A" w:rsidRPr="006D6A40">
        <w:rPr>
          <w:rFonts w:ascii="Times New Roman" w:hAnsi="Times New Roman"/>
          <w:sz w:val="28"/>
          <w:szCs w:val="28"/>
        </w:rPr>
        <w:t>Организовано проведение обучающ</w:t>
      </w:r>
      <w:r w:rsidR="00F14B98">
        <w:rPr>
          <w:rFonts w:ascii="Times New Roman" w:hAnsi="Times New Roman"/>
          <w:sz w:val="28"/>
          <w:szCs w:val="28"/>
        </w:rPr>
        <w:t>их мероприятий</w:t>
      </w:r>
      <w:r w:rsidR="002C281A" w:rsidRPr="006D6A40">
        <w:rPr>
          <w:rFonts w:ascii="Times New Roman" w:hAnsi="Times New Roman"/>
          <w:sz w:val="28"/>
          <w:szCs w:val="28"/>
        </w:rPr>
        <w:t xml:space="preserve"> для органов местного самоуправления по вопросам содействия развитию конкуренции.</w:t>
      </w:r>
    </w:p>
    <w:p w14:paraId="1BBDA68B" w14:textId="1331936B" w:rsidR="002C281A" w:rsidRPr="00C30A3F" w:rsidRDefault="00371000" w:rsidP="00B42DF0">
      <w:pPr>
        <w:autoSpaceDE w:val="0"/>
        <w:autoSpaceDN w:val="0"/>
        <w:ind w:firstLine="567"/>
        <w:jc w:val="both"/>
        <w:rPr>
          <w:rFonts w:ascii="Times New Roman" w:hAnsi="Times New Roman"/>
          <w:sz w:val="28"/>
          <w:szCs w:val="28"/>
        </w:rPr>
      </w:pPr>
      <w:r>
        <w:rPr>
          <w:rFonts w:ascii="Times New Roman" w:hAnsi="Times New Roman"/>
          <w:sz w:val="28"/>
          <w:szCs w:val="28"/>
        </w:rPr>
        <w:t>9. </w:t>
      </w:r>
      <w:r w:rsidR="002C281A" w:rsidRPr="006D6A40">
        <w:rPr>
          <w:rFonts w:ascii="Times New Roman" w:hAnsi="Times New Roman"/>
          <w:sz w:val="28"/>
          <w:szCs w:val="28"/>
        </w:rPr>
        <w:t>Приказом Минэкономразвития Новосибирской области от 27.06.2019 № 69 утверждена методика формирования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w:t>
      </w:r>
      <w:r w:rsidR="00EA7E1B">
        <w:rPr>
          <w:rFonts w:ascii="Times New Roman" w:hAnsi="Times New Roman"/>
          <w:sz w:val="28"/>
          <w:szCs w:val="28"/>
        </w:rPr>
        <w:t>.</w:t>
      </w:r>
      <w:r w:rsidR="002C281A" w:rsidRPr="006D6A40">
        <w:rPr>
          <w:rFonts w:ascii="Times New Roman" w:hAnsi="Times New Roman"/>
          <w:sz w:val="28"/>
          <w:szCs w:val="28"/>
        </w:rPr>
        <w:t xml:space="preserve"> </w:t>
      </w:r>
    </w:p>
    <w:p w14:paraId="55AAF584" w14:textId="77777777" w:rsidR="002C281A" w:rsidRDefault="00371000" w:rsidP="00B42DF0">
      <w:pPr>
        <w:adjustRightInd w:val="0"/>
        <w:ind w:firstLine="567"/>
        <w:jc w:val="both"/>
        <w:rPr>
          <w:rFonts w:ascii="Times New Roman" w:hAnsi="Times New Roman"/>
          <w:sz w:val="28"/>
          <w:szCs w:val="28"/>
        </w:rPr>
      </w:pPr>
      <w:r>
        <w:rPr>
          <w:rFonts w:ascii="Times New Roman" w:hAnsi="Times New Roman"/>
          <w:sz w:val="28"/>
          <w:szCs w:val="28"/>
        </w:rPr>
        <w:t>10. </w:t>
      </w:r>
      <w:r w:rsidR="002C281A">
        <w:rPr>
          <w:rFonts w:ascii="Times New Roman" w:hAnsi="Times New Roman"/>
          <w:sz w:val="28"/>
          <w:szCs w:val="28"/>
        </w:rPr>
        <w:t>Проведен</w:t>
      </w:r>
      <w:r w:rsidR="002C281A" w:rsidRPr="006D6A40">
        <w:rPr>
          <w:rFonts w:ascii="Times New Roman" w:hAnsi="Times New Roman"/>
          <w:sz w:val="28"/>
          <w:szCs w:val="28"/>
        </w:rPr>
        <w:t xml:space="preserve"> мониторинг состояния и развития конкурентной среды на рынках товаров, работ и услуг Новосибирской области за 2019 год.</w:t>
      </w:r>
    </w:p>
    <w:p w14:paraId="1A99ACAF" w14:textId="77777777" w:rsidR="002C281A" w:rsidRDefault="002C281A" w:rsidP="00B42DF0">
      <w:pPr>
        <w:adjustRightInd w:val="0"/>
        <w:ind w:firstLine="567"/>
        <w:jc w:val="both"/>
        <w:rPr>
          <w:rFonts w:ascii="Times New Roman" w:hAnsi="Times New Roman" w:cs="Times New Roman"/>
          <w:b/>
          <w:sz w:val="28"/>
          <w:szCs w:val="28"/>
        </w:rPr>
      </w:pPr>
      <w:r w:rsidRPr="002C281A">
        <w:rPr>
          <w:rFonts w:ascii="Times New Roman" w:hAnsi="Times New Roman" w:cs="Times New Roman"/>
          <w:sz w:val="28"/>
          <w:szCs w:val="28"/>
        </w:rPr>
        <w:t>В 2019 году</w:t>
      </w:r>
      <w:r>
        <w:rPr>
          <w:rFonts w:ascii="Times New Roman" w:hAnsi="Times New Roman" w:cs="Times New Roman"/>
          <w:b/>
          <w:sz w:val="28"/>
          <w:szCs w:val="28"/>
        </w:rPr>
        <w:t xml:space="preserve"> о</w:t>
      </w:r>
      <w:r w:rsidRPr="002C281A">
        <w:rPr>
          <w:rFonts w:ascii="Times New Roman" w:hAnsi="Times New Roman" w:cs="Times New Roman"/>
          <w:b/>
          <w:sz w:val="28"/>
          <w:szCs w:val="28"/>
        </w:rPr>
        <w:t xml:space="preserve">рганами местного самоуправления </w:t>
      </w:r>
      <w:bookmarkStart w:id="115" w:name="_Toc25664479"/>
      <w:r w:rsidRPr="002C281A">
        <w:rPr>
          <w:rFonts w:ascii="Times New Roman" w:hAnsi="Times New Roman" w:cs="Times New Roman"/>
          <w:b/>
          <w:sz w:val="28"/>
          <w:szCs w:val="28"/>
        </w:rPr>
        <w:t>муниципальных образований Новосибирской области</w:t>
      </w:r>
      <w:r>
        <w:rPr>
          <w:rFonts w:ascii="Times New Roman" w:hAnsi="Times New Roman" w:cs="Times New Roman"/>
          <w:b/>
          <w:sz w:val="28"/>
          <w:szCs w:val="28"/>
        </w:rPr>
        <w:t>:</w:t>
      </w:r>
    </w:p>
    <w:p w14:paraId="1482865A" w14:textId="00DA3DEB" w:rsidR="002C281A" w:rsidRDefault="002C281A" w:rsidP="00B42DF0">
      <w:pPr>
        <w:adjustRightInd w:val="0"/>
        <w:ind w:firstLine="567"/>
        <w:jc w:val="both"/>
        <w:rPr>
          <w:rFonts w:ascii="Times New Roman" w:hAnsi="Times New Roman"/>
          <w:sz w:val="28"/>
          <w:szCs w:val="28"/>
        </w:rPr>
      </w:pPr>
      <w:r w:rsidRPr="002C281A">
        <w:rPr>
          <w:rFonts w:ascii="Times New Roman" w:hAnsi="Times New Roman" w:cs="Times New Roman"/>
          <w:sz w:val="28"/>
          <w:szCs w:val="28"/>
        </w:rPr>
        <w:t>1</w:t>
      </w:r>
      <w:r w:rsidR="00371000">
        <w:rPr>
          <w:rFonts w:ascii="Times New Roman" w:hAnsi="Times New Roman"/>
          <w:sz w:val="28"/>
          <w:szCs w:val="28"/>
        </w:rPr>
        <w:t>. </w:t>
      </w:r>
      <w:r w:rsidRPr="002C281A">
        <w:rPr>
          <w:rFonts w:ascii="Times New Roman" w:hAnsi="Times New Roman"/>
          <w:sz w:val="28"/>
          <w:szCs w:val="28"/>
        </w:rPr>
        <w:t>Р</w:t>
      </w:r>
      <w:bookmarkEnd w:id="115"/>
      <w:r w:rsidRPr="002C281A">
        <w:rPr>
          <w:rFonts w:ascii="Times New Roman" w:hAnsi="Times New Roman"/>
          <w:sz w:val="28"/>
          <w:szCs w:val="28"/>
        </w:rPr>
        <w:t>азработаны планы мероприятий по содействию</w:t>
      </w:r>
      <w:r>
        <w:rPr>
          <w:rFonts w:ascii="Times New Roman" w:hAnsi="Times New Roman"/>
          <w:sz w:val="28"/>
          <w:szCs w:val="28"/>
        </w:rPr>
        <w:t xml:space="preserve"> развитию конкуренции</w:t>
      </w:r>
      <w:r w:rsidR="00EA7E1B">
        <w:rPr>
          <w:rFonts w:ascii="Times New Roman" w:hAnsi="Times New Roman"/>
          <w:sz w:val="28"/>
          <w:szCs w:val="28"/>
        </w:rPr>
        <w:t>.</w:t>
      </w:r>
      <w:r w:rsidR="007C2FFC">
        <w:rPr>
          <w:rFonts w:ascii="Times New Roman" w:hAnsi="Times New Roman"/>
          <w:sz w:val="28"/>
          <w:szCs w:val="28"/>
        </w:rPr>
        <w:t xml:space="preserve"> </w:t>
      </w:r>
      <w:r w:rsidR="00EA7E1B">
        <w:rPr>
          <w:rFonts w:ascii="Times New Roman" w:hAnsi="Times New Roman"/>
          <w:sz w:val="28"/>
          <w:szCs w:val="28"/>
        </w:rPr>
        <w:t>О</w:t>
      </w:r>
      <w:r w:rsidR="007C2FFC">
        <w:rPr>
          <w:rFonts w:ascii="Times New Roman" w:hAnsi="Times New Roman"/>
          <w:sz w:val="28"/>
          <w:szCs w:val="28"/>
        </w:rPr>
        <w:t xml:space="preserve">рганы местного самоуправления муниципальных образований являются также соисполнителями </w:t>
      </w:r>
      <w:r w:rsidR="007C2FFC" w:rsidRPr="009B114E">
        <w:rPr>
          <w:rFonts w:ascii="Times New Roman" w:eastAsia="Times New Roman" w:hAnsi="Times New Roman" w:cs="Times New Roman"/>
          <w:bCs/>
          <w:sz w:val="28"/>
          <w:szCs w:val="28"/>
        </w:rPr>
        <w:t>плана мероприятий («дорожной карты») по содействию развитию конкуренции в Новосибирской области</w:t>
      </w:r>
      <w:r w:rsidR="007C2FFC">
        <w:rPr>
          <w:rFonts w:ascii="Times New Roman" w:eastAsia="Times New Roman" w:hAnsi="Times New Roman" w:cs="Times New Roman"/>
          <w:bCs/>
          <w:sz w:val="28"/>
          <w:szCs w:val="28"/>
        </w:rPr>
        <w:t>, утвержденно</w:t>
      </w:r>
      <w:r w:rsidR="00EA7E1B">
        <w:rPr>
          <w:rFonts w:ascii="Times New Roman" w:eastAsia="Times New Roman" w:hAnsi="Times New Roman" w:cs="Times New Roman"/>
          <w:bCs/>
          <w:sz w:val="28"/>
          <w:szCs w:val="28"/>
        </w:rPr>
        <w:t>го</w:t>
      </w:r>
      <w:r w:rsidR="007C2FFC">
        <w:rPr>
          <w:rFonts w:ascii="Times New Roman" w:eastAsia="Times New Roman" w:hAnsi="Times New Roman" w:cs="Times New Roman"/>
          <w:bCs/>
          <w:sz w:val="28"/>
          <w:szCs w:val="28"/>
        </w:rPr>
        <w:t xml:space="preserve"> п</w:t>
      </w:r>
      <w:r w:rsidR="007C2FFC" w:rsidRPr="006D6A40">
        <w:rPr>
          <w:rFonts w:ascii="Times New Roman" w:hAnsi="Times New Roman"/>
          <w:sz w:val="28"/>
          <w:szCs w:val="28"/>
        </w:rPr>
        <w:t xml:space="preserve">остановлением Губернатора Новосибирской области </w:t>
      </w:r>
      <w:r w:rsidR="007C2FFC" w:rsidRPr="009B114E">
        <w:rPr>
          <w:rFonts w:ascii="Times New Roman" w:eastAsia="Times New Roman" w:hAnsi="Times New Roman" w:cs="Times New Roman"/>
          <w:sz w:val="28"/>
          <w:szCs w:val="28"/>
        </w:rPr>
        <w:t>от 20.12.2019 № 287</w:t>
      </w:r>
      <w:r w:rsidR="007C2FFC">
        <w:rPr>
          <w:rFonts w:ascii="Times New Roman" w:eastAsia="Times New Roman" w:hAnsi="Times New Roman" w:cs="Times New Roman"/>
          <w:sz w:val="28"/>
          <w:szCs w:val="28"/>
        </w:rPr>
        <w:t xml:space="preserve"> «</w:t>
      </w:r>
      <w:r w:rsidR="007C2FFC" w:rsidRPr="009B114E">
        <w:rPr>
          <w:rFonts w:ascii="Times New Roman" w:eastAsia="Times New Roman" w:hAnsi="Times New Roman" w:cs="Times New Roman"/>
          <w:bCs/>
          <w:sz w:val="28"/>
          <w:szCs w:val="28"/>
        </w:rPr>
        <w:t xml:space="preserve">Об утверждении перечня товарных рынков для содействия развитию </w:t>
      </w:r>
      <w:r w:rsidR="007C2FFC">
        <w:rPr>
          <w:rFonts w:ascii="Times New Roman" w:eastAsia="Times New Roman" w:hAnsi="Times New Roman" w:cs="Times New Roman"/>
          <w:bCs/>
          <w:sz w:val="28"/>
          <w:szCs w:val="28"/>
        </w:rPr>
        <w:t>к</w:t>
      </w:r>
      <w:r w:rsidR="007C2FFC" w:rsidRPr="009B114E">
        <w:rPr>
          <w:rFonts w:ascii="Times New Roman" w:eastAsia="Times New Roman" w:hAnsi="Times New Roman" w:cs="Times New Roman"/>
          <w:bCs/>
          <w:sz w:val="28"/>
          <w:szCs w:val="28"/>
        </w:rPr>
        <w:t>онкуренции и плана мероприятий («дорожной карты») по содействию развитию конкуренции в Новосибирской области</w:t>
      </w:r>
      <w:r w:rsidR="007C2FFC">
        <w:rPr>
          <w:rFonts w:ascii="Times New Roman" w:eastAsia="Times New Roman" w:hAnsi="Times New Roman" w:cs="Times New Roman"/>
          <w:bCs/>
          <w:sz w:val="28"/>
          <w:szCs w:val="28"/>
        </w:rPr>
        <w:t>».</w:t>
      </w:r>
    </w:p>
    <w:p w14:paraId="6E68D6D3" w14:textId="77777777" w:rsidR="002C281A" w:rsidRDefault="002C281A" w:rsidP="00B42DF0">
      <w:pPr>
        <w:adjustRightInd w:val="0"/>
        <w:ind w:firstLine="567"/>
        <w:jc w:val="both"/>
        <w:rPr>
          <w:rFonts w:ascii="Times New Roman" w:hAnsi="Times New Roman"/>
          <w:sz w:val="28"/>
          <w:szCs w:val="28"/>
        </w:rPr>
      </w:pPr>
      <w:r>
        <w:rPr>
          <w:rFonts w:ascii="Times New Roman" w:hAnsi="Times New Roman"/>
          <w:sz w:val="28"/>
          <w:szCs w:val="28"/>
        </w:rPr>
        <w:lastRenderedPageBreak/>
        <w:t>2.</w:t>
      </w:r>
      <w:r w:rsidR="00371000">
        <w:rPr>
          <w:rFonts w:ascii="Times New Roman" w:hAnsi="Times New Roman"/>
          <w:sz w:val="28"/>
          <w:szCs w:val="28"/>
        </w:rPr>
        <w:t> </w:t>
      </w:r>
      <w:r w:rsidR="007C2FFC">
        <w:rPr>
          <w:rFonts w:ascii="Times New Roman" w:hAnsi="Times New Roman"/>
          <w:sz w:val="28"/>
          <w:szCs w:val="28"/>
        </w:rPr>
        <w:t xml:space="preserve">Заключены </w:t>
      </w:r>
      <w:r w:rsidR="007C2FFC" w:rsidRPr="006D6A40">
        <w:rPr>
          <w:rFonts w:ascii="Times New Roman" w:hAnsi="Times New Roman"/>
          <w:sz w:val="28"/>
          <w:szCs w:val="28"/>
        </w:rPr>
        <w:t xml:space="preserve">Соглашения </w:t>
      </w:r>
      <w:r w:rsidR="007C2FFC">
        <w:rPr>
          <w:rFonts w:ascii="Times New Roman" w:hAnsi="Times New Roman"/>
          <w:sz w:val="28"/>
          <w:szCs w:val="28"/>
        </w:rPr>
        <w:t xml:space="preserve">с </w:t>
      </w:r>
      <w:r w:rsidR="007C2FFC" w:rsidRPr="006D6A40">
        <w:rPr>
          <w:rFonts w:ascii="Times New Roman" w:hAnsi="Times New Roman"/>
          <w:sz w:val="28"/>
          <w:szCs w:val="28"/>
        </w:rPr>
        <w:t>министерством экономического развития Новосибирской области (уполномоченным органом) о внедрении в Новосибирской области Стандарта развития конкуренции в субъектах Российской Федерации.</w:t>
      </w:r>
    </w:p>
    <w:p w14:paraId="47065C54" w14:textId="1FD9EAE8" w:rsidR="002C281A" w:rsidRDefault="0024079F" w:rsidP="00B42DF0">
      <w:pPr>
        <w:adjustRightInd w:val="0"/>
        <w:ind w:firstLine="567"/>
        <w:jc w:val="both"/>
        <w:rPr>
          <w:rFonts w:ascii="Times New Roman" w:hAnsi="Times New Roman"/>
          <w:sz w:val="28"/>
          <w:szCs w:val="28"/>
        </w:rPr>
      </w:pPr>
      <w:r>
        <w:rPr>
          <w:rFonts w:ascii="Times New Roman" w:hAnsi="Times New Roman"/>
          <w:sz w:val="28"/>
          <w:szCs w:val="28"/>
        </w:rPr>
        <w:t>3</w:t>
      </w:r>
      <w:r w:rsidR="00371000">
        <w:rPr>
          <w:rFonts w:ascii="Times New Roman" w:hAnsi="Times New Roman"/>
          <w:sz w:val="28"/>
          <w:szCs w:val="28"/>
        </w:rPr>
        <w:t>. </w:t>
      </w:r>
      <w:r w:rsidR="002C281A">
        <w:rPr>
          <w:rFonts w:ascii="Times New Roman" w:hAnsi="Times New Roman"/>
          <w:sz w:val="28"/>
          <w:szCs w:val="28"/>
        </w:rPr>
        <w:t>На официальных сайтах администраций муниципальных район</w:t>
      </w:r>
      <w:r w:rsidR="00EA7E1B">
        <w:rPr>
          <w:rFonts w:ascii="Times New Roman" w:hAnsi="Times New Roman"/>
          <w:sz w:val="28"/>
          <w:szCs w:val="28"/>
        </w:rPr>
        <w:t>ов</w:t>
      </w:r>
      <w:r w:rsidR="002C281A">
        <w:rPr>
          <w:rFonts w:ascii="Times New Roman" w:hAnsi="Times New Roman"/>
          <w:sz w:val="28"/>
          <w:szCs w:val="28"/>
        </w:rPr>
        <w:t xml:space="preserve"> и городских округов Н</w:t>
      </w:r>
      <w:r w:rsidR="00B42DF0">
        <w:rPr>
          <w:rFonts w:ascii="Times New Roman" w:hAnsi="Times New Roman"/>
          <w:sz w:val="28"/>
          <w:szCs w:val="28"/>
        </w:rPr>
        <w:t>овосибирской области созданы</w:t>
      </w:r>
      <w:r w:rsidR="002C281A">
        <w:rPr>
          <w:rFonts w:ascii="Times New Roman" w:hAnsi="Times New Roman"/>
          <w:sz w:val="28"/>
          <w:szCs w:val="28"/>
        </w:rPr>
        <w:t xml:space="preserve"> специальные разделы </w:t>
      </w:r>
      <w:r w:rsidR="00135307">
        <w:rPr>
          <w:rFonts w:ascii="Times New Roman" w:hAnsi="Times New Roman"/>
          <w:sz w:val="28"/>
          <w:szCs w:val="28"/>
        </w:rPr>
        <w:t xml:space="preserve">по вопросам </w:t>
      </w:r>
      <w:r w:rsidR="002C281A">
        <w:rPr>
          <w:rFonts w:ascii="Times New Roman" w:hAnsi="Times New Roman"/>
          <w:sz w:val="28"/>
          <w:szCs w:val="28"/>
        </w:rPr>
        <w:t>содействи</w:t>
      </w:r>
      <w:r w:rsidR="00135307">
        <w:rPr>
          <w:rFonts w:ascii="Times New Roman" w:hAnsi="Times New Roman"/>
          <w:sz w:val="28"/>
          <w:szCs w:val="28"/>
        </w:rPr>
        <w:t>я</w:t>
      </w:r>
      <w:r w:rsidR="002C281A">
        <w:rPr>
          <w:rFonts w:ascii="Times New Roman" w:hAnsi="Times New Roman"/>
          <w:sz w:val="28"/>
          <w:szCs w:val="28"/>
        </w:rPr>
        <w:t xml:space="preserve"> развитию конкуренции</w:t>
      </w:r>
      <w:r w:rsidR="007C2FFC">
        <w:rPr>
          <w:rFonts w:ascii="Times New Roman" w:hAnsi="Times New Roman"/>
          <w:sz w:val="28"/>
          <w:szCs w:val="28"/>
        </w:rPr>
        <w:t>.</w:t>
      </w:r>
    </w:p>
    <w:p w14:paraId="5A10F022" w14:textId="77777777" w:rsidR="0024079F" w:rsidRDefault="00371000" w:rsidP="00B42DF0">
      <w:pPr>
        <w:ind w:firstLine="567"/>
        <w:jc w:val="both"/>
        <w:rPr>
          <w:rFonts w:ascii="Times New Roman" w:hAnsi="Times New Roman"/>
          <w:sz w:val="28"/>
          <w:szCs w:val="28"/>
        </w:rPr>
      </w:pPr>
      <w:r>
        <w:rPr>
          <w:rFonts w:ascii="Times New Roman" w:hAnsi="Times New Roman"/>
          <w:sz w:val="28"/>
          <w:szCs w:val="28"/>
        </w:rPr>
        <w:t>4. Обеспечено</w:t>
      </w:r>
      <w:r w:rsidR="0024079F">
        <w:rPr>
          <w:rFonts w:ascii="Times New Roman" w:hAnsi="Times New Roman"/>
          <w:sz w:val="28"/>
          <w:szCs w:val="28"/>
        </w:rPr>
        <w:t xml:space="preserve"> участие в обучающих мероприятиях по вопросам содействия развитию конкуренции.</w:t>
      </w:r>
    </w:p>
    <w:p w14:paraId="56D93E96" w14:textId="77777777" w:rsidR="002B360E" w:rsidRDefault="002B360E" w:rsidP="002B360E">
      <w:pPr>
        <w:pStyle w:val="3"/>
        <w:jc w:val="both"/>
        <w:rPr>
          <w:rFonts w:ascii="Times New Roman" w:eastAsiaTheme="minorEastAsia" w:hAnsi="Times New Roman" w:cstheme="minorBidi"/>
          <w:b/>
          <w:color w:val="002060" w:themeColor="text2"/>
          <w:sz w:val="28"/>
          <w:szCs w:val="28"/>
        </w:rPr>
      </w:pPr>
      <w:bookmarkStart w:id="116" w:name="_Toc34129190"/>
      <w:r w:rsidRPr="009B114E">
        <w:rPr>
          <w:rFonts w:ascii="Times New Roman" w:eastAsiaTheme="minorEastAsia" w:hAnsi="Times New Roman" w:cstheme="minorBidi"/>
          <w:b/>
          <w:color w:val="002060" w:themeColor="text2"/>
          <w:sz w:val="28"/>
          <w:szCs w:val="28"/>
        </w:rPr>
        <w:t>2.3.1</w:t>
      </w:r>
      <w:r>
        <w:rPr>
          <w:rFonts w:ascii="Times New Roman" w:eastAsiaTheme="minorEastAsia" w:hAnsi="Times New Roman" w:cstheme="minorBidi"/>
          <w:b/>
          <w:color w:val="002060" w:themeColor="text2"/>
          <w:sz w:val="28"/>
          <w:szCs w:val="28"/>
        </w:rPr>
        <w:t>3</w:t>
      </w:r>
      <w:r w:rsidRPr="009B114E">
        <w:rPr>
          <w:rFonts w:ascii="Times New Roman" w:eastAsiaTheme="minorEastAsia" w:hAnsi="Times New Roman" w:cstheme="minorBidi"/>
          <w:b/>
          <w:color w:val="002060" w:themeColor="text2"/>
          <w:sz w:val="28"/>
          <w:szCs w:val="28"/>
        </w:rPr>
        <w:t xml:space="preserve">. </w:t>
      </w:r>
      <w:r>
        <w:rPr>
          <w:rFonts w:ascii="Times New Roman" w:eastAsiaTheme="minorEastAsia" w:hAnsi="Times New Roman" w:cstheme="minorBidi"/>
          <w:b/>
          <w:color w:val="002060" w:themeColor="text2"/>
          <w:sz w:val="28"/>
          <w:szCs w:val="28"/>
        </w:rPr>
        <w:t xml:space="preserve">Предложения о повышении </w:t>
      </w:r>
      <w:r w:rsidRPr="009B114E">
        <w:rPr>
          <w:rFonts w:ascii="Times New Roman" w:eastAsiaTheme="minorEastAsia" w:hAnsi="Times New Roman" w:cstheme="minorBidi"/>
          <w:b/>
          <w:color w:val="002060" w:themeColor="text2"/>
          <w:sz w:val="28"/>
          <w:szCs w:val="28"/>
        </w:rPr>
        <w:t>эффективности деятельности</w:t>
      </w:r>
      <w:r>
        <w:rPr>
          <w:rFonts w:ascii="Times New Roman" w:eastAsiaTheme="minorEastAsia" w:hAnsi="Times New Roman" w:cstheme="minorBidi"/>
          <w:b/>
          <w:color w:val="002060" w:themeColor="text2"/>
          <w:sz w:val="28"/>
          <w:szCs w:val="28"/>
        </w:rPr>
        <w:t xml:space="preserve"> органов исполнительной власти Н</w:t>
      </w:r>
      <w:r w:rsidRPr="009B114E">
        <w:rPr>
          <w:rFonts w:ascii="Times New Roman" w:eastAsiaTheme="minorEastAsia" w:hAnsi="Times New Roman" w:cstheme="minorBidi"/>
          <w:b/>
          <w:color w:val="002060" w:themeColor="text2"/>
          <w:sz w:val="28"/>
          <w:szCs w:val="28"/>
        </w:rPr>
        <w:t xml:space="preserve">овосибирской области и органов местного самоуправления </w:t>
      </w:r>
      <w:r>
        <w:rPr>
          <w:rFonts w:ascii="Times New Roman" w:eastAsiaTheme="minorEastAsia" w:hAnsi="Times New Roman" w:cstheme="minorBidi"/>
          <w:b/>
          <w:color w:val="002060" w:themeColor="text2"/>
          <w:sz w:val="28"/>
          <w:szCs w:val="28"/>
        </w:rPr>
        <w:t>в области содействия</w:t>
      </w:r>
      <w:r w:rsidRPr="009B114E">
        <w:rPr>
          <w:rFonts w:ascii="Times New Roman" w:eastAsiaTheme="minorEastAsia" w:hAnsi="Times New Roman" w:cstheme="minorBidi"/>
          <w:b/>
          <w:color w:val="002060" w:themeColor="text2"/>
          <w:sz w:val="28"/>
          <w:szCs w:val="28"/>
        </w:rPr>
        <w:t xml:space="preserve"> развитию конкуренции</w:t>
      </w:r>
      <w:bookmarkEnd w:id="116"/>
    </w:p>
    <w:p w14:paraId="6742F275" w14:textId="77777777" w:rsidR="00FF15F6" w:rsidRPr="00B473DB" w:rsidRDefault="00FF15F6" w:rsidP="00135307">
      <w:pPr>
        <w:widowControl w:val="0"/>
        <w:autoSpaceDE w:val="0"/>
        <w:autoSpaceDN w:val="0"/>
        <w:ind w:firstLine="567"/>
        <w:contextualSpacing/>
        <w:jc w:val="both"/>
        <w:rPr>
          <w:rFonts w:ascii="Times New Roman" w:eastAsia="Calibri" w:hAnsi="Times New Roman" w:cs="Times New Roman"/>
          <w:sz w:val="28"/>
          <w:szCs w:val="28"/>
          <w:lang w:eastAsia="en-US"/>
        </w:rPr>
      </w:pPr>
      <w:r w:rsidRPr="00B473DB">
        <w:rPr>
          <w:rFonts w:ascii="Times New Roman" w:eastAsia="Calibri" w:hAnsi="Times New Roman" w:cs="Times New Roman"/>
          <w:sz w:val="28"/>
          <w:szCs w:val="28"/>
          <w:lang w:eastAsia="en-US"/>
        </w:rPr>
        <w:t>Предложения направлены на:</w:t>
      </w:r>
    </w:p>
    <w:p w14:paraId="0E5C56E9" w14:textId="77777777" w:rsidR="00FF15F6" w:rsidRPr="00BB7679" w:rsidRDefault="00FF15F6" w:rsidP="00135307">
      <w:pPr>
        <w:pStyle w:val="ae"/>
        <w:widowControl w:val="0"/>
        <w:autoSpaceDE w:val="0"/>
        <w:autoSpaceDN w:val="0"/>
        <w:ind w:left="0" w:firstLine="567"/>
        <w:jc w:val="both"/>
        <w:rPr>
          <w:rFonts w:ascii="Times New Roman" w:eastAsia="Calibri" w:hAnsi="Times New Roman" w:cs="Times New Roman"/>
          <w:sz w:val="28"/>
          <w:szCs w:val="28"/>
          <w:lang w:eastAsia="en-US"/>
        </w:rPr>
      </w:pPr>
      <w:r w:rsidRPr="00BB7679">
        <w:rPr>
          <w:rFonts w:ascii="Times New Roman" w:eastAsia="Calibri" w:hAnsi="Times New Roman" w:cs="Times New Roman"/>
          <w:sz w:val="28"/>
          <w:szCs w:val="28"/>
          <w:lang w:eastAsia="en-US"/>
        </w:rPr>
        <w:t xml:space="preserve">формирование прозрачной системы работы органов государственной власти Новосибирской области в части реализации результативных и эффективных мер по развитию конкуренции в интересах конечного потребителя товаров и услуг, субъектов предпринимательства; </w:t>
      </w:r>
    </w:p>
    <w:p w14:paraId="077EEB69" w14:textId="77777777" w:rsidR="00FF15F6" w:rsidRPr="00BB7679" w:rsidRDefault="00FF15F6" w:rsidP="00135307">
      <w:pPr>
        <w:pStyle w:val="ae"/>
        <w:widowControl w:val="0"/>
        <w:tabs>
          <w:tab w:val="left" w:pos="851"/>
        </w:tabs>
        <w:autoSpaceDE w:val="0"/>
        <w:autoSpaceDN w:val="0"/>
        <w:ind w:left="0" w:firstLine="567"/>
        <w:jc w:val="both"/>
        <w:rPr>
          <w:rFonts w:ascii="Times New Roman" w:eastAsia="Calibri" w:hAnsi="Times New Roman" w:cs="Times New Roman"/>
          <w:sz w:val="28"/>
          <w:szCs w:val="28"/>
          <w:lang w:eastAsia="en-US"/>
        </w:rPr>
      </w:pPr>
      <w:r w:rsidRPr="00BB7679">
        <w:rPr>
          <w:rFonts w:ascii="Times New Roman" w:eastAsia="Calibri" w:hAnsi="Times New Roman" w:cs="Times New Roman"/>
          <w:sz w:val="28"/>
          <w:szCs w:val="28"/>
          <w:lang w:eastAsia="en-US"/>
        </w:rPr>
        <w:t xml:space="preserve">создание стимулов и условий для развития и защиты субъектов малого и среднего предпринимательства, устранения административных барьеров; </w:t>
      </w:r>
    </w:p>
    <w:p w14:paraId="2B19C88D" w14:textId="77777777" w:rsidR="00FF15F6" w:rsidRPr="00BB7679" w:rsidRDefault="00FF15F6" w:rsidP="00135307">
      <w:pPr>
        <w:pStyle w:val="ae"/>
        <w:widowControl w:val="0"/>
        <w:autoSpaceDE w:val="0"/>
        <w:autoSpaceDN w:val="0"/>
        <w:ind w:left="0" w:firstLine="567"/>
        <w:jc w:val="both"/>
        <w:rPr>
          <w:rFonts w:ascii="Times New Roman" w:eastAsia="Calibri" w:hAnsi="Times New Roman" w:cs="Times New Roman"/>
          <w:sz w:val="28"/>
          <w:szCs w:val="28"/>
          <w:lang w:eastAsia="en-US"/>
        </w:rPr>
      </w:pPr>
      <w:r w:rsidRPr="00BB7679">
        <w:rPr>
          <w:rFonts w:ascii="Times New Roman" w:eastAsia="Calibri" w:hAnsi="Times New Roman" w:cs="Times New Roman"/>
          <w:sz w:val="28"/>
          <w:szCs w:val="28"/>
          <w:lang w:eastAsia="en-US"/>
        </w:rPr>
        <w:t>выявление ожиданий потребителей, субъектов предпринимательства;</w:t>
      </w:r>
    </w:p>
    <w:p w14:paraId="172FA5E9" w14:textId="77777777" w:rsidR="00FF15F6" w:rsidRPr="00BB7679" w:rsidRDefault="00FF15F6" w:rsidP="00135307">
      <w:pPr>
        <w:pStyle w:val="ae"/>
        <w:widowControl w:val="0"/>
        <w:autoSpaceDE w:val="0"/>
        <w:autoSpaceDN w:val="0"/>
        <w:ind w:left="0" w:firstLine="567"/>
        <w:jc w:val="both"/>
        <w:rPr>
          <w:rFonts w:ascii="Times New Roman" w:eastAsia="Calibri" w:hAnsi="Times New Roman" w:cs="Times New Roman"/>
          <w:sz w:val="28"/>
          <w:szCs w:val="28"/>
          <w:lang w:eastAsia="en-US"/>
        </w:rPr>
      </w:pPr>
      <w:r w:rsidRPr="00BB7679">
        <w:rPr>
          <w:rFonts w:ascii="Times New Roman" w:eastAsia="Calibri" w:hAnsi="Times New Roman" w:cs="Times New Roman"/>
          <w:sz w:val="28"/>
          <w:szCs w:val="28"/>
          <w:lang w:eastAsia="en-US"/>
        </w:rPr>
        <w:t>совершенствование деятельности исполнительных органов государственной власти и органов местного самоуправления Новосибирской области по содействию развитию конкурентной среды в регионе.</w:t>
      </w:r>
    </w:p>
    <w:p w14:paraId="19106AE6" w14:textId="0FE12A36" w:rsidR="00DF202B" w:rsidRPr="00D923A3" w:rsidRDefault="00FF15F6" w:rsidP="00DF202B">
      <w:pPr>
        <w:ind w:firstLine="567"/>
        <w:jc w:val="both"/>
        <w:rPr>
          <w:rFonts w:ascii="Times New Roman" w:eastAsia="Calibri" w:hAnsi="Times New Roman" w:cs="Times New Roman"/>
          <w:bCs/>
          <w:i/>
          <w:sz w:val="28"/>
          <w:szCs w:val="28"/>
          <w:lang w:eastAsia="en-US"/>
        </w:rPr>
      </w:pPr>
      <w:r w:rsidRPr="00D923A3">
        <w:rPr>
          <w:rFonts w:ascii="Times New Roman" w:eastAsia="Calibri" w:hAnsi="Times New Roman" w:cs="Times New Roman"/>
          <w:bCs/>
          <w:i/>
          <w:sz w:val="28"/>
          <w:szCs w:val="28"/>
          <w:lang w:eastAsia="en-US"/>
        </w:rPr>
        <w:t xml:space="preserve">Предложения по улучшению деятельности </w:t>
      </w:r>
      <w:r w:rsidR="00760EDE" w:rsidRPr="00D923A3">
        <w:rPr>
          <w:rFonts w:ascii="Times New Roman" w:eastAsia="Calibri" w:hAnsi="Times New Roman" w:cs="Times New Roman"/>
          <w:bCs/>
          <w:i/>
          <w:sz w:val="28"/>
          <w:szCs w:val="28"/>
          <w:lang w:eastAsia="en-US"/>
        </w:rPr>
        <w:t xml:space="preserve">областных исполнительных </w:t>
      </w:r>
      <w:r w:rsidRPr="00D923A3">
        <w:rPr>
          <w:rFonts w:ascii="Times New Roman" w:eastAsia="Calibri" w:hAnsi="Times New Roman" w:cs="Times New Roman"/>
          <w:bCs/>
          <w:i/>
          <w:sz w:val="28"/>
          <w:szCs w:val="28"/>
          <w:lang w:eastAsia="en-US"/>
        </w:rPr>
        <w:t xml:space="preserve">органов </w:t>
      </w:r>
      <w:r w:rsidR="00760EDE" w:rsidRPr="00D923A3">
        <w:rPr>
          <w:rFonts w:ascii="Times New Roman" w:eastAsia="Calibri" w:hAnsi="Times New Roman" w:cs="Times New Roman"/>
          <w:bCs/>
          <w:i/>
          <w:sz w:val="28"/>
          <w:szCs w:val="28"/>
          <w:lang w:eastAsia="en-US"/>
        </w:rPr>
        <w:t xml:space="preserve">государственной </w:t>
      </w:r>
      <w:r w:rsidRPr="00D923A3">
        <w:rPr>
          <w:rFonts w:ascii="Times New Roman" w:eastAsia="Calibri" w:hAnsi="Times New Roman" w:cs="Times New Roman"/>
          <w:bCs/>
          <w:i/>
          <w:sz w:val="28"/>
          <w:szCs w:val="28"/>
          <w:lang w:eastAsia="en-US"/>
        </w:rPr>
        <w:t>власти</w:t>
      </w:r>
      <w:r w:rsidR="00760EDE" w:rsidRPr="00D923A3">
        <w:rPr>
          <w:rFonts w:ascii="Times New Roman" w:eastAsia="Calibri" w:hAnsi="Times New Roman" w:cs="Times New Roman"/>
          <w:bCs/>
          <w:i/>
          <w:sz w:val="28"/>
          <w:szCs w:val="28"/>
          <w:lang w:eastAsia="en-US"/>
        </w:rPr>
        <w:t xml:space="preserve"> Новосибирской области</w:t>
      </w:r>
      <w:r w:rsidRPr="00D923A3">
        <w:rPr>
          <w:rFonts w:ascii="Times New Roman" w:eastAsia="Calibri" w:hAnsi="Times New Roman" w:cs="Times New Roman"/>
          <w:bCs/>
          <w:i/>
          <w:sz w:val="28"/>
          <w:szCs w:val="28"/>
          <w:lang w:eastAsia="en-US"/>
        </w:rPr>
        <w:t xml:space="preserve">, органов местного самоуправления в области </w:t>
      </w:r>
      <w:r w:rsidR="00DF202B" w:rsidRPr="00D923A3">
        <w:rPr>
          <w:rFonts w:ascii="Times New Roman" w:eastAsia="Calibri" w:hAnsi="Times New Roman" w:cs="Times New Roman"/>
          <w:bCs/>
          <w:i/>
          <w:sz w:val="28"/>
          <w:szCs w:val="28"/>
          <w:lang w:eastAsia="en-US"/>
        </w:rPr>
        <w:t>содействия развитию конкуренции:</w:t>
      </w:r>
    </w:p>
    <w:p w14:paraId="2503D29F" w14:textId="6EFC89A1" w:rsidR="00FF15F6" w:rsidRPr="00B473DB" w:rsidRDefault="00D923A3" w:rsidP="008F47EE">
      <w:pPr>
        <w:widowControl w:val="0"/>
        <w:numPr>
          <w:ilvl w:val="0"/>
          <w:numId w:val="7"/>
        </w:numPr>
        <w:tabs>
          <w:tab w:val="left" w:pos="993"/>
        </w:tabs>
        <w:autoSpaceDE w:val="0"/>
        <w:autoSpaceDN w:val="0"/>
        <w:adjustRightInd w:val="0"/>
        <w:ind w:left="0" w:firstLine="567"/>
        <w:jc w:val="both"/>
        <w:rPr>
          <w:rFonts w:ascii="Times New Roman" w:eastAsia="Calibri" w:hAnsi="Times New Roman" w:cs="Times New Roman"/>
          <w:bCs/>
          <w:sz w:val="28"/>
          <w:szCs w:val="28"/>
          <w:lang w:eastAsia="en-US"/>
        </w:rPr>
      </w:pPr>
      <w:r w:rsidRPr="00B473DB">
        <w:rPr>
          <w:rFonts w:ascii="Times New Roman" w:eastAsia="Calibri" w:hAnsi="Times New Roman" w:cs="Times New Roman"/>
          <w:bCs/>
          <w:sz w:val="28"/>
          <w:szCs w:val="28"/>
          <w:lang w:eastAsia="en-US"/>
        </w:rPr>
        <w:t xml:space="preserve">Усилить информационную и консультационную работу с субъектами предпринимательства по вопросам изменений в </w:t>
      </w:r>
      <w:r w:rsidR="00CB68DA">
        <w:rPr>
          <w:rFonts w:ascii="Times New Roman" w:eastAsia="Calibri" w:hAnsi="Times New Roman" w:cs="Times New Roman"/>
          <w:bCs/>
          <w:sz w:val="28"/>
          <w:szCs w:val="28"/>
          <w:lang w:eastAsia="en-US"/>
        </w:rPr>
        <w:t>региональном и</w:t>
      </w:r>
      <w:r>
        <w:rPr>
          <w:rFonts w:ascii="Times New Roman" w:eastAsia="Calibri" w:hAnsi="Times New Roman" w:cs="Times New Roman"/>
          <w:bCs/>
          <w:sz w:val="28"/>
          <w:szCs w:val="28"/>
          <w:lang w:eastAsia="en-US"/>
        </w:rPr>
        <w:t xml:space="preserve"> федеральном </w:t>
      </w:r>
      <w:r w:rsidRPr="00B473DB">
        <w:rPr>
          <w:rFonts w:ascii="Times New Roman" w:eastAsia="Calibri" w:hAnsi="Times New Roman" w:cs="Times New Roman"/>
          <w:bCs/>
          <w:sz w:val="28"/>
          <w:szCs w:val="28"/>
          <w:lang w:eastAsia="en-US"/>
        </w:rPr>
        <w:t>законодательстве, регулирующ</w:t>
      </w:r>
      <w:r>
        <w:rPr>
          <w:rFonts w:ascii="Times New Roman" w:eastAsia="Calibri" w:hAnsi="Times New Roman" w:cs="Times New Roman"/>
          <w:bCs/>
          <w:sz w:val="28"/>
          <w:szCs w:val="28"/>
          <w:lang w:eastAsia="en-US"/>
        </w:rPr>
        <w:t>е</w:t>
      </w:r>
      <w:r w:rsidRPr="00B473DB">
        <w:rPr>
          <w:rFonts w:ascii="Times New Roman" w:eastAsia="Calibri" w:hAnsi="Times New Roman" w:cs="Times New Roman"/>
          <w:bCs/>
          <w:sz w:val="28"/>
          <w:szCs w:val="28"/>
          <w:lang w:eastAsia="en-US"/>
        </w:rPr>
        <w:t xml:space="preserve">м </w:t>
      </w:r>
      <w:r>
        <w:rPr>
          <w:rFonts w:ascii="Times New Roman" w:eastAsia="Calibri" w:hAnsi="Times New Roman" w:cs="Times New Roman"/>
          <w:bCs/>
          <w:sz w:val="28"/>
          <w:szCs w:val="28"/>
          <w:lang w:eastAsia="en-US"/>
        </w:rPr>
        <w:t xml:space="preserve">их </w:t>
      </w:r>
      <w:r w:rsidRPr="00B473DB">
        <w:rPr>
          <w:rFonts w:ascii="Times New Roman" w:eastAsia="Calibri" w:hAnsi="Times New Roman" w:cs="Times New Roman"/>
          <w:bCs/>
          <w:sz w:val="28"/>
          <w:szCs w:val="28"/>
          <w:lang w:eastAsia="en-US"/>
        </w:rPr>
        <w:t>деятельность</w:t>
      </w:r>
      <w:r>
        <w:rPr>
          <w:rFonts w:ascii="Times New Roman" w:eastAsia="Calibri" w:hAnsi="Times New Roman" w:cs="Times New Roman"/>
          <w:bCs/>
          <w:sz w:val="28"/>
          <w:szCs w:val="28"/>
          <w:lang w:eastAsia="en-US"/>
        </w:rPr>
        <w:t>, мерам государственной поддержки</w:t>
      </w:r>
      <w:r w:rsidRPr="00B473DB">
        <w:rPr>
          <w:rFonts w:ascii="Times New Roman" w:eastAsia="Calibri" w:hAnsi="Times New Roman" w:cs="Times New Roman"/>
          <w:bCs/>
          <w:sz w:val="28"/>
          <w:szCs w:val="28"/>
          <w:lang w:eastAsia="en-US"/>
        </w:rPr>
        <w:t>.</w:t>
      </w:r>
    </w:p>
    <w:p w14:paraId="1CE46F56" w14:textId="74F4E93D" w:rsidR="00DF202B" w:rsidRDefault="00FF15F6" w:rsidP="008F47EE">
      <w:pPr>
        <w:widowControl w:val="0"/>
        <w:numPr>
          <w:ilvl w:val="0"/>
          <w:numId w:val="7"/>
        </w:numPr>
        <w:tabs>
          <w:tab w:val="left" w:pos="993"/>
        </w:tabs>
        <w:autoSpaceDE w:val="0"/>
        <w:autoSpaceDN w:val="0"/>
        <w:adjustRightInd w:val="0"/>
        <w:ind w:left="0" w:firstLine="567"/>
        <w:jc w:val="both"/>
        <w:rPr>
          <w:rFonts w:ascii="Times New Roman" w:eastAsia="Calibri" w:hAnsi="Times New Roman" w:cs="Times New Roman"/>
          <w:bCs/>
          <w:sz w:val="28"/>
          <w:szCs w:val="28"/>
          <w:lang w:eastAsia="en-US"/>
        </w:rPr>
      </w:pPr>
      <w:r w:rsidRPr="00B473DB">
        <w:rPr>
          <w:rFonts w:ascii="Times New Roman" w:eastAsia="Calibri" w:hAnsi="Times New Roman" w:cs="Times New Roman"/>
          <w:bCs/>
          <w:sz w:val="28"/>
          <w:szCs w:val="28"/>
          <w:lang w:eastAsia="en-US"/>
        </w:rPr>
        <w:t xml:space="preserve">Усилить контроль за соблюдением законодательства </w:t>
      </w:r>
      <w:r w:rsidR="00DF202B">
        <w:rPr>
          <w:rFonts w:ascii="Times New Roman" w:eastAsia="Calibri" w:hAnsi="Times New Roman" w:cs="Times New Roman"/>
          <w:bCs/>
          <w:sz w:val="28"/>
          <w:szCs w:val="28"/>
          <w:lang w:eastAsia="en-US"/>
        </w:rPr>
        <w:t xml:space="preserve">в сфере закупок </w:t>
      </w:r>
      <w:r w:rsidRPr="00B473DB">
        <w:rPr>
          <w:rFonts w:ascii="Times New Roman" w:eastAsia="Calibri" w:hAnsi="Times New Roman" w:cs="Times New Roman"/>
          <w:bCs/>
          <w:sz w:val="28"/>
          <w:szCs w:val="28"/>
          <w:lang w:eastAsia="en-US"/>
        </w:rPr>
        <w:t>всеми участниками рынка</w:t>
      </w:r>
      <w:r w:rsidR="00DF202B">
        <w:rPr>
          <w:rFonts w:ascii="Times New Roman" w:eastAsia="Calibri" w:hAnsi="Times New Roman" w:cs="Times New Roman"/>
          <w:bCs/>
          <w:sz w:val="28"/>
          <w:szCs w:val="28"/>
          <w:lang w:eastAsia="en-US"/>
        </w:rPr>
        <w:t>.</w:t>
      </w:r>
    </w:p>
    <w:p w14:paraId="605B7AAD" w14:textId="3B424850" w:rsidR="00FF15F6" w:rsidRPr="00B473DB" w:rsidRDefault="00FF15F6" w:rsidP="008F47EE">
      <w:pPr>
        <w:widowControl w:val="0"/>
        <w:numPr>
          <w:ilvl w:val="0"/>
          <w:numId w:val="7"/>
        </w:numPr>
        <w:tabs>
          <w:tab w:val="left" w:pos="993"/>
        </w:tabs>
        <w:autoSpaceDE w:val="0"/>
        <w:autoSpaceDN w:val="0"/>
        <w:adjustRightInd w:val="0"/>
        <w:ind w:left="0" w:firstLine="567"/>
        <w:jc w:val="both"/>
        <w:rPr>
          <w:rFonts w:ascii="Times New Roman" w:eastAsia="Calibri" w:hAnsi="Times New Roman" w:cs="Times New Roman"/>
          <w:bCs/>
          <w:sz w:val="28"/>
          <w:szCs w:val="28"/>
          <w:lang w:eastAsia="en-US"/>
        </w:rPr>
      </w:pPr>
      <w:r w:rsidRPr="00B473DB">
        <w:rPr>
          <w:rFonts w:ascii="Times New Roman" w:eastAsia="Calibri" w:hAnsi="Times New Roman" w:cs="Times New Roman"/>
          <w:bCs/>
          <w:sz w:val="28"/>
          <w:szCs w:val="28"/>
          <w:lang w:eastAsia="en-US"/>
        </w:rPr>
        <w:t xml:space="preserve">Проводить работу по повышению прозрачности и стабильности нормативно-правового регулирования хозяйственной деятельности. Для выявления ограничивающих конкуренцию норм регионального законодательства, подготовки предложений по их совершенствованию привлекать представителей </w:t>
      </w:r>
      <w:r w:rsidR="00D923A3">
        <w:rPr>
          <w:rFonts w:ascii="Times New Roman" w:eastAsia="Calibri" w:hAnsi="Times New Roman" w:cs="Times New Roman"/>
          <w:bCs/>
          <w:sz w:val="28"/>
          <w:szCs w:val="28"/>
          <w:lang w:eastAsia="en-US"/>
        </w:rPr>
        <w:t>федеральной антимонопольной службы, специалистов в области антимонопольного права, представителей бизнес-сообщества.</w:t>
      </w:r>
    </w:p>
    <w:p w14:paraId="2D60E2E9" w14:textId="114C45C1" w:rsidR="00FF15F6" w:rsidRPr="00B473DB" w:rsidRDefault="00D923A3" w:rsidP="008F47EE">
      <w:pPr>
        <w:widowControl w:val="0"/>
        <w:tabs>
          <w:tab w:val="left" w:pos="1134"/>
        </w:tabs>
        <w:autoSpaceDE w:val="0"/>
        <w:autoSpaceDN w:val="0"/>
        <w:adjustRightInd w:val="0"/>
        <w:ind w:firstLine="567"/>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4. Повышать уровень </w:t>
      </w:r>
      <w:r w:rsidR="00FF15F6" w:rsidRPr="00B473DB">
        <w:rPr>
          <w:rFonts w:ascii="Times New Roman" w:eastAsia="Calibri" w:hAnsi="Times New Roman" w:cs="Times New Roman"/>
          <w:bCs/>
          <w:sz w:val="28"/>
          <w:szCs w:val="28"/>
          <w:lang w:eastAsia="en-US"/>
        </w:rPr>
        <w:t>открытост</w:t>
      </w:r>
      <w:r>
        <w:rPr>
          <w:rFonts w:ascii="Times New Roman" w:eastAsia="Calibri" w:hAnsi="Times New Roman" w:cs="Times New Roman"/>
          <w:bCs/>
          <w:sz w:val="28"/>
          <w:szCs w:val="28"/>
          <w:lang w:eastAsia="en-US"/>
        </w:rPr>
        <w:t>и</w:t>
      </w:r>
      <w:r w:rsidR="00FF15F6" w:rsidRPr="00B473DB">
        <w:rPr>
          <w:rFonts w:ascii="Times New Roman" w:eastAsia="Calibri" w:hAnsi="Times New Roman" w:cs="Times New Roman"/>
          <w:bCs/>
          <w:sz w:val="28"/>
          <w:szCs w:val="28"/>
          <w:lang w:eastAsia="en-US"/>
        </w:rPr>
        <w:t>, легкост</w:t>
      </w:r>
      <w:r>
        <w:rPr>
          <w:rFonts w:ascii="Times New Roman" w:eastAsia="Calibri" w:hAnsi="Times New Roman" w:cs="Times New Roman"/>
          <w:bCs/>
          <w:sz w:val="28"/>
          <w:szCs w:val="28"/>
          <w:lang w:eastAsia="en-US"/>
        </w:rPr>
        <w:t>и</w:t>
      </w:r>
      <w:r w:rsidR="00FF15F6" w:rsidRPr="00B473DB">
        <w:rPr>
          <w:rFonts w:ascii="Times New Roman" w:eastAsia="Calibri" w:hAnsi="Times New Roman" w:cs="Times New Roman"/>
          <w:bCs/>
          <w:sz w:val="28"/>
          <w:szCs w:val="28"/>
          <w:lang w:eastAsia="en-US"/>
        </w:rPr>
        <w:t xml:space="preserve"> получения, полнот</w:t>
      </w:r>
      <w:r>
        <w:rPr>
          <w:rFonts w:ascii="Times New Roman" w:eastAsia="Calibri" w:hAnsi="Times New Roman" w:cs="Times New Roman"/>
          <w:bCs/>
          <w:sz w:val="28"/>
          <w:szCs w:val="28"/>
          <w:lang w:eastAsia="en-US"/>
        </w:rPr>
        <w:t>ы</w:t>
      </w:r>
      <w:r w:rsidR="00FF15F6" w:rsidRPr="00B473DB">
        <w:rPr>
          <w:rFonts w:ascii="Times New Roman" w:eastAsia="Calibri" w:hAnsi="Times New Roman" w:cs="Times New Roman"/>
          <w:bCs/>
          <w:sz w:val="28"/>
          <w:szCs w:val="28"/>
          <w:lang w:eastAsia="en-US"/>
        </w:rPr>
        <w:t xml:space="preserve"> и понятност</w:t>
      </w:r>
      <w:r>
        <w:rPr>
          <w:rFonts w:ascii="Times New Roman" w:eastAsia="Calibri" w:hAnsi="Times New Roman" w:cs="Times New Roman"/>
          <w:bCs/>
          <w:sz w:val="28"/>
          <w:szCs w:val="28"/>
          <w:lang w:eastAsia="en-US"/>
        </w:rPr>
        <w:t xml:space="preserve">и </w:t>
      </w:r>
      <w:r w:rsidR="00FF15F6" w:rsidRPr="00B473DB">
        <w:rPr>
          <w:rFonts w:ascii="Times New Roman" w:eastAsia="Calibri" w:hAnsi="Times New Roman" w:cs="Times New Roman"/>
          <w:bCs/>
          <w:sz w:val="28"/>
          <w:szCs w:val="28"/>
          <w:lang w:eastAsia="en-US"/>
        </w:rPr>
        <w:t>информации о порядке, сроках, стоимости и других условиях получения государственных (муниципальных) услуг, размещенн</w:t>
      </w:r>
      <w:r>
        <w:rPr>
          <w:rFonts w:ascii="Times New Roman" w:eastAsia="Calibri" w:hAnsi="Times New Roman" w:cs="Times New Roman"/>
          <w:bCs/>
          <w:sz w:val="28"/>
          <w:szCs w:val="28"/>
          <w:lang w:eastAsia="en-US"/>
        </w:rPr>
        <w:t>ой</w:t>
      </w:r>
      <w:r w:rsidR="00FF15F6" w:rsidRPr="00B473DB">
        <w:rPr>
          <w:rFonts w:ascii="Times New Roman" w:eastAsia="Calibri" w:hAnsi="Times New Roman" w:cs="Times New Roman"/>
          <w:bCs/>
          <w:sz w:val="28"/>
          <w:szCs w:val="28"/>
          <w:lang w:eastAsia="en-US"/>
        </w:rPr>
        <w:t xml:space="preserve"> на официальных интернет-сайтах органов власти и портале Госуслуг</w:t>
      </w:r>
      <w:r>
        <w:rPr>
          <w:rFonts w:ascii="Times New Roman" w:eastAsia="Calibri" w:hAnsi="Times New Roman" w:cs="Times New Roman"/>
          <w:bCs/>
          <w:sz w:val="28"/>
          <w:szCs w:val="28"/>
          <w:lang w:eastAsia="en-US"/>
        </w:rPr>
        <w:t>.</w:t>
      </w:r>
    </w:p>
    <w:p w14:paraId="78EDDDF5" w14:textId="6B116716" w:rsidR="00FF15F6" w:rsidRPr="00B473DB" w:rsidRDefault="00D923A3" w:rsidP="008F47EE">
      <w:pPr>
        <w:widowControl w:val="0"/>
        <w:tabs>
          <w:tab w:val="left" w:pos="1134"/>
        </w:tabs>
        <w:autoSpaceDE w:val="0"/>
        <w:autoSpaceDN w:val="0"/>
        <w:adjustRightInd w:val="0"/>
        <w:ind w:firstLine="567"/>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5. П</w:t>
      </w:r>
      <w:r w:rsidR="00FF15F6" w:rsidRPr="00B473DB">
        <w:rPr>
          <w:rFonts w:ascii="Times New Roman" w:eastAsia="Calibri" w:hAnsi="Times New Roman" w:cs="Times New Roman"/>
          <w:bCs/>
          <w:sz w:val="28"/>
          <w:szCs w:val="28"/>
          <w:lang w:eastAsia="en-US"/>
        </w:rPr>
        <w:t>роводить регулярный мониторинг удовлетворенности качеством предоставляемых субъектам предпринимательства</w:t>
      </w:r>
      <w:r>
        <w:rPr>
          <w:rFonts w:ascii="Times New Roman" w:eastAsia="Calibri" w:hAnsi="Times New Roman" w:cs="Times New Roman"/>
          <w:bCs/>
          <w:sz w:val="28"/>
          <w:szCs w:val="28"/>
          <w:lang w:eastAsia="en-US"/>
        </w:rPr>
        <w:t>,</w:t>
      </w:r>
      <w:r w:rsidR="00FF15F6" w:rsidRPr="00B473DB">
        <w:rPr>
          <w:rFonts w:ascii="Times New Roman" w:eastAsia="Calibri" w:hAnsi="Times New Roman" w:cs="Times New Roman"/>
          <w:bCs/>
          <w:sz w:val="28"/>
          <w:szCs w:val="28"/>
          <w:lang w:eastAsia="en-US"/>
        </w:rPr>
        <w:t xml:space="preserve"> государственных </w:t>
      </w:r>
      <w:r w:rsidR="00FF15F6" w:rsidRPr="00B473DB">
        <w:rPr>
          <w:rFonts w:ascii="Times New Roman" w:eastAsia="Calibri" w:hAnsi="Times New Roman" w:cs="Times New Roman"/>
          <w:bCs/>
          <w:sz w:val="28"/>
          <w:szCs w:val="28"/>
          <w:lang w:eastAsia="en-US"/>
        </w:rPr>
        <w:lastRenderedPageBreak/>
        <w:t>(муниципальных) услуг</w:t>
      </w:r>
      <w:r>
        <w:rPr>
          <w:rFonts w:ascii="Times New Roman" w:eastAsia="Calibri" w:hAnsi="Times New Roman" w:cs="Times New Roman"/>
          <w:bCs/>
          <w:sz w:val="28"/>
          <w:szCs w:val="28"/>
          <w:lang w:eastAsia="en-US"/>
        </w:rPr>
        <w:t xml:space="preserve">, </w:t>
      </w:r>
      <w:r w:rsidR="00FF15F6" w:rsidRPr="00B473DB">
        <w:rPr>
          <w:rFonts w:ascii="Times New Roman" w:eastAsia="Calibri" w:hAnsi="Times New Roman" w:cs="Times New Roman"/>
          <w:bCs/>
          <w:sz w:val="28"/>
          <w:szCs w:val="28"/>
          <w:lang w:eastAsia="en-US"/>
        </w:rPr>
        <w:t xml:space="preserve">удобством процедур получения разрешений, согласований и т. п. </w:t>
      </w:r>
    </w:p>
    <w:p w14:paraId="489A5E89" w14:textId="2E118D90" w:rsidR="00FF15F6" w:rsidRDefault="00D923A3" w:rsidP="008F47EE">
      <w:pPr>
        <w:ind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6</w:t>
      </w:r>
      <w:r w:rsidR="00FF15F6" w:rsidRPr="00B473DB">
        <w:rPr>
          <w:rFonts w:ascii="Times New Roman" w:eastAsia="Calibri" w:hAnsi="Times New Roman" w:cs="Times New Roman"/>
          <w:sz w:val="28"/>
          <w:szCs w:val="28"/>
          <w:lang w:eastAsia="en-US"/>
        </w:rPr>
        <w:t>.</w:t>
      </w:r>
      <w:r w:rsidR="00367300">
        <w:rPr>
          <w:rFonts w:ascii="Times New Roman" w:eastAsia="Calibri" w:hAnsi="Times New Roman" w:cs="Times New Roman"/>
          <w:sz w:val="28"/>
          <w:szCs w:val="28"/>
          <w:lang w:eastAsia="en-US"/>
        </w:rPr>
        <w:t> </w:t>
      </w:r>
      <w:r w:rsidR="00FF15F6" w:rsidRPr="00B473DB">
        <w:rPr>
          <w:rFonts w:ascii="Times New Roman" w:eastAsia="Calibri" w:hAnsi="Times New Roman" w:cs="Times New Roman"/>
          <w:sz w:val="28"/>
          <w:szCs w:val="28"/>
          <w:lang w:eastAsia="en-US"/>
        </w:rPr>
        <w:t>Проведение ежегодного мониторинга удовлетворенности субъектов предпринимательства услугами естественных монополий по выделенным параметрам (сроки получения доступа к услугам, сложность процедур подключения, стоимость подключения, стоимость услуг, качество услуг</w:t>
      </w:r>
      <w:r>
        <w:rPr>
          <w:rFonts w:ascii="Times New Roman" w:eastAsia="Calibri" w:hAnsi="Times New Roman" w:cs="Times New Roman"/>
          <w:sz w:val="28"/>
          <w:szCs w:val="28"/>
          <w:lang w:eastAsia="en-US"/>
        </w:rPr>
        <w:t>).</w:t>
      </w:r>
    </w:p>
    <w:p w14:paraId="72709A69" w14:textId="77777777" w:rsidR="00CB68DA" w:rsidRPr="00B473DB" w:rsidRDefault="00CB68DA" w:rsidP="008F47EE">
      <w:pPr>
        <w:ind w:firstLine="567"/>
        <w:jc w:val="both"/>
        <w:rPr>
          <w:rFonts w:ascii="Times New Roman" w:eastAsia="Calibri" w:hAnsi="Times New Roman" w:cs="Times New Roman"/>
          <w:sz w:val="28"/>
          <w:szCs w:val="28"/>
          <w:lang w:eastAsia="en-US"/>
        </w:rPr>
      </w:pPr>
    </w:p>
    <w:p w14:paraId="30BA6FC9" w14:textId="77777777" w:rsidR="003F4CFF" w:rsidRDefault="00371000" w:rsidP="008F47EE">
      <w:pPr>
        <w:pStyle w:val="ac"/>
        <w:ind w:firstLine="567"/>
        <w:jc w:val="both"/>
        <w:outlineLvl w:val="2"/>
        <w:rPr>
          <w:rFonts w:ascii="Times New Roman" w:hAnsi="Times New Roman"/>
          <w:b/>
        </w:rPr>
      </w:pPr>
      <w:bookmarkStart w:id="117" w:name="_Toc31983985"/>
      <w:bookmarkStart w:id="118" w:name="_Toc32240325"/>
      <w:bookmarkStart w:id="119" w:name="_Toc32421910"/>
      <w:bookmarkStart w:id="120" w:name="_Toc34129191"/>
      <w:r>
        <w:rPr>
          <w:rFonts w:ascii="Times New Roman" w:hAnsi="Times New Roman"/>
          <w:b/>
        </w:rPr>
        <w:t>2.3.14</w:t>
      </w:r>
      <w:r w:rsidR="003F4CFF" w:rsidRPr="00F732D1">
        <w:rPr>
          <w:rFonts w:ascii="Times New Roman" w:hAnsi="Times New Roman"/>
          <w:b/>
        </w:rPr>
        <w:t>. </w:t>
      </w:r>
      <w:r w:rsidR="003F4CFF">
        <w:rPr>
          <w:rFonts w:ascii="Times New Roman" w:hAnsi="Times New Roman"/>
          <w:b/>
        </w:rPr>
        <w:t xml:space="preserve">Оценка </w:t>
      </w:r>
      <w:r w:rsidR="003F4CFF" w:rsidRPr="000273F6">
        <w:rPr>
          <w:rFonts w:ascii="Times New Roman" w:hAnsi="Times New Roman"/>
          <w:b/>
        </w:rPr>
        <w:t>эффективности реализованных системных мероприятий по развитию конкуренции (по каждому абзацу пункта 30 Стандарта)</w:t>
      </w:r>
      <w:bookmarkEnd w:id="117"/>
      <w:bookmarkEnd w:id="118"/>
      <w:bookmarkEnd w:id="119"/>
      <w:r w:rsidR="00D43662">
        <w:rPr>
          <w:rFonts w:ascii="Times New Roman" w:hAnsi="Times New Roman"/>
          <w:b/>
        </w:rPr>
        <w:t>.</w:t>
      </w:r>
      <w:bookmarkEnd w:id="120"/>
    </w:p>
    <w:p w14:paraId="7B5F4A6E" w14:textId="56527F1F" w:rsidR="00D43662" w:rsidRDefault="008F47EE" w:rsidP="008F47EE">
      <w:pPr>
        <w:ind w:firstLine="567"/>
        <w:jc w:val="both"/>
        <w:rPr>
          <w:rFonts w:ascii="Times New Roman" w:hAnsi="Times New Roman" w:cs="Times New Roman"/>
          <w:sz w:val="28"/>
          <w:szCs w:val="28"/>
        </w:rPr>
      </w:pPr>
      <w:r>
        <w:rPr>
          <w:rFonts w:ascii="Times New Roman" w:hAnsi="Times New Roman" w:cs="Times New Roman"/>
          <w:sz w:val="28"/>
          <w:szCs w:val="28"/>
        </w:rPr>
        <w:t>Планом мероприятий (</w:t>
      </w:r>
      <w:r w:rsidR="00D92E6E">
        <w:rPr>
          <w:rFonts w:ascii="Times New Roman" w:hAnsi="Times New Roman" w:cs="Times New Roman"/>
          <w:sz w:val="28"/>
          <w:szCs w:val="28"/>
        </w:rPr>
        <w:t>«</w:t>
      </w:r>
      <w:r>
        <w:rPr>
          <w:rFonts w:ascii="Times New Roman" w:hAnsi="Times New Roman" w:cs="Times New Roman"/>
          <w:sz w:val="28"/>
          <w:szCs w:val="28"/>
        </w:rPr>
        <w:t>д</w:t>
      </w:r>
      <w:r w:rsidR="00D92E6E">
        <w:rPr>
          <w:rFonts w:ascii="Times New Roman" w:hAnsi="Times New Roman" w:cs="Times New Roman"/>
          <w:sz w:val="28"/>
          <w:szCs w:val="28"/>
        </w:rPr>
        <w:t>орожной картой»</w:t>
      </w:r>
      <w:r w:rsidR="003F6834">
        <w:rPr>
          <w:rFonts w:ascii="Times New Roman" w:hAnsi="Times New Roman" w:cs="Times New Roman"/>
          <w:sz w:val="28"/>
          <w:szCs w:val="28"/>
        </w:rPr>
        <w:t>)</w:t>
      </w:r>
      <w:r w:rsidR="00D92E6E">
        <w:rPr>
          <w:rFonts w:ascii="Times New Roman" w:hAnsi="Times New Roman" w:cs="Times New Roman"/>
          <w:sz w:val="28"/>
          <w:szCs w:val="28"/>
        </w:rPr>
        <w:t xml:space="preserve"> по содействию развитию конкуренции в Новосибирской области установлены мероприятия по развитию конкуренции по каждому из направлений, установленных пунктом 30 Стандарта</w:t>
      </w:r>
      <w:r w:rsidR="00C41CF1">
        <w:rPr>
          <w:rFonts w:ascii="Times New Roman" w:hAnsi="Times New Roman" w:cs="Times New Roman"/>
          <w:sz w:val="28"/>
          <w:szCs w:val="28"/>
        </w:rPr>
        <w:t>.</w:t>
      </w:r>
      <w:r w:rsidR="00D92E6E">
        <w:rPr>
          <w:rFonts w:ascii="Times New Roman" w:hAnsi="Times New Roman" w:cs="Times New Roman"/>
          <w:sz w:val="28"/>
          <w:szCs w:val="28"/>
        </w:rPr>
        <w:t xml:space="preserve"> </w:t>
      </w:r>
    </w:p>
    <w:p w14:paraId="11B76B0E" w14:textId="77777777" w:rsidR="00D92E6E" w:rsidRDefault="00D92E6E" w:rsidP="008F47EE">
      <w:pPr>
        <w:ind w:firstLine="567"/>
        <w:jc w:val="both"/>
        <w:rPr>
          <w:rFonts w:ascii="Times New Roman" w:hAnsi="Times New Roman" w:cs="Times New Roman"/>
          <w:sz w:val="28"/>
          <w:szCs w:val="28"/>
        </w:rPr>
      </w:pPr>
      <w:r>
        <w:rPr>
          <w:rFonts w:ascii="Times New Roman" w:hAnsi="Times New Roman" w:cs="Times New Roman"/>
          <w:sz w:val="28"/>
          <w:szCs w:val="28"/>
        </w:rPr>
        <w:t>Всего на период до 2022 года запланирована реализация 99 системных мероприятий по содействию развитию конкуренции, из них по 14 мероприятиям установлены значения</w:t>
      </w:r>
      <w:r w:rsidR="007961ED">
        <w:rPr>
          <w:rFonts w:ascii="Times New Roman" w:hAnsi="Times New Roman" w:cs="Times New Roman"/>
          <w:sz w:val="28"/>
          <w:szCs w:val="28"/>
        </w:rPr>
        <w:t xml:space="preserve"> целевых </w:t>
      </w:r>
      <w:r>
        <w:rPr>
          <w:rFonts w:ascii="Times New Roman" w:hAnsi="Times New Roman" w:cs="Times New Roman"/>
          <w:sz w:val="28"/>
          <w:szCs w:val="28"/>
        </w:rPr>
        <w:t xml:space="preserve">показателей. </w:t>
      </w:r>
    </w:p>
    <w:p w14:paraId="4492ACC3" w14:textId="77777777" w:rsidR="002C6A30" w:rsidRDefault="00D92E6E" w:rsidP="008F47EE">
      <w:pPr>
        <w:ind w:firstLine="567"/>
        <w:jc w:val="both"/>
        <w:rPr>
          <w:rFonts w:ascii="Times New Roman" w:hAnsi="Times New Roman" w:cs="Times New Roman"/>
          <w:sz w:val="28"/>
          <w:szCs w:val="28"/>
        </w:rPr>
      </w:pPr>
      <w:r>
        <w:rPr>
          <w:rFonts w:ascii="Times New Roman" w:hAnsi="Times New Roman" w:cs="Times New Roman"/>
          <w:sz w:val="28"/>
          <w:szCs w:val="28"/>
        </w:rPr>
        <w:t>Все мероприятия, намеченные к реализации на 2019 год, реализованы (реализуются) в соответствии с запланированными параметрами</w:t>
      </w:r>
      <w:r w:rsidR="003F6834">
        <w:rPr>
          <w:rFonts w:ascii="Times New Roman" w:hAnsi="Times New Roman" w:cs="Times New Roman"/>
          <w:sz w:val="28"/>
          <w:szCs w:val="28"/>
        </w:rPr>
        <w:t>,</w:t>
      </w:r>
    </w:p>
    <w:p w14:paraId="49FA82EA" w14:textId="720CC85D" w:rsidR="00D92E6E" w:rsidRPr="003F26A5" w:rsidRDefault="002C6A30" w:rsidP="008F47EE">
      <w:pPr>
        <w:ind w:firstLine="567"/>
        <w:jc w:val="both"/>
        <w:rPr>
          <w:rFonts w:ascii="Times New Roman" w:hAnsi="Times New Roman" w:cs="Times New Roman"/>
          <w:sz w:val="28"/>
          <w:szCs w:val="28"/>
        </w:rPr>
      </w:pPr>
      <w:r>
        <w:rPr>
          <w:rFonts w:ascii="Times New Roman" w:hAnsi="Times New Roman" w:cs="Times New Roman"/>
          <w:sz w:val="28"/>
          <w:szCs w:val="28"/>
        </w:rPr>
        <w:t>Не удалось достигнуть целевые значения по</w:t>
      </w:r>
      <w:r w:rsidR="00D13B6E">
        <w:rPr>
          <w:rFonts w:ascii="Times New Roman" w:hAnsi="Times New Roman" w:cs="Times New Roman"/>
          <w:sz w:val="28"/>
          <w:szCs w:val="28"/>
        </w:rPr>
        <w:t xml:space="preserve"> </w:t>
      </w:r>
      <w:r w:rsidR="00D92E6E" w:rsidRPr="003F26A5">
        <w:rPr>
          <w:rFonts w:ascii="Times New Roman" w:hAnsi="Times New Roman" w:cs="Times New Roman"/>
          <w:sz w:val="28"/>
          <w:szCs w:val="28"/>
        </w:rPr>
        <w:t>4 показател</w:t>
      </w:r>
      <w:r>
        <w:rPr>
          <w:rFonts w:ascii="Times New Roman" w:hAnsi="Times New Roman" w:cs="Times New Roman"/>
          <w:sz w:val="28"/>
          <w:szCs w:val="28"/>
        </w:rPr>
        <w:t>ям</w:t>
      </w:r>
      <w:r w:rsidR="00903CD3">
        <w:rPr>
          <w:rFonts w:ascii="Times New Roman" w:hAnsi="Times New Roman" w:cs="Times New Roman"/>
          <w:sz w:val="28"/>
          <w:szCs w:val="28"/>
        </w:rPr>
        <w:t>,</w:t>
      </w:r>
      <w:r>
        <w:rPr>
          <w:rFonts w:ascii="Times New Roman" w:hAnsi="Times New Roman" w:cs="Times New Roman"/>
          <w:sz w:val="28"/>
          <w:szCs w:val="28"/>
        </w:rPr>
        <w:t xml:space="preserve"> </w:t>
      </w:r>
      <w:r w:rsidR="00903CD3">
        <w:rPr>
          <w:rFonts w:ascii="Times New Roman" w:hAnsi="Times New Roman" w:cs="Times New Roman"/>
          <w:sz w:val="28"/>
          <w:szCs w:val="28"/>
        </w:rPr>
        <w:t xml:space="preserve">предусмотренным </w:t>
      </w:r>
      <w:r>
        <w:rPr>
          <w:rFonts w:ascii="Times New Roman" w:hAnsi="Times New Roman" w:cs="Times New Roman"/>
          <w:sz w:val="28"/>
          <w:szCs w:val="28"/>
        </w:rPr>
        <w:t>мероприятиям</w:t>
      </w:r>
      <w:r w:rsidR="00903CD3">
        <w:rPr>
          <w:rFonts w:ascii="Times New Roman" w:hAnsi="Times New Roman" w:cs="Times New Roman"/>
          <w:sz w:val="28"/>
          <w:szCs w:val="28"/>
        </w:rPr>
        <w:t>и</w:t>
      </w:r>
      <w:r>
        <w:rPr>
          <w:rFonts w:ascii="Times New Roman" w:hAnsi="Times New Roman" w:cs="Times New Roman"/>
          <w:sz w:val="28"/>
          <w:szCs w:val="28"/>
        </w:rPr>
        <w:t xml:space="preserve"> в рамках </w:t>
      </w:r>
      <w:r w:rsidR="00D92E6E" w:rsidRPr="003F26A5">
        <w:rPr>
          <w:rFonts w:ascii="Times New Roman" w:hAnsi="Times New Roman" w:cs="Times New Roman"/>
          <w:sz w:val="28"/>
          <w:szCs w:val="28"/>
        </w:rPr>
        <w:t>направлени</w:t>
      </w:r>
      <w:r>
        <w:rPr>
          <w:rFonts w:ascii="Times New Roman" w:hAnsi="Times New Roman" w:cs="Times New Roman"/>
          <w:sz w:val="28"/>
          <w:szCs w:val="28"/>
        </w:rPr>
        <w:t>я</w:t>
      </w:r>
      <w:r w:rsidR="00D92E6E" w:rsidRPr="003F26A5">
        <w:rPr>
          <w:rFonts w:ascii="Times New Roman" w:hAnsi="Times New Roman" w:cs="Times New Roman"/>
          <w:sz w:val="28"/>
          <w:szCs w:val="28"/>
        </w:rPr>
        <w:t xml:space="preserve"> «Обеспечение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r w:rsidR="00013860">
        <w:rPr>
          <w:rFonts w:ascii="Times New Roman" w:hAnsi="Times New Roman" w:cs="Times New Roman"/>
          <w:sz w:val="28"/>
          <w:szCs w:val="28"/>
        </w:rPr>
        <w:t xml:space="preserve"> Информация о недостигнутых </w:t>
      </w:r>
      <w:r>
        <w:rPr>
          <w:rFonts w:ascii="Times New Roman" w:hAnsi="Times New Roman" w:cs="Times New Roman"/>
          <w:sz w:val="28"/>
          <w:szCs w:val="28"/>
        </w:rPr>
        <w:t xml:space="preserve">значениях </w:t>
      </w:r>
      <w:r w:rsidR="00013860">
        <w:rPr>
          <w:rFonts w:ascii="Times New Roman" w:hAnsi="Times New Roman" w:cs="Times New Roman"/>
          <w:sz w:val="28"/>
          <w:szCs w:val="28"/>
        </w:rPr>
        <w:t xml:space="preserve">представлена </w:t>
      </w:r>
      <w:r w:rsidR="00D13B6E">
        <w:rPr>
          <w:rFonts w:ascii="Times New Roman" w:hAnsi="Times New Roman" w:cs="Times New Roman"/>
          <w:sz w:val="28"/>
          <w:szCs w:val="28"/>
        </w:rPr>
        <w:t>в разделе 3</w:t>
      </w:r>
    </w:p>
    <w:p w14:paraId="2A7D2F30" w14:textId="6AE4257E" w:rsidR="003F26A5" w:rsidRDefault="00AF0720" w:rsidP="008F47EE">
      <w:pPr>
        <w:ind w:firstLine="567"/>
        <w:jc w:val="both"/>
        <w:rPr>
          <w:rFonts w:ascii="Times New Roman" w:hAnsi="Times New Roman" w:cs="Times New Roman"/>
          <w:sz w:val="28"/>
          <w:szCs w:val="28"/>
        </w:rPr>
      </w:pPr>
      <w:r>
        <w:rPr>
          <w:rFonts w:ascii="Times New Roman" w:hAnsi="Times New Roman" w:cs="Times New Roman"/>
          <w:sz w:val="28"/>
          <w:szCs w:val="28"/>
        </w:rPr>
        <w:t>Информация</w:t>
      </w:r>
      <w:r w:rsidR="003F26A5">
        <w:rPr>
          <w:rFonts w:ascii="Times New Roman" w:hAnsi="Times New Roman" w:cs="Times New Roman"/>
          <w:sz w:val="28"/>
          <w:szCs w:val="28"/>
        </w:rPr>
        <w:t xml:space="preserve"> о</w:t>
      </w:r>
      <w:r>
        <w:rPr>
          <w:rFonts w:ascii="Times New Roman" w:hAnsi="Times New Roman" w:cs="Times New Roman"/>
          <w:sz w:val="28"/>
          <w:szCs w:val="28"/>
        </w:rPr>
        <w:t xml:space="preserve"> выполнении</w:t>
      </w:r>
      <w:r w:rsidR="003F26A5">
        <w:rPr>
          <w:rFonts w:ascii="Times New Roman" w:hAnsi="Times New Roman" w:cs="Times New Roman"/>
          <w:sz w:val="28"/>
          <w:szCs w:val="28"/>
        </w:rPr>
        <w:t xml:space="preserve"> системных мероприятий, направленных на развитие конкуренции в Новосибирской области</w:t>
      </w:r>
      <w:r w:rsidR="00903CD3">
        <w:rPr>
          <w:rFonts w:ascii="Times New Roman" w:hAnsi="Times New Roman" w:cs="Times New Roman"/>
          <w:sz w:val="28"/>
          <w:szCs w:val="28"/>
        </w:rPr>
        <w:t>,</w:t>
      </w:r>
      <w:r>
        <w:rPr>
          <w:rFonts w:ascii="Times New Roman" w:hAnsi="Times New Roman" w:cs="Times New Roman"/>
          <w:sz w:val="28"/>
          <w:szCs w:val="28"/>
        </w:rPr>
        <w:t xml:space="preserve"> и их эффективности</w:t>
      </w:r>
      <w:r w:rsidR="003F26A5">
        <w:rPr>
          <w:rFonts w:ascii="Times New Roman" w:hAnsi="Times New Roman" w:cs="Times New Roman"/>
          <w:sz w:val="28"/>
          <w:szCs w:val="28"/>
        </w:rPr>
        <w:t xml:space="preserve"> представлен</w:t>
      </w:r>
      <w:r>
        <w:rPr>
          <w:rFonts w:ascii="Times New Roman" w:hAnsi="Times New Roman" w:cs="Times New Roman"/>
          <w:sz w:val="28"/>
          <w:szCs w:val="28"/>
        </w:rPr>
        <w:t>а</w:t>
      </w:r>
      <w:r w:rsidR="003F26A5">
        <w:rPr>
          <w:rFonts w:ascii="Times New Roman" w:hAnsi="Times New Roman" w:cs="Times New Roman"/>
          <w:sz w:val="28"/>
          <w:szCs w:val="28"/>
        </w:rPr>
        <w:t xml:space="preserve"> в таблице 26.</w:t>
      </w:r>
    </w:p>
    <w:p w14:paraId="1F8818A9" w14:textId="77777777" w:rsidR="003F26A5" w:rsidRDefault="003F26A5" w:rsidP="00D92E6E">
      <w:pPr>
        <w:ind w:firstLine="709"/>
        <w:jc w:val="both"/>
        <w:rPr>
          <w:rFonts w:ascii="Times New Roman" w:hAnsi="Times New Roman" w:cs="Times New Roman"/>
          <w:sz w:val="28"/>
          <w:szCs w:val="28"/>
        </w:rPr>
      </w:pPr>
    </w:p>
    <w:p w14:paraId="4326C52A" w14:textId="77777777" w:rsidR="00B42DF0" w:rsidRDefault="00B42DF0" w:rsidP="00D92E6E">
      <w:pPr>
        <w:ind w:firstLine="709"/>
        <w:jc w:val="both"/>
        <w:rPr>
          <w:rFonts w:ascii="Times New Roman" w:hAnsi="Times New Roman" w:cs="Times New Roman"/>
          <w:sz w:val="28"/>
          <w:szCs w:val="28"/>
        </w:rPr>
        <w:sectPr w:rsidR="00B42DF0" w:rsidSect="004D3A67">
          <w:pgSz w:w="11906" w:h="16838" w:code="9"/>
          <w:pgMar w:top="1134" w:right="567" w:bottom="1134" w:left="1418" w:header="708" w:footer="708" w:gutter="0"/>
          <w:cols w:space="708"/>
          <w:docGrid w:linePitch="360"/>
        </w:sectPr>
      </w:pPr>
    </w:p>
    <w:p w14:paraId="4166B7D2" w14:textId="515F594C" w:rsidR="003F26A5" w:rsidRDefault="003F26A5" w:rsidP="00D92E6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26 – </w:t>
      </w:r>
      <w:r w:rsidR="00AF0720">
        <w:rPr>
          <w:rFonts w:ascii="Times New Roman" w:hAnsi="Times New Roman" w:cs="Times New Roman"/>
          <w:sz w:val="28"/>
          <w:szCs w:val="28"/>
        </w:rPr>
        <w:t>Информация о выполнении</w:t>
      </w:r>
      <w:r>
        <w:rPr>
          <w:rFonts w:ascii="Times New Roman" w:hAnsi="Times New Roman" w:cs="Times New Roman"/>
          <w:sz w:val="28"/>
          <w:szCs w:val="28"/>
        </w:rPr>
        <w:t xml:space="preserve"> системных мероприяти</w:t>
      </w:r>
      <w:r w:rsidR="00AF0720">
        <w:rPr>
          <w:rFonts w:ascii="Times New Roman" w:hAnsi="Times New Roman" w:cs="Times New Roman"/>
          <w:sz w:val="28"/>
          <w:szCs w:val="28"/>
        </w:rPr>
        <w:t>й</w:t>
      </w:r>
      <w:r>
        <w:rPr>
          <w:rFonts w:ascii="Times New Roman" w:hAnsi="Times New Roman" w:cs="Times New Roman"/>
          <w:sz w:val="28"/>
          <w:szCs w:val="28"/>
        </w:rPr>
        <w:t>, направленных на развитие конкуренции</w:t>
      </w:r>
      <w:r w:rsidR="00AF0720">
        <w:rPr>
          <w:rFonts w:ascii="Times New Roman" w:hAnsi="Times New Roman" w:cs="Times New Roman"/>
          <w:sz w:val="28"/>
          <w:szCs w:val="28"/>
        </w:rPr>
        <w:t xml:space="preserve"> в Новосибирской области и их эффективности</w:t>
      </w:r>
    </w:p>
    <w:tbl>
      <w:tblPr>
        <w:tblStyle w:val="af8"/>
        <w:tblW w:w="5059" w:type="pct"/>
        <w:tblLayout w:type="fixed"/>
        <w:tblLook w:val="04A0" w:firstRow="1" w:lastRow="0" w:firstColumn="1" w:lastColumn="0" w:noHBand="0" w:noVBand="1"/>
      </w:tblPr>
      <w:tblGrid>
        <w:gridCol w:w="987"/>
        <w:gridCol w:w="3265"/>
        <w:gridCol w:w="2130"/>
        <w:gridCol w:w="993"/>
        <w:gridCol w:w="1364"/>
        <w:gridCol w:w="5984"/>
        <w:gridCol w:w="9"/>
      </w:tblGrid>
      <w:tr w:rsidR="003F26A5" w:rsidRPr="00367300" w14:paraId="48F675D1" w14:textId="77777777" w:rsidTr="00E77388">
        <w:trPr>
          <w:gridAfter w:val="1"/>
          <w:wAfter w:w="3" w:type="pct"/>
          <w:trHeight w:val="283"/>
        </w:trPr>
        <w:tc>
          <w:tcPr>
            <w:tcW w:w="335" w:type="pct"/>
            <w:shd w:val="clear" w:color="auto" w:fill="auto"/>
          </w:tcPr>
          <w:p w14:paraId="1CA6CBC8"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w:t>
            </w:r>
          </w:p>
          <w:p w14:paraId="45E47EFD"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п/п</w:t>
            </w:r>
          </w:p>
        </w:tc>
        <w:tc>
          <w:tcPr>
            <w:tcW w:w="1108" w:type="pct"/>
            <w:shd w:val="clear" w:color="auto" w:fill="auto"/>
          </w:tcPr>
          <w:p w14:paraId="69E886C0" w14:textId="77777777" w:rsidR="003F26A5" w:rsidRPr="00367300" w:rsidRDefault="003F26A5" w:rsidP="00367300">
            <w:pPr>
              <w:ind w:left="57" w:right="57"/>
              <w:contextualSpacing/>
              <w:jc w:val="left"/>
              <w:rPr>
                <w:rFonts w:ascii="Times New Roman" w:hAnsi="Times New Roman" w:cs="Times New Roman"/>
                <w:bCs/>
                <w:sz w:val="24"/>
                <w:szCs w:val="24"/>
              </w:rPr>
            </w:pPr>
            <w:r w:rsidRPr="00367300">
              <w:rPr>
                <w:rFonts w:ascii="Times New Roman" w:hAnsi="Times New Roman" w:cs="Times New Roman"/>
                <w:bCs/>
                <w:sz w:val="24"/>
                <w:szCs w:val="24"/>
              </w:rPr>
              <w:t>Наименование мероприятия</w:t>
            </w:r>
          </w:p>
        </w:tc>
        <w:tc>
          <w:tcPr>
            <w:tcW w:w="723" w:type="pct"/>
            <w:shd w:val="clear" w:color="auto" w:fill="auto"/>
          </w:tcPr>
          <w:p w14:paraId="18866199" w14:textId="77777777" w:rsidR="003F26A5" w:rsidRPr="00367300" w:rsidRDefault="003F26A5" w:rsidP="00367300">
            <w:pPr>
              <w:ind w:left="57" w:right="57"/>
              <w:contextualSpacing/>
              <w:rPr>
                <w:rFonts w:ascii="Times New Roman" w:hAnsi="Times New Roman" w:cs="Times New Roman"/>
                <w:bCs/>
                <w:sz w:val="24"/>
                <w:szCs w:val="24"/>
              </w:rPr>
            </w:pPr>
            <w:r w:rsidRPr="00367300">
              <w:rPr>
                <w:rFonts w:ascii="Times New Roman" w:hAnsi="Times New Roman" w:cs="Times New Roman"/>
                <w:bCs/>
                <w:sz w:val="24"/>
                <w:szCs w:val="24"/>
              </w:rPr>
              <w:t>Ключевое событие/результат</w:t>
            </w:r>
          </w:p>
        </w:tc>
        <w:tc>
          <w:tcPr>
            <w:tcW w:w="337" w:type="pct"/>
            <w:shd w:val="clear" w:color="auto" w:fill="auto"/>
          </w:tcPr>
          <w:p w14:paraId="765AE8FF"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bCs/>
                <w:sz w:val="24"/>
                <w:szCs w:val="24"/>
              </w:rPr>
              <w:t>Срок реализации</w:t>
            </w:r>
          </w:p>
        </w:tc>
        <w:tc>
          <w:tcPr>
            <w:tcW w:w="463" w:type="pct"/>
            <w:shd w:val="clear" w:color="auto" w:fill="auto"/>
          </w:tcPr>
          <w:p w14:paraId="18A9643E"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bCs/>
                <w:sz w:val="24"/>
                <w:szCs w:val="24"/>
              </w:rPr>
              <w:t>Испол-нитель</w:t>
            </w:r>
          </w:p>
        </w:tc>
        <w:tc>
          <w:tcPr>
            <w:tcW w:w="2031" w:type="pct"/>
            <w:shd w:val="clear" w:color="auto" w:fill="auto"/>
          </w:tcPr>
          <w:p w14:paraId="35775DB0" w14:textId="6B493880"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bCs/>
                <w:sz w:val="24"/>
                <w:szCs w:val="24"/>
              </w:rPr>
              <w:t>Выполнение</w:t>
            </w:r>
            <w:r w:rsidR="00BA42AB" w:rsidRPr="00891093">
              <w:rPr>
                <w:rFonts w:ascii="Times New Roman" w:hAnsi="Times New Roman" w:cs="Times New Roman"/>
                <w:bCs/>
                <w:sz w:val="24"/>
                <w:szCs w:val="24"/>
              </w:rPr>
              <w:t xml:space="preserve"> мероприяти</w:t>
            </w:r>
            <w:r w:rsidR="000C0FC6" w:rsidRPr="00891093">
              <w:rPr>
                <w:rFonts w:ascii="Times New Roman" w:hAnsi="Times New Roman" w:cs="Times New Roman"/>
                <w:bCs/>
                <w:sz w:val="24"/>
                <w:szCs w:val="24"/>
              </w:rPr>
              <w:t>й</w:t>
            </w:r>
            <w:r w:rsidRPr="00891093">
              <w:rPr>
                <w:rFonts w:ascii="Times New Roman" w:hAnsi="Times New Roman" w:cs="Times New Roman"/>
                <w:bCs/>
                <w:sz w:val="24"/>
                <w:szCs w:val="24"/>
              </w:rPr>
              <w:t xml:space="preserve"> в 2019 году</w:t>
            </w:r>
            <w:r w:rsidR="00BA42AB" w:rsidRPr="00891093">
              <w:rPr>
                <w:rFonts w:ascii="Times New Roman" w:hAnsi="Times New Roman" w:cs="Times New Roman"/>
                <w:bCs/>
                <w:sz w:val="24"/>
                <w:szCs w:val="24"/>
              </w:rPr>
              <w:t xml:space="preserve">, </w:t>
            </w:r>
          </w:p>
          <w:p w14:paraId="3F52077F" w14:textId="73096E59" w:rsidR="00BA42AB" w:rsidRPr="00891093" w:rsidRDefault="000C0FC6" w:rsidP="00891093">
            <w:pPr>
              <w:ind w:left="57" w:right="57"/>
              <w:contextualSpacing/>
              <w:rPr>
                <w:rFonts w:ascii="Times New Roman" w:hAnsi="Times New Roman" w:cs="Times New Roman"/>
                <w:bCs/>
                <w:sz w:val="24"/>
                <w:szCs w:val="24"/>
              </w:rPr>
            </w:pPr>
            <w:r w:rsidRPr="00891093">
              <w:rPr>
                <w:rFonts w:ascii="Times New Roman" w:hAnsi="Times New Roman" w:cs="Times New Roman"/>
                <w:bCs/>
                <w:sz w:val="24"/>
                <w:szCs w:val="24"/>
              </w:rPr>
              <w:t xml:space="preserve">их </w:t>
            </w:r>
            <w:r w:rsidR="00BA42AB" w:rsidRPr="00891093">
              <w:rPr>
                <w:rFonts w:ascii="Times New Roman" w:hAnsi="Times New Roman" w:cs="Times New Roman"/>
                <w:bCs/>
                <w:sz w:val="24"/>
                <w:szCs w:val="24"/>
              </w:rPr>
              <w:t xml:space="preserve">эффективность </w:t>
            </w:r>
          </w:p>
        </w:tc>
      </w:tr>
      <w:tr w:rsidR="003F26A5" w:rsidRPr="00367300" w14:paraId="12BF7E44" w14:textId="77777777" w:rsidTr="00E77388">
        <w:trPr>
          <w:trHeight w:val="283"/>
        </w:trPr>
        <w:tc>
          <w:tcPr>
            <w:tcW w:w="5000" w:type="pct"/>
            <w:gridSpan w:val="7"/>
          </w:tcPr>
          <w:p w14:paraId="3212B53C" w14:textId="77777777" w:rsidR="003F26A5" w:rsidRPr="00367300" w:rsidRDefault="003F26A5" w:rsidP="00367300">
            <w:pPr>
              <w:ind w:left="57" w:right="57"/>
              <w:contextualSpacing/>
              <w:rPr>
                <w:rFonts w:ascii="Times New Roman" w:hAnsi="Times New Roman" w:cs="Times New Roman"/>
                <w:b/>
                <w:bCs/>
                <w:sz w:val="24"/>
                <w:szCs w:val="24"/>
              </w:rPr>
            </w:pPr>
            <w:r w:rsidRPr="00367300">
              <w:rPr>
                <w:rFonts w:ascii="Times New Roman" w:hAnsi="Times New Roman" w:cs="Times New Roman"/>
                <w:b/>
                <w:bCs/>
                <w:sz w:val="24"/>
                <w:szCs w:val="24"/>
              </w:rPr>
              <w:t>1. Развитие конкурентоспособности товаров, работ, услуг субъектов малого и среднего предпринимательства</w:t>
            </w:r>
          </w:p>
        </w:tc>
      </w:tr>
      <w:tr w:rsidR="003F26A5" w:rsidRPr="00367300" w14:paraId="7FF94647" w14:textId="77777777" w:rsidTr="00E77388">
        <w:trPr>
          <w:gridAfter w:val="1"/>
          <w:wAfter w:w="3" w:type="pct"/>
          <w:trHeight w:val="283"/>
        </w:trPr>
        <w:tc>
          <w:tcPr>
            <w:tcW w:w="335" w:type="pct"/>
          </w:tcPr>
          <w:p w14:paraId="575BA469"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sz w:val="24"/>
                <w:szCs w:val="24"/>
              </w:rPr>
              <w:t>1.1</w:t>
            </w:r>
          </w:p>
        </w:tc>
        <w:tc>
          <w:tcPr>
            <w:tcW w:w="1108" w:type="pct"/>
          </w:tcPr>
          <w:p w14:paraId="71BF2257" w14:textId="77777777" w:rsidR="003F26A5" w:rsidRPr="00367300" w:rsidRDefault="003F26A5" w:rsidP="00367300">
            <w:pPr>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Повышение эффективности поддержки предприятий </w:t>
            </w:r>
          </w:p>
          <w:p w14:paraId="4C954769" w14:textId="77777777" w:rsidR="003F26A5" w:rsidRPr="00367300" w:rsidRDefault="003F26A5" w:rsidP="00367300">
            <w:pPr>
              <w:ind w:left="57" w:right="57"/>
              <w:jc w:val="both"/>
              <w:rPr>
                <w:rFonts w:ascii="Times New Roman" w:hAnsi="Times New Roman" w:cs="Times New Roman"/>
                <w:bCs/>
                <w:sz w:val="24"/>
                <w:szCs w:val="24"/>
              </w:rPr>
            </w:pPr>
            <w:r w:rsidRPr="00367300">
              <w:rPr>
                <w:rFonts w:ascii="Times New Roman" w:hAnsi="Times New Roman" w:cs="Times New Roman"/>
                <w:sz w:val="24"/>
                <w:szCs w:val="24"/>
              </w:rPr>
              <w:t>и индивидуальных предпринимателей с целью организации поставок продукции собственного производства, в том числе на зарубежные рынки</w:t>
            </w:r>
          </w:p>
        </w:tc>
        <w:tc>
          <w:tcPr>
            <w:tcW w:w="723" w:type="pct"/>
            <w:shd w:val="clear" w:color="auto" w:fill="FFFFFF" w:themeFill="background1"/>
          </w:tcPr>
          <w:p w14:paraId="15E15EE3" w14:textId="77777777" w:rsidR="003F26A5" w:rsidRPr="00367300" w:rsidRDefault="003F26A5" w:rsidP="00367300">
            <w:pPr>
              <w:ind w:left="57" w:right="57"/>
              <w:rPr>
                <w:rFonts w:ascii="Times New Roman" w:hAnsi="Times New Roman" w:cs="Times New Roman"/>
                <w:sz w:val="24"/>
                <w:szCs w:val="24"/>
              </w:rPr>
            </w:pPr>
            <w:r w:rsidRPr="00367300">
              <w:rPr>
                <w:rFonts w:ascii="Times New Roman" w:hAnsi="Times New Roman" w:cs="Times New Roman"/>
                <w:sz w:val="24"/>
                <w:szCs w:val="24"/>
              </w:rPr>
              <w:t>Ежегодный рост объема отгруженных товаров собственного производства:</w:t>
            </w:r>
          </w:p>
          <w:p w14:paraId="0201F8D8"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 xml:space="preserve">в 2019 году – </w:t>
            </w:r>
          </w:p>
          <w:p w14:paraId="20B429CC"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260500 млн. руб.;</w:t>
            </w:r>
          </w:p>
          <w:p w14:paraId="3AB43AD9"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 xml:space="preserve">в 2020 году – </w:t>
            </w:r>
          </w:p>
          <w:p w14:paraId="2F42691B"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270166 млн. руб.;</w:t>
            </w:r>
          </w:p>
          <w:p w14:paraId="21C6F538"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в 2021 году –</w:t>
            </w:r>
          </w:p>
          <w:p w14:paraId="68BA38F6"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290330 млн. руб.</w:t>
            </w:r>
          </w:p>
        </w:tc>
        <w:tc>
          <w:tcPr>
            <w:tcW w:w="337" w:type="pct"/>
          </w:tcPr>
          <w:p w14:paraId="4B282A7B"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2019-2021 годы</w:t>
            </w:r>
          </w:p>
        </w:tc>
        <w:tc>
          <w:tcPr>
            <w:tcW w:w="463" w:type="pct"/>
          </w:tcPr>
          <w:p w14:paraId="5EF286D9"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Минпромторг НСО</w:t>
            </w:r>
          </w:p>
        </w:tc>
        <w:tc>
          <w:tcPr>
            <w:tcW w:w="2031" w:type="pct"/>
          </w:tcPr>
          <w:p w14:paraId="192C2EB1" w14:textId="77777777" w:rsidR="003F26A5" w:rsidRPr="00891093" w:rsidRDefault="003F26A5" w:rsidP="00891093">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Центром поддержки экспорта Новосибирской области в 2019 году оказаны услуги 327 субъектам МСП, проведено 48 мероприятий по продвижению товаров на внешние рынки, в результате 103 субъекта МСП заключили экспортные контракты на сумму 13,7 млн. долларов.</w:t>
            </w:r>
          </w:p>
          <w:p w14:paraId="4F07F971" w14:textId="51F196A5" w:rsidR="003F26A5" w:rsidRPr="00AE06D3" w:rsidRDefault="003F26A5" w:rsidP="00891093">
            <w:pPr>
              <w:ind w:left="57" w:right="57" w:firstLine="340"/>
              <w:contextualSpacing/>
              <w:jc w:val="both"/>
              <w:rPr>
                <w:rFonts w:ascii="Times New Roman" w:hAnsi="Times New Roman" w:cs="Times New Roman"/>
                <w:sz w:val="24"/>
                <w:szCs w:val="24"/>
              </w:rPr>
            </w:pPr>
            <w:r w:rsidRPr="00891093">
              <w:rPr>
                <w:rFonts w:ascii="Times New Roman" w:hAnsi="Times New Roman" w:cs="Times New Roman"/>
                <w:sz w:val="24"/>
                <w:szCs w:val="24"/>
              </w:rPr>
              <w:t>Объем отгруженных товаров собственного производства в 2019 году составил 803400,0 млн. рублей (115,0%</w:t>
            </w:r>
            <w:r w:rsidRPr="00AE06D3">
              <w:rPr>
                <w:rFonts w:ascii="Times New Roman" w:hAnsi="Times New Roman" w:cs="Times New Roman"/>
                <w:sz w:val="24"/>
                <w:szCs w:val="24"/>
              </w:rPr>
              <w:t xml:space="preserve"> к 2018 году).</w:t>
            </w:r>
          </w:p>
        </w:tc>
      </w:tr>
      <w:tr w:rsidR="003F26A5" w:rsidRPr="00367300" w14:paraId="2123CA50" w14:textId="77777777" w:rsidTr="00E77388">
        <w:trPr>
          <w:gridAfter w:val="1"/>
          <w:wAfter w:w="3" w:type="pct"/>
          <w:trHeight w:val="283"/>
        </w:trPr>
        <w:tc>
          <w:tcPr>
            <w:tcW w:w="335" w:type="pct"/>
            <w:shd w:val="clear" w:color="auto" w:fill="auto"/>
          </w:tcPr>
          <w:p w14:paraId="190A1705"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sz w:val="24"/>
                <w:szCs w:val="24"/>
              </w:rPr>
              <w:t>1.2</w:t>
            </w:r>
          </w:p>
        </w:tc>
        <w:tc>
          <w:tcPr>
            <w:tcW w:w="1108" w:type="pct"/>
            <w:shd w:val="clear" w:color="auto" w:fill="auto"/>
          </w:tcPr>
          <w:p w14:paraId="3321CCCB"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Организация и проведение выставок или ярмарок, организация деловых миссий</w:t>
            </w:r>
          </w:p>
        </w:tc>
        <w:tc>
          <w:tcPr>
            <w:tcW w:w="723" w:type="pct"/>
            <w:shd w:val="clear" w:color="auto" w:fill="auto"/>
          </w:tcPr>
          <w:p w14:paraId="32BA6781" w14:textId="77777777" w:rsidR="003F26A5" w:rsidRPr="00891093" w:rsidRDefault="003F26A5" w:rsidP="00367300">
            <w:pPr>
              <w:ind w:left="57" w:right="57"/>
              <w:contextualSpacing/>
              <w:rPr>
                <w:rFonts w:ascii="Times New Roman" w:hAnsi="Times New Roman" w:cs="Times New Roman"/>
                <w:sz w:val="24"/>
                <w:szCs w:val="24"/>
              </w:rPr>
            </w:pPr>
            <w:r w:rsidRPr="00891093">
              <w:rPr>
                <w:rFonts w:ascii="Times New Roman" w:hAnsi="Times New Roman" w:cs="Times New Roman"/>
                <w:sz w:val="24"/>
                <w:szCs w:val="24"/>
              </w:rPr>
              <w:t>Повышение эффективности выставочной деятельности как одного из рычагов развития рынков. Развитие внутреннего рынка Новосибирской области, наполнение его качественными конкурентоспособными товарами</w:t>
            </w:r>
          </w:p>
        </w:tc>
        <w:tc>
          <w:tcPr>
            <w:tcW w:w="337" w:type="pct"/>
            <w:shd w:val="clear" w:color="auto" w:fill="auto"/>
          </w:tcPr>
          <w:p w14:paraId="34219EF3" w14:textId="77777777" w:rsidR="003F26A5" w:rsidRPr="00891093" w:rsidRDefault="003F26A5" w:rsidP="00367300">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2019-2021 годы</w:t>
            </w:r>
          </w:p>
        </w:tc>
        <w:tc>
          <w:tcPr>
            <w:tcW w:w="463" w:type="pct"/>
            <w:shd w:val="clear" w:color="auto" w:fill="auto"/>
          </w:tcPr>
          <w:p w14:paraId="08DB9703"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Минпромторг НСО</w:t>
            </w:r>
          </w:p>
        </w:tc>
        <w:tc>
          <w:tcPr>
            <w:tcW w:w="2031" w:type="pct"/>
          </w:tcPr>
          <w:p w14:paraId="6B3D138C" w14:textId="77777777" w:rsidR="003F26A5" w:rsidRPr="00891093" w:rsidRDefault="003F26A5" w:rsidP="00891093">
            <w:pPr>
              <w:ind w:left="57" w:right="57" w:firstLine="340"/>
              <w:contextualSpacing/>
              <w:jc w:val="both"/>
              <w:rPr>
                <w:rFonts w:ascii="Times New Roman" w:hAnsi="Times New Roman" w:cs="Times New Roman"/>
                <w:sz w:val="24"/>
                <w:szCs w:val="24"/>
              </w:rPr>
            </w:pPr>
            <w:r w:rsidRPr="00891093">
              <w:rPr>
                <w:rFonts w:ascii="Times New Roman" w:hAnsi="Times New Roman" w:cs="Times New Roman"/>
                <w:sz w:val="24"/>
                <w:szCs w:val="24"/>
              </w:rPr>
              <w:t>Центром поддержки экспорта организовано 13 зарубежных ярмарок, 13 реверсных бизнес-миссий, 18 бизнес-миссий и 4 выставки в России.</w:t>
            </w:r>
          </w:p>
        </w:tc>
      </w:tr>
      <w:tr w:rsidR="003F26A5" w:rsidRPr="00367300" w14:paraId="6EF85923" w14:textId="77777777" w:rsidTr="00E77388">
        <w:trPr>
          <w:gridAfter w:val="1"/>
          <w:wAfter w:w="3" w:type="pct"/>
          <w:trHeight w:val="283"/>
        </w:trPr>
        <w:tc>
          <w:tcPr>
            <w:tcW w:w="335" w:type="pct"/>
          </w:tcPr>
          <w:p w14:paraId="75151AA1"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sz w:val="24"/>
                <w:szCs w:val="24"/>
              </w:rPr>
              <w:lastRenderedPageBreak/>
              <w:t>1.3</w:t>
            </w:r>
          </w:p>
        </w:tc>
        <w:tc>
          <w:tcPr>
            <w:tcW w:w="1108" w:type="pct"/>
          </w:tcPr>
          <w:p w14:paraId="45AB7BD6"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Развитие и обеспечение функционирования портала «Малое и среднее предпринимательство Новосибирской области».</w:t>
            </w:r>
          </w:p>
          <w:p w14:paraId="5EBAA991"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Обеспечение функционирования Бизнес-навигатора МСП </w:t>
            </w:r>
          </w:p>
          <w:p w14:paraId="3A07FDF0"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в Новосибирской области</w:t>
            </w:r>
          </w:p>
        </w:tc>
        <w:tc>
          <w:tcPr>
            <w:tcW w:w="723" w:type="pct"/>
          </w:tcPr>
          <w:p w14:paraId="5FA5A6FE"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Повышение уровня информированности субъектов малого и среднего предпринимательства о возможностях для развития бизнеса</w:t>
            </w:r>
          </w:p>
        </w:tc>
        <w:tc>
          <w:tcPr>
            <w:tcW w:w="337" w:type="pct"/>
          </w:tcPr>
          <w:p w14:paraId="71045110"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2019-2021 годы</w:t>
            </w:r>
          </w:p>
        </w:tc>
        <w:tc>
          <w:tcPr>
            <w:tcW w:w="463" w:type="pct"/>
          </w:tcPr>
          <w:p w14:paraId="4DA6B724"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Минпромторг НСО</w:t>
            </w:r>
          </w:p>
        </w:tc>
        <w:tc>
          <w:tcPr>
            <w:tcW w:w="2031" w:type="pct"/>
          </w:tcPr>
          <w:p w14:paraId="0FCCC250" w14:textId="77777777" w:rsidR="003F26A5" w:rsidRPr="00891093" w:rsidRDefault="003F26A5" w:rsidP="00891093">
            <w:pPr>
              <w:ind w:left="57" w:right="57" w:firstLine="340"/>
              <w:jc w:val="both"/>
              <w:rPr>
                <w:rFonts w:ascii="Times New Roman" w:hAnsi="Times New Roman" w:cs="Times New Roman"/>
                <w:color w:val="000000"/>
                <w:sz w:val="24"/>
                <w:szCs w:val="24"/>
              </w:rPr>
            </w:pPr>
            <w:r w:rsidRPr="00891093">
              <w:rPr>
                <w:rFonts w:ascii="Times New Roman" w:hAnsi="Times New Roman" w:cs="Times New Roman"/>
                <w:color w:val="000000"/>
                <w:sz w:val="24"/>
                <w:szCs w:val="24"/>
              </w:rPr>
              <w:t>За 2019 год на портале «Малое и среднее предпринимательство Новосибирской области» размещено 890 информационных сообщений о развитии малого и среднего предпринимательства в Новосибирской области.</w:t>
            </w:r>
            <w:r w:rsidRPr="00891093">
              <w:rPr>
                <w:rFonts w:ascii="Times New Roman" w:hAnsi="Times New Roman" w:cs="Times New Roman"/>
                <w:sz w:val="24"/>
                <w:szCs w:val="24"/>
              </w:rPr>
              <w:t xml:space="preserve"> </w:t>
            </w:r>
          </w:p>
          <w:p w14:paraId="3D472F8F" w14:textId="77777777" w:rsidR="003F26A5" w:rsidRPr="00891093" w:rsidRDefault="003F26A5" w:rsidP="00891093">
            <w:pPr>
              <w:ind w:left="57" w:right="57" w:firstLine="340"/>
              <w:jc w:val="both"/>
              <w:rPr>
                <w:rFonts w:ascii="Times New Roman" w:hAnsi="Times New Roman" w:cs="Times New Roman"/>
                <w:color w:val="000000"/>
                <w:sz w:val="24"/>
                <w:szCs w:val="24"/>
                <w:highlight w:val="yellow"/>
              </w:rPr>
            </w:pPr>
            <w:r w:rsidRPr="00891093">
              <w:rPr>
                <w:rFonts w:ascii="Times New Roman" w:hAnsi="Times New Roman" w:cs="Times New Roman"/>
                <w:sz w:val="24"/>
                <w:szCs w:val="24"/>
              </w:rPr>
              <w:t>В Бизнес-навигаторе МСП в Новосибирской области зарегистрировано 9506 субъектов МСП, что составляет 6,6% от общего количества субъектов МСП, зарегистрированных на территории Новосибирской области на 01.01.2020.</w:t>
            </w:r>
          </w:p>
        </w:tc>
      </w:tr>
      <w:tr w:rsidR="003F26A5" w:rsidRPr="00367300" w14:paraId="33148DEA" w14:textId="77777777" w:rsidTr="00E77388">
        <w:trPr>
          <w:gridAfter w:val="1"/>
          <w:wAfter w:w="3" w:type="pct"/>
          <w:trHeight w:val="283"/>
        </w:trPr>
        <w:tc>
          <w:tcPr>
            <w:tcW w:w="335" w:type="pct"/>
          </w:tcPr>
          <w:p w14:paraId="48808BE6"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1.4</w:t>
            </w:r>
          </w:p>
        </w:tc>
        <w:tc>
          <w:tcPr>
            <w:tcW w:w="1108" w:type="pct"/>
          </w:tcPr>
          <w:p w14:paraId="0683DDE2"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Взаимодействие с представителями ассоциаций фармацевтических работников, руководителями фармацевтических организаций </w:t>
            </w:r>
          </w:p>
          <w:p w14:paraId="0BE3ED17"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по вопросам осуществления фармацевтической деятельности</w:t>
            </w:r>
          </w:p>
        </w:tc>
        <w:tc>
          <w:tcPr>
            <w:tcW w:w="723" w:type="pct"/>
          </w:tcPr>
          <w:p w14:paraId="420B317F" w14:textId="77777777" w:rsidR="003F26A5" w:rsidRPr="00367300" w:rsidRDefault="003F26A5" w:rsidP="00367300">
            <w:pPr>
              <w:ind w:left="57" w:right="57"/>
              <w:contextualSpacing/>
              <w:rPr>
                <w:rFonts w:ascii="Times New Roman" w:hAnsi="Times New Roman" w:cs="Times New Roman"/>
                <w:bCs/>
                <w:sz w:val="24"/>
                <w:szCs w:val="24"/>
              </w:rPr>
            </w:pPr>
            <w:r w:rsidRPr="00367300">
              <w:rPr>
                <w:rFonts w:ascii="Times New Roman" w:hAnsi="Times New Roman" w:cs="Times New Roman"/>
                <w:sz w:val="24"/>
                <w:szCs w:val="24"/>
              </w:rPr>
              <w:t>Организация обратной связи, направленной на повышение эффективности и доступности процедуры по выдаче лицензий</w:t>
            </w:r>
          </w:p>
        </w:tc>
        <w:tc>
          <w:tcPr>
            <w:tcW w:w="337" w:type="pct"/>
          </w:tcPr>
          <w:p w14:paraId="42769A12" w14:textId="77777777" w:rsidR="003F26A5" w:rsidRPr="00367300" w:rsidRDefault="003F26A5" w:rsidP="00367300">
            <w:pPr>
              <w:ind w:left="57" w:right="57"/>
              <w:contextualSpacing/>
              <w:rPr>
                <w:rFonts w:ascii="Times New Roman" w:hAnsi="Times New Roman" w:cs="Times New Roman"/>
                <w:bCs/>
                <w:sz w:val="24"/>
                <w:szCs w:val="24"/>
              </w:rPr>
            </w:pPr>
            <w:r w:rsidRPr="00367300">
              <w:rPr>
                <w:rFonts w:ascii="Times New Roman" w:hAnsi="Times New Roman" w:cs="Times New Roman"/>
                <w:bCs/>
                <w:sz w:val="24"/>
                <w:szCs w:val="24"/>
              </w:rPr>
              <w:t>2019-2021 годы</w:t>
            </w:r>
          </w:p>
        </w:tc>
        <w:tc>
          <w:tcPr>
            <w:tcW w:w="463" w:type="pct"/>
          </w:tcPr>
          <w:p w14:paraId="5B018293" w14:textId="77777777" w:rsidR="003F26A5" w:rsidRPr="00891093" w:rsidRDefault="003F26A5" w:rsidP="00891093">
            <w:pPr>
              <w:ind w:left="57" w:right="57"/>
              <w:rPr>
                <w:rFonts w:ascii="Times New Roman" w:hAnsi="Times New Roman" w:cs="Times New Roman"/>
                <w:bCs/>
                <w:sz w:val="24"/>
                <w:szCs w:val="24"/>
              </w:rPr>
            </w:pPr>
            <w:r w:rsidRPr="00891093">
              <w:rPr>
                <w:rFonts w:ascii="Times New Roman" w:hAnsi="Times New Roman" w:cs="Times New Roman"/>
                <w:bCs/>
                <w:sz w:val="24"/>
                <w:szCs w:val="24"/>
              </w:rPr>
              <w:t>Минздрав НСО</w:t>
            </w:r>
          </w:p>
        </w:tc>
        <w:tc>
          <w:tcPr>
            <w:tcW w:w="2031" w:type="pct"/>
          </w:tcPr>
          <w:p w14:paraId="63FB19AA" w14:textId="77777777" w:rsidR="003F26A5" w:rsidRPr="00891093" w:rsidRDefault="003F26A5" w:rsidP="00891093">
            <w:pPr>
              <w:pStyle w:val="Default"/>
              <w:ind w:left="57" w:right="57" w:firstLine="340"/>
              <w:jc w:val="both"/>
              <w:rPr>
                <w:rFonts w:ascii="Times New Roman" w:hAnsi="Times New Roman" w:cs="Times New Roman"/>
              </w:rPr>
            </w:pPr>
            <w:r w:rsidRPr="00891093">
              <w:rPr>
                <w:rFonts w:ascii="Times New Roman" w:hAnsi="Times New Roman" w:cs="Times New Roman"/>
              </w:rPr>
              <w:t>В целях организации обратной связи, направленной на повышение эффективности и доступности процедуры по выдаче лицензий, министерство здравоохранения Новосибирской области осуществляет взаимодействие с представителями ассоциации фармацевтических организаций города Новосибирска и некоммерческим партнерством «Центр фармацевтической информации», на базе которого 2 раза в год проводятся конференции для работников аптечных организаций, в которых принимают участие специалисты отдела лицензирования медицинской и фармацевтической деятельности министерства здравоохранения Новосибирской области.</w:t>
            </w:r>
          </w:p>
        </w:tc>
      </w:tr>
      <w:tr w:rsidR="003F26A5" w:rsidRPr="00367300" w14:paraId="7FFB941B" w14:textId="77777777" w:rsidTr="00E77388">
        <w:trPr>
          <w:gridAfter w:val="1"/>
          <w:wAfter w:w="3" w:type="pct"/>
          <w:trHeight w:val="283"/>
        </w:trPr>
        <w:tc>
          <w:tcPr>
            <w:tcW w:w="335" w:type="pct"/>
            <w:shd w:val="clear" w:color="auto" w:fill="FFFFFF" w:themeFill="background1"/>
          </w:tcPr>
          <w:p w14:paraId="369506DA"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1.5</w:t>
            </w:r>
          </w:p>
        </w:tc>
        <w:tc>
          <w:tcPr>
            <w:tcW w:w="1108" w:type="pct"/>
            <w:shd w:val="clear" w:color="auto" w:fill="FFFFFF" w:themeFill="background1"/>
          </w:tcPr>
          <w:p w14:paraId="0E349F8E"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Оказание методической </w:t>
            </w:r>
          </w:p>
          <w:p w14:paraId="13D9D392"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и консультационной помощи субъектам предпринимательства </w:t>
            </w:r>
          </w:p>
          <w:p w14:paraId="2696385F"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по вопросам лицензирования фармацевтической деятельности</w:t>
            </w:r>
          </w:p>
        </w:tc>
        <w:tc>
          <w:tcPr>
            <w:tcW w:w="723" w:type="pct"/>
            <w:shd w:val="clear" w:color="auto" w:fill="FFFFFF" w:themeFill="background1"/>
          </w:tcPr>
          <w:p w14:paraId="6BFD4E0E" w14:textId="77777777" w:rsidR="003F26A5" w:rsidRPr="00367300" w:rsidRDefault="003F26A5" w:rsidP="00367300">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 xml:space="preserve">Повышение доступности государственной услуги </w:t>
            </w:r>
          </w:p>
          <w:p w14:paraId="6FA85C1B"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по лицензированию</w:t>
            </w:r>
          </w:p>
        </w:tc>
        <w:tc>
          <w:tcPr>
            <w:tcW w:w="337" w:type="pct"/>
            <w:shd w:val="clear" w:color="auto" w:fill="FFFFFF" w:themeFill="background1"/>
          </w:tcPr>
          <w:p w14:paraId="28E25CBD"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shd w:val="clear" w:color="auto" w:fill="FFFFFF" w:themeFill="background1"/>
          </w:tcPr>
          <w:p w14:paraId="0F0C8BEA" w14:textId="77777777" w:rsidR="003F26A5" w:rsidRPr="00891093" w:rsidRDefault="003F26A5" w:rsidP="00891093">
            <w:pPr>
              <w:ind w:left="57" w:right="57"/>
              <w:rPr>
                <w:rFonts w:ascii="Times New Roman" w:hAnsi="Times New Roman" w:cs="Times New Roman"/>
                <w:bCs/>
                <w:sz w:val="24"/>
                <w:szCs w:val="24"/>
              </w:rPr>
            </w:pPr>
            <w:r w:rsidRPr="00891093">
              <w:rPr>
                <w:rFonts w:ascii="Times New Roman" w:hAnsi="Times New Roman" w:cs="Times New Roman"/>
                <w:bCs/>
                <w:sz w:val="24"/>
                <w:szCs w:val="24"/>
              </w:rPr>
              <w:t>Минздрав НСО</w:t>
            </w:r>
          </w:p>
        </w:tc>
        <w:tc>
          <w:tcPr>
            <w:tcW w:w="2031" w:type="pct"/>
            <w:shd w:val="clear" w:color="auto" w:fill="FFFFFF" w:themeFill="background1"/>
          </w:tcPr>
          <w:p w14:paraId="6F604DE5" w14:textId="77777777" w:rsidR="003F26A5" w:rsidRPr="00891093" w:rsidRDefault="003F26A5" w:rsidP="00891093">
            <w:pPr>
              <w:pStyle w:val="Default"/>
              <w:ind w:left="57" w:right="57" w:firstLine="340"/>
              <w:jc w:val="both"/>
              <w:rPr>
                <w:rFonts w:ascii="Times New Roman" w:hAnsi="Times New Roman" w:cs="Times New Roman"/>
              </w:rPr>
            </w:pPr>
            <w:r w:rsidRPr="00891093">
              <w:rPr>
                <w:rFonts w:ascii="Times New Roman" w:hAnsi="Times New Roman" w:cs="Times New Roman"/>
              </w:rPr>
              <w:t xml:space="preserve">Министерством здравоохранения Новосибирской области в 2019 году в целях методической и консультационной помощи субъектам предпринимательства по вопросам лицензирования фармацевтической деятельности дано 2 ответа на письменные обращения; еженедельно проводится консультирование юридических лиц, индивидуальных предпринимателей, физических лиц при личном обращении по заполнению заявлений на предоставление, переоформление лицензии, по перечню документов, предоставляемых к заявлению. Также, при обращении </w:t>
            </w:r>
            <w:r w:rsidRPr="00891093">
              <w:rPr>
                <w:rFonts w:ascii="Times New Roman" w:hAnsi="Times New Roman" w:cs="Times New Roman"/>
              </w:rPr>
              <w:lastRenderedPageBreak/>
              <w:t>граждан по телефону с вопросами по лицензированию фармацевтической деятельности, заполнению заявления специалистами предоставляются устные разъяснения по порядку лицензирования фармацевтической деятельности.</w:t>
            </w:r>
          </w:p>
          <w:p w14:paraId="5C994BBE" w14:textId="77777777" w:rsidR="003F26A5" w:rsidRPr="00891093" w:rsidRDefault="003F26A5" w:rsidP="00891093">
            <w:pPr>
              <w:pStyle w:val="Default"/>
              <w:ind w:left="57" w:right="57" w:firstLine="340"/>
              <w:jc w:val="both"/>
              <w:rPr>
                <w:rFonts w:ascii="Times New Roman" w:hAnsi="Times New Roman" w:cs="Times New Roman"/>
              </w:rPr>
            </w:pPr>
            <w:r w:rsidRPr="00891093">
              <w:rPr>
                <w:rFonts w:ascii="Times New Roman" w:hAnsi="Times New Roman" w:cs="Times New Roman"/>
              </w:rPr>
              <w:t>В целях повышения доступности государственной услуги нормативные правовые документы, регламентирующие порядок лицензирования фармацевтической деятельности, заполненные образцы форм заявлений на получение государственной услуги по лицензированию фармацевтической деятельности размещены на официальном интернет-сайте министерства здравоохранения Новосибирской области.</w:t>
            </w:r>
          </w:p>
        </w:tc>
      </w:tr>
      <w:tr w:rsidR="003F26A5" w:rsidRPr="00367300" w14:paraId="38B89325" w14:textId="77777777" w:rsidTr="00E77388">
        <w:trPr>
          <w:gridAfter w:val="1"/>
          <w:wAfter w:w="3" w:type="pct"/>
          <w:trHeight w:val="283"/>
        </w:trPr>
        <w:tc>
          <w:tcPr>
            <w:tcW w:w="335" w:type="pct"/>
          </w:tcPr>
          <w:p w14:paraId="716DD913"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1.6</w:t>
            </w:r>
          </w:p>
        </w:tc>
        <w:tc>
          <w:tcPr>
            <w:tcW w:w="1108" w:type="pct"/>
          </w:tcPr>
          <w:p w14:paraId="1E2DA51E" w14:textId="77777777" w:rsidR="003F26A5" w:rsidRPr="00367300" w:rsidRDefault="003F26A5" w:rsidP="00367300">
            <w:pPr>
              <w:ind w:left="57" w:right="57"/>
              <w:jc w:val="both"/>
              <w:rPr>
                <w:rFonts w:ascii="Times New Roman" w:hAnsi="Times New Roman" w:cs="Times New Roman"/>
                <w:sz w:val="24"/>
                <w:szCs w:val="24"/>
              </w:rPr>
            </w:pPr>
            <w:r w:rsidRPr="00367300">
              <w:rPr>
                <w:rFonts w:ascii="Times New Roman" w:hAnsi="Times New Roman" w:cs="Times New Roman"/>
                <w:sz w:val="24"/>
                <w:szCs w:val="24"/>
              </w:rPr>
              <w:t>Проведение мониторинга качества и доступности предоставления государственных и муниципальных услуг в Новосибирской области (на базе областных исполнительных органов государственной власти Новосибирской области и органов местного самоуправления), в том числе по принципу «одного окна» на базе ГАУ НСО </w:t>
            </w:r>
            <w:r w:rsidRPr="00367300">
              <w:rPr>
                <w:rFonts w:ascii="Times New Roman" w:hAnsi="Times New Roman" w:cs="Times New Roman"/>
                <w:bCs/>
                <w:sz w:val="24"/>
                <w:szCs w:val="24"/>
              </w:rPr>
              <w:t>«МФЦ»</w:t>
            </w:r>
          </w:p>
        </w:tc>
        <w:tc>
          <w:tcPr>
            <w:tcW w:w="723" w:type="pct"/>
          </w:tcPr>
          <w:p w14:paraId="58242313" w14:textId="77777777" w:rsidR="003F26A5" w:rsidRPr="00891093" w:rsidRDefault="003F26A5" w:rsidP="00367300">
            <w:pPr>
              <w:ind w:left="57" w:right="57"/>
              <w:rPr>
                <w:rFonts w:ascii="Times New Roman" w:hAnsi="Times New Roman" w:cs="Times New Roman"/>
                <w:sz w:val="24"/>
                <w:szCs w:val="24"/>
              </w:rPr>
            </w:pPr>
            <w:r w:rsidRPr="00367300">
              <w:rPr>
                <w:rFonts w:ascii="Times New Roman" w:hAnsi="Times New Roman" w:cs="Times New Roman"/>
                <w:sz w:val="24"/>
                <w:szCs w:val="24"/>
              </w:rPr>
              <w:t>Получение объективной информации об уровне удовлетворенности субъектов предпринимательства качеством и доступностью предоставления на территории Новосибирской обла</w:t>
            </w:r>
            <w:r w:rsidRPr="00891093">
              <w:rPr>
                <w:rFonts w:ascii="Times New Roman" w:hAnsi="Times New Roman" w:cs="Times New Roman"/>
                <w:sz w:val="24"/>
                <w:szCs w:val="24"/>
              </w:rPr>
              <w:t>сти государственных услуг, в том числе условиями ведения предпринимательской деятельности Новосибирской области</w:t>
            </w:r>
          </w:p>
        </w:tc>
        <w:tc>
          <w:tcPr>
            <w:tcW w:w="337" w:type="pct"/>
          </w:tcPr>
          <w:p w14:paraId="7D626C10" w14:textId="77777777" w:rsidR="003F26A5" w:rsidRPr="00891093" w:rsidRDefault="003F26A5" w:rsidP="00367300">
            <w:pPr>
              <w:ind w:left="57" w:right="57"/>
              <w:contextualSpacing/>
              <w:rPr>
                <w:rFonts w:ascii="Times New Roman" w:hAnsi="Times New Roman" w:cs="Times New Roman"/>
                <w:sz w:val="24"/>
                <w:szCs w:val="24"/>
                <w:highlight w:val="yellow"/>
              </w:rPr>
            </w:pPr>
            <w:r w:rsidRPr="00891093">
              <w:rPr>
                <w:rFonts w:ascii="Times New Roman" w:hAnsi="Times New Roman" w:cs="Times New Roman"/>
                <w:sz w:val="24"/>
                <w:szCs w:val="24"/>
              </w:rPr>
              <w:t>Ежегодно</w:t>
            </w:r>
          </w:p>
        </w:tc>
        <w:tc>
          <w:tcPr>
            <w:tcW w:w="463" w:type="pct"/>
          </w:tcPr>
          <w:p w14:paraId="43D88BB0" w14:textId="77777777" w:rsidR="003F26A5" w:rsidRPr="00891093" w:rsidRDefault="003F26A5" w:rsidP="00367300">
            <w:pPr>
              <w:ind w:left="57" w:right="57"/>
              <w:rPr>
                <w:rFonts w:ascii="Times New Roman" w:hAnsi="Times New Roman" w:cs="Times New Roman"/>
                <w:sz w:val="24"/>
                <w:szCs w:val="24"/>
                <w:highlight w:val="yellow"/>
              </w:rPr>
            </w:pPr>
            <w:r w:rsidRPr="00891093">
              <w:rPr>
                <w:rFonts w:ascii="Times New Roman" w:hAnsi="Times New Roman" w:cs="Times New Roman"/>
                <w:sz w:val="24"/>
                <w:szCs w:val="24"/>
              </w:rPr>
              <w:t>Минэкономразвития НСО</w:t>
            </w:r>
          </w:p>
        </w:tc>
        <w:tc>
          <w:tcPr>
            <w:tcW w:w="2031" w:type="pct"/>
          </w:tcPr>
          <w:p w14:paraId="6573ABBD" w14:textId="77777777" w:rsidR="003F26A5" w:rsidRPr="00891093" w:rsidRDefault="003F26A5" w:rsidP="00891093">
            <w:pPr>
              <w:widowControl w:val="0"/>
              <w:ind w:left="57" w:right="57" w:firstLine="340"/>
              <w:jc w:val="both"/>
              <w:rPr>
                <w:rFonts w:ascii="Times New Roman" w:eastAsia="Times New Roman" w:hAnsi="Times New Roman" w:cs="Times New Roman"/>
                <w:sz w:val="24"/>
                <w:szCs w:val="24"/>
              </w:rPr>
            </w:pPr>
            <w:r w:rsidRPr="00891093">
              <w:rPr>
                <w:rFonts w:ascii="Times New Roman" w:eastAsia="Times New Roman" w:hAnsi="Times New Roman" w:cs="Times New Roman"/>
                <w:sz w:val="24"/>
                <w:szCs w:val="24"/>
              </w:rPr>
              <w:t xml:space="preserve">В IV квартале 2019 года по заказу </w:t>
            </w:r>
            <w:r w:rsidR="00C41CF1" w:rsidRPr="00891093">
              <w:rPr>
                <w:rFonts w:ascii="Times New Roman" w:eastAsia="Times New Roman" w:hAnsi="Times New Roman" w:cs="Times New Roman"/>
                <w:sz w:val="24"/>
                <w:szCs w:val="24"/>
              </w:rPr>
              <w:t>министерства экономического развития Новосибирской области</w:t>
            </w:r>
            <w:r w:rsidRPr="00891093">
              <w:rPr>
                <w:rFonts w:ascii="Times New Roman" w:eastAsia="Times New Roman" w:hAnsi="Times New Roman" w:cs="Times New Roman"/>
                <w:sz w:val="24"/>
                <w:szCs w:val="24"/>
              </w:rPr>
              <w:t xml:space="preserve"> организовано выполнение научно-исследовательской работы по теме: «Мониторинг качества и доступности предоставления государственных и муниципальных услуг в Новосибирской области (на базе исполнительных органов государственной власти и органов местного самоуправления), в том числе по принципу «одного окна» на базе МФЦ, в 2019 году». В результате выполненной НИР получена объективная и актуальная информация об уровне удовлетворенности населения качеством предоставления государственных и муниципальных услуг в Новосибирской области, о наиболее острых проблемах в указанной сфере для принятия необходимых управленческих решений, направленных на их устранение.</w:t>
            </w:r>
          </w:p>
          <w:p w14:paraId="21905278" w14:textId="77777777" w:rsidR="003F26A5" w:rsidRPr="00367300" w:rsidRDefault="003F26A5" w:rsidP="00891093">
            <w:pPr>
              <w:widowControl w:val="0"/>
              <w:ind w:left="57" w:right="57" w:firstLine="340"/>
              <w:jc w:val="both"/>
              <w:rPr>
                <w:rFonts w:ascii="Times New Roman" w:eastAsia="Times New Roman" w:hAnsi="Times New Roman" w:cs="Times New Roman"/>
                <w:sz w:val="24"/>
                <w:szCs w:val="24"/>
              </w:rPr>
            </w:pPr>
            <w:r w:rsidRPr="00891093">
              <w:rPr>
                <w:rFonts w:ascii="Times New Roman" w:eastAsia="Times New Roman" w:hAnsi="Times New Roman" w:cs="Times New Roman"/>
                <w:sz w:val="24"/>
                <w:szCs w:val="24"/>
              </w:rPr>
              <w:t xml:space="preserve">Отчет о выполнении НИР размещен на официальном портале Правительства НСО по адресу: </w:t>
            </w:r>
            <w:hyperlink r:id="rId96" w:history="1">
              <w:r w:rsidRPr="00367300">
                <w:rPr>
                  <w:rStyle w:val="a3"/>
                  <w:rFonts w:ascii="Times New Roman" w:eastAsia="Times New Roman" w:hAnsi="Times New Roman" w:cs="Times New Roman"/>
                  <w:sz w:val="24"/>
                  <w:szCs w:val="24"/>
                </w:rPr>
                <w:t>http://www.nso.ru/page/2441</w:t>
              </w:r>
            </w:hyperlink>
            <w:r w:rsidRPr="00367300">
              <w:rPr>
                <w:rFonts w:ascii="Times New Roman" w:eastAsia="Times New Roman" w:hAnsi="Times New Roman" w:cs="Times New Roman"/>
                <w:sz w:val="24"/>
                <w:szCs w:val="24"/>
              </w:rPr>
              <w:t>.</w:t>
            </w:r>
          </w:p>
        </w:tc>
      </w:tr>
      <w:tr w:rsidR="003F26A5" w:rsidRPr="00367300" w14:paraId="57BAEF83" w14:textId="77777777" w:rsidTr="00E77388">
        <w:trPr>
          <w:gridAfter w:val="1"/>
          <w:wAfter w:w="3" w:type="pct"/>
          <w:trHeight w:val="283"/>
        </w:trPr>
        <w:tc>
          <w:tcPr>
            <w:tcW w:w="335" w:type="pct"/>
            <w:shd w:val="clear" w:color="auto" w:fill="auto"/>
          </w:tcPr>
          <w:p w14:paraId="1BF1CC35"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1.7</w:t>
            </w:r>
          </w:p>
        </w:tc>
        <w:tc>
          <w:tcPr>
            <w:tcW w:w="1108" w:type="pct"/>
            <w:shd w:val="clear" w:color="auto" w:fill="auto"/>
          </w:tcPr>
          <w:p w14:paraId="2633D7F6"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Организация и проведение совещаний, семинаров, круглых столов и других мероприятий </w:t>
            </w:r>
          </w:p>
          <w:p w14:paraId="2DF0AF84" w14:textId="77777777" w:rsidR="003F26A5" w:rsidRPr="00367300" w:rsidRDefault="003F26A5" w:rsidP="00367300">
            <w:pPr>
              <w:ind w:left="57" w:right="57"/>
              <w:contextualSpacing/>
              <w:jc w:val="both"/>
              <w:rPr>
                <w:rFonts w:ascii="Times New Roman" w:hAnsi="Times New Roman" w:cs="Times New Roman"/>
                <w:sz w:val="24"/>
                <w:szCs w:val="24"/>
                <w:highlight w:val="yellow"/>
              </w:rPr>
            </w:pPr>
            <w:r w:rsidRPr="00367300">
              <w:rPr>
                <w:rFonts w:ascii="Times New Roman" w:hAnsi="Times New Roman" w:cs="Times New Roman"/>
                <w:sz w:val="24"/>
                <w:szCs w:val="24"/>
              </w:rPr>
              <w:t>по развитию предпринимательства на территории муниципальных образований</w:t>
            </w:r>
          </w:p>
        </w:tc>
        <w:tc>
          <w:tcPr>
            <w:tcW w:w="723" w:type="pct"/>
            <w:shd w:val="clear" w:color="auto" w:fill="auto"/>
          </w:tcPr>
          <w:p w14:paraId="058A28CF" w14:textId="77777777" w:rsidR="003F26A5" w:rsidRPr="00367300" w:rsidRDefault="003F26A5" w:rsidP="00367300">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Повышение уровня знаний предпринимателей </w:t>
            </w:r>
          </w:p>
          <w:p w14:paraId="204C361D" w14:textId="77777777" w:rsidR="003F26A5" w:rsidRPr="00891093" w:rsidRDefault="003F26A5" w:rsidP="00367300">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по ведению предпринимател</w:t>
            </w:r>
            <w:r w:rsidRPr="00891093">
              <w:rPr>
                <w:rFonts w:ascii="Times New Roman" w:hAnsi="Times New Roman" w:cs="Times New Roman"/>
                <w:sz w:val="24"/>
                <w:szCs w:val="24"/>
              </w:rPr>
              <w:t xml:space="preserve">ьской деятельности, обеспечение субъектов малого и среднего предпринимательства актуальной информацией </w:t>
            </w:r>
          </w:p>
          <w:p w14:paraId="26C4B0C2"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 xml:space="preserve">по вопросам развития и поддержки малого и среднего предпринимательства </w:t>
            </w:r>
          </w:p>
          <w:p w14:paraId="62BDBB1F"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в области;</w:t>
            </w:r>
          </w:p>
          <w:p w14:paraId="23C07A64"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обеспечение субъектов малого и среднего предпринимательства квалифицированными кадрами</w:t>
            </w:r>
          </w:p>
        </w:tc>
        <w:tc>
          <w:tcPr>
            <w:tcW w:w="337" w:type="pct"/>
            <w:shd w:val="clear" w:color="auto" w:fill="auto"/>
          </w:tcPr>
          <w:p w14:paraId="2A2417E9" w14:textId="77777777" w:rsidR="003F26A5" w:rsidRPr="00891093" w:rsidRDefault="003F26A5" w:rsidP="00891093">
            <w:pPr>
              <w:ind w:left="57" w:right="57"/>
              <w:contextualSpacing/>
              <w:rPr>
                <w:rFonts w:ascii="Times New Roman" w:hAnsi="Times New Roman" w:cs="Times New Roman"/>
                <w:sz w:val="24"/>
                <w:szCs w:val="24"/>
              </w:rPr>
            </w:pPr>
            <w:r w:rsidRPr="00891093">
              <w:rPr>
                <w:rFonts w:ascii="Times New Roman" w:hAnsi="Times New Roman" w:cs="Times New Roman"/>
                <w:sz w:val="24"/>
                <w:szCs w:val="24"/>
              </w:rPr>
              <w:t>Постоянно</w:t>
            </w:r>
          </w:p>
        </w:tc>
        <w:tc>
          <w:tcPr>
            <w:tcW w:w="463" w:type="pct"/>
            <w:shd w:val="clear" w:color="auto" w:fill="auto"/>
          </w:tcPr>
          <w:p w14:paraId="45B6075B"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ОМСУ НСО</w:t>
            </w:r>
          </w:p>
        </w:tc>
        <w:tc>
          <w:tcPr>
            <w:tcW w:w="2031" w:type="pct"/>
            <w:shd w:val="clear" w:color="auto" w:fill="auto"/>
          </w:tcPr>
          <w:p w14:paraId="7345135C" w14:textId="77777777" w:rsidR="00BA42AB" w:rsidRPr="00891093" w:rsidRDefault="003F26A5" w:rsidP="00891093">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В течение отчетного периода в муниципальных образованиях Новосибирской области были организованы и проведены мероприятия по развитию предпринимательства.</w:t>
            </w:r>
          </w:p>
          <w:p w14:paraId="3C04A071" w14:textId="3C2D1035" w:rsidR="003F26A5" w:rsidRPr="00891093" w:rsidRDefault="003F26A5" w:rsidP="00891093">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В том числе в городе Новосибирске:</w:t>
            </w:r>
          </w:p>
          <w:p w14:paraId="188BD7CF" w14:textId="77777777" w:rsidR="003F26A5" w:rsidRPr="00891093" w:rsidRDefault="003F26A5" w:rsidP="00891093">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1. Советы по поддержки СМиСП города Новосибирска (3 мероприятия);</w:t>
            </w:r>
          </w:p>
          <w:p w14:paraId="47E2E1FC" w14:textId="77777777" w:rsidR="003F26A5" w:rsidRPr="00891093" w:rsidRDefault="003F26A5" w:rsidP="00891093">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2. Совет при прокуратуре города Новосибирска по защите прав юридических лиц и ИП (1 мероприятие);</w:t>
            </w:r>
          </w:p>
          <w:p w14:paraId="66046CD1" w14:textId="77777777" w:rsidR="003F26A5" w:rsidRPr="00AE06D3" w:rsidRDefault="003F26A5" w:rsidP="00891093">
            <w:pPr>
              <w:ind w:left="57" w:right="57" w:firstLine="340"/>
              <w:jc w:val="both"/>
              <w:rPr>
                <w:rFonts w:ascii="Times New Roman" w:hAnsi="Times New Roman" w:cs="Times New Roman"/>
                <w:sz w:val="24"/>
                <w:szCs w:val="24"/>
              </w:rPr>
            </w:pPr>
            <w:r w:rsidRPr="00AE06D3">
              <w:rPr>
                <w:rFonts w:ascii="Times New Roman" w:hAnsi="Times New Roman" w:cs="Times New Roman"/>
                <w:sz w:val="24"/>
                <w:szCs w:val="24"/>
              </w:rPr>
              <w:t>3. Городские Дни предпринимательства 2019 (10 мероприятий);</w:t>
            </w:r>
          </w:p>
          <w:p w14:paraId="52CF79D2" w14:textId="77777777" w:rsidR="003F26A5" w:rsidRPr="00FC74FE" w:rsidRDefault="003F26A5" w:rsidP="00891093">
            <w:pPr>
              <w:ind w:left="57" w:right="57" w:firstLine="340"/>
              <w:jc w:val="both"/>
              <w:rPr>
                <w:rFonts w:ascii="Times New Roman" w:hAnsi="Times New Roman" w:cs="Times New Roman"/>
                <w:sz w:val="24"/>
                <w:szCs w:val="24"/>
              </w:rPr>
            </w:pPr>
            <w:r w:rsidRPr="00FC74FE">
              <w:rPr>
                <w:rFonts w:ascii="Times New Roman" w:hAnsi="Times New Roman" w:cs="Times New Roman"/>
                <w:sz w:val="24"/>
                <w:szCs w:val="24"/>
              </w:rPr>
              <w:t>4. Ежегодный предпринимательский Форум «Инвестируй в Новосибирск» (8 мероприятий);</w:t>
            </w:r>
          </w:p>
          <w:p w14:paraId="7C815CB4" w14:textId="77777777" w:rsidR="003F26A5" w:rsidRPr="00367300" w:rsidRDefault="003F26A5" w:rsidP="00891093">
            <w:pPr>
              <w:ind w:left="57" w:right="57" w:firstLine="340"/>
              <w:jc w:val="both"/>
              <w:rPr>
                <w:rFonts w:ascii="Times New Roman" w:hAnsi="Times New Roman" w:cs="Times New Roman"/>
                <w:sz w:val="24"/>
                <w:szCs w:val="24"/>
              </w:rPr>
            </w:pPr>
            <w:r w:rsidRPr="009B4FC0">
              <w:rPr>
                <w:rFonts w:ascii="Times New Roman" w:hAnsi="Times New Roman" w:cs="Times New Roman"/>
                <w:sz w:val="24"/>
                <w:szCs w:val="24"/>
              </w:rPr>
              <w:t>5. Маст</w:t>
            </w:r>
            <w:r w:rsidRPr="00367300">
              <w:rPr>
                <w:rFonts w:ascii="Times New Roman" w:hAnsi="Times New Roman" w:cs="Times New Roman"/>
                <w:sz w:val="24"/>
                <w:szCs w:val="24"/>
              </w:rPr>
              <w:t>ер-классы для СМиСП, направленные на развитие предпринимательских компетенций (10 мероприятий);</w:t>
            </w:r>
          </w:p>
          <w:p w14:paraId="09CE696B" w14:textId="77777777" w:rsidR="003F26A5" w:rsidRPr="00367300" w:rsidRDefault="003F26A5" w:rsidP="00891093">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6. Образовательные проекты для бизнеса (3 мероприятия).</w:t>
            </w:r>
          </w:p>
          <w:p w14:paraId="4EAEE372" w14:textId="77777777" w:rsidR="003F26A5" w:rsidRPr="00367300" w:rsidRDefault="003F26A5" w:rsidP="00891093">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Венгеровском районе с субъектами малого и среднего предпринимательства проведено 6 совещаний, семинаров.</w:t>
            </w:r>
          </w:p>
          <w:p w14:paraId="26586162" w14:textId="77777777" w:rsidR="003F26A5" w:rsidRPr="00367300" w:rsidRDefault="003F26A5" w:rsidP="00891093">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г. Оби проведен 1 семинар; семинар состоялся 4 июня, на котором присутствовал 21 субъект малого и среднего предпринимательства. По окончанию семинара участникам вручены сертификаты.</w:t>
            </w:r>
          </w:p>
          <w:p w14:paraId="279CC5B1" w14:textId="77777777" w:rsidR="003F26A5" w:rsidRPr="00367300" w:rsidRDefault="003F26A5" w:rsidP="00AE06D3">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2 совещания организованы министерством промышленности, торговли и развития предпринимательства Новосибирской области в г.Оби по вопросам, связанным с поддержкой субъектов малого и среднего предпринимательства.</w:t>
            </w:r>
          </w:p>
          <w:p w14:paraId="4458F004" w14:textId="77777777" w:rsidR="003F26A5" w:rsidRPr="00367300" w:rsidRDefault="003F26A5" w:rsidP="00FC74FE">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17 сентября 2019 года в Здвинском районе проведен семинар - совещание с предпринимательским сообществом по вопросам, возникающим в процессе </w:t>
            </w:r>
            <w:r w:rsidRPr="00367300">
              <w:rPr>
                <w:rFonts w:ascii="Times New Roman" w:hAnsi="Times New Roman" w:cs="Times New Roman"/>
                <w:sz w:val="24"/>
                <w:szCs w:val="24"/>
              </w:rPr>
              <w:lastRenderedPageBreak/>
              <w:t xml:space="preserve">предпринимательской деятельности. В ходе мероприятия присутствующие представители малого и среднего бизнеса получили ответы на интересующие их вопросы. </w:t>
            </w:r>
          </w:p>
          <w:p w14:paraId="22FCA5B1" w14:textId="77777777" w:rsidR="003F26A5" w:rsidRPr="00367300" w:rsidRDefault="003F26A5" w:rsidP="009B4FC0">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Карасукском районе при поддержке министерства промышленности, торговли и развития предпринимательства Новосибирской области были организованы и бесплатно проведены: инфомационно-обучающий семинар, тренинг и мастер класс для представителей бизнеса.</w:t>
            </w:r>
          </w:p>
          <w:p w14:paraId="516D41C7"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Проведены 2 встречи главы района с представителями бизнеса,</w:t>
            </w:r>
            <w:r w:rsidR="00C41CF1" w:rsidRPr="00367300">
              <w:rPr>
                <w:rFonts w:ascii="Times New Roman" w:hAnsi="Times New Roman" w:cs="Times New Roman"/>
                <w:sz w:val="24"/>
                <w:szCs w:val="24"/>
              </w:rPr>
              <w:t xml:space="preserve"> </w:t>
            </w:r>
            <w:r w:rsidRPr="00367300">
              <w:rPr>
                <w:rFonts w:ascii="Times New Roman" w:hAnsi="Times New Roman" w:cs="Times New Roman"/>
                <w:sz w:val="24"/>
                <w:szCs w:val="24"/>
              </w:rPr>
              <w:t>3 заседания Совета по содействию малому и среднему предпринимательству.</w:t>
            </w:r>
          </w:p>
          <w:p w14:paraId="67815E42"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Татарском районе за 2019 год было проведено 2 семинара, 2 совещания и 3 круглых стола с субъектами малого и среднего предпринимательства.</w:t>
            </w:r>
          </w:p>
          <w:p w14:paraId="690A0A8D"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Маслянинском районе в 2019 году проведено 7 мероприятий. В рамках работы информационно консультационного пункта оказано 79 консультаций СМиСП и гражданам по вопросам организации бизнеса.</w:t>
            </w:r>
          </w:p>
          <w:p w14:paraId="5DEC9271" w14:textId="27D39A0C" w:rsidR="003F26A5" w:rsidRPr="00367300" w:rsidRDefault="003F26A5" w:rsidP="00E77388">
            <w:pPr>
              <w:autoSpaceDE w:val="0"/>
              <w:autoSpaceDN w:val="0"/>
              <w:adjustRightInd w:val="0"/>
              <w:ind w:right="57"/>
              <w:jc w:val="both"/>
              <w:rPr>
                <w:rFonts w:ascii="Times New Roman" w:hAnsi="Times New Roman" w:cs="Times New Roman"/>
                <w:sz w:val="24"/>
                <w:szCs w:val="24"/>
              </w:rPr>
            </w:pPr>
            <w:r w:rsidRPr="00367300">
              <w:rPr>
                <w:rFonts w:ascii="Times New Roman" w:hAnsi="Times New Roman" w:cs="Times New Roman"/>
                <w:sz w:val="24"/>
                <w:szCs w:val="24"/>
              </w:rPr>
              <w:t>Для повышения уровня знаний предпринимателей ведется раздел «Малое и среднее предпринимательство», где размещается актуальная информация.</w:t>
            </w:r>
          </w:p>
        </w:tc>
      </w:tr>
      <w:tr w:rsidR="003F26A5" w:rsidRPr="00367300" w14:paraId="5BF21901" w14:textId="77777777" w:rsidTr="00E77388">
        <w:trPr>
          <w:gridAfter w:val="1"/>
          <w:wAfter w:w="3" w:type="pct"/>
          <w:trHeight w:val="283"/>
        </w:trPr>
        <w:tc>
          <w:tcPr>
            <w:tcW w:w="335" w:type="pct"/>
            <w:shd w:val="clear" w:color="auto" w:fill="auto"/>
          </w:tcPr>
          <w:p w14:paraId="39835519"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1.8</w:t>
            </w:r>
          </w:p>
        </w:tc>
        <w:tc>
          <w:tcPr>
            <w:tcW w:w="1108" w:type="pct"/>
            <w:shd w:val="clear" w:color="auto" w:fill="auto"/>
          </w:tcPr>
          <w:p w14:paraId="7E64781F"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Актуализация раздела </w:t>
            </w:r>
          </w:p>
          <w:p w14:paraId="6F612782"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по развитию малого и среднего предпринимательства </w:t>
            </w:r>
          </w:p>
          <w:p w14:paraId="7D3595F1"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на официальных сайтах муниципальных образований.</w:t>
            </w:r>
          </w:p>
          <w:p w14:paraId="0BC6382A"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Размещение информации о мерах </w:t>
            </w:r>
          </w:p>
          <w:p w14:paraId="4E654F3D" w14:textId="77777777" w:rsidR="003F26A5" w:rsidRPr="00891093" w:rsidRDefault="003F26A5" w:rsidP="00891093">
            <w:pPr>
              <w:ind w:left="57" w:right="57"/>
              <w:contextualSpacing/>
              <w:jc w:val="both"/>
              <w:rPr>
                <w:rFonts w:ascii="Times New Roman" w:hAnsi="Times New Roman" w:cs="Times New Roman"/>
                <w:sz w:val="24"/>
                <w:szCs w:val="24"/>
              </w:rPr>
            </w:pPr>
            <w:r w:rsidRPr="00891093">
              <w:rPr>
                <w:rFonts w:ascii="Times New Roman" w:hAnsi="Times New Roman" w:cs="Times New Roman"/>
                <w:sz w:val="24"/>
                <w:szCs w:val="24"/>
              </w:rPr>
              <w:t xml:space="preserve">и инфраструктуре поддержки субъектов малого и среднего предпринимательства </w:t>
            </w:r>
            <w:r w:rsidRPr="00891093">
              <w:rPr>
                <w:rFonts w:ascii="Times New Roman" w:hAnsi="Times New Roman" w:cs="Times New Roman"/>
                <w:sz w:val="24"/>
                <w:szCs w:val="24"/>
              </w:rPr>
              <w:lastRenderedPageBreak/>
              <w:t xml:space="preserve">(включая отдельный подраздел </w:t>
            </w:r>
          </w:p>
          <w:p w14:paraId="1F9DC8E7" w14:textId="77777777" w:rsidR="003F26A5" w:rsidRPr="00891093" w:rsidRDefault="003F26A5" w:rsidP="00891093">
            <w:pPr>
              <w:ind w:left="57" w:right="57"/>
              <w:contextualSpacing/>
              <w:jc w:val="both"/>
              <w:rPr>
                <w:rFonts w:ascii="Times New Roman" w:hAnsi="Times New Roman" w:cs="Times New Roman"/>
                <w:sz w:val="24"/>
                <w:szCs w:val="24"/>
                <w:highlight w:val="yellow"/>
              </w:rPr>
            </w:pPr>
            <w:r w:rsidRPr="00891093">
              <w:rPr>
                <w:rFonts w:ascii="Times New Roman" w:hAnsi="Times New Roman" w:cs="Times New Roman"/>
                <w:sz w:val="24"/>
                <w:szCs w:val="24"/>
              </w:rPr>
              <w:t>для производителей сельскохозяйственной продукции)</w:t>
            </w:r>
          </w:p>
        </w:tc>
        <w:tc>
          <w:tcPr>
            <w:tcW w:w="723" w:type="pct"/>
            <w:shd w:val="clear" w:color="auto" w:fill="auto"/>
          </w:tcPr>
          <w:p w14:paraId="0331156C"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lastRenderedPageBreak/>
              <w:t xml:space="preserve">Повышение информированности предпринимательских сообществ муниципальных образований региона </w:t>
            </w:r>
          </w:p>
          <w:p w14:paraId="0D0F7900"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 xml:space="preserve">о принятых мерах </w:t>
            </w:r>
          </w:p>
          <w:p w14:paraId="25A1A149" w14:textId="77777777" w:rsidR="003F26A5" w:rsidRPr="00891093" w:rsidRDefault="003F26A5" w:rsidP="00891093">
            <w:pPr>
              <w:ind w:left="57" w:right="57"/>
              <w:rPr>
                <w:rFonts w:ascii="Times New Roman" w:hAnsi="Times New Roman" w:cs="Times New Roman"/>
                <w:sz w:val="24"/>
                <w:szCs w:val="24"/>
                <w:highlight w:val="yellow"/>
              </w:rPr>
            </w:pPr>
            <w:r w:rsidRPr="00891093">
              <w:rPr>
                <w:rFonts w:ascii="Times New Roman" w:hAnsi="Times New Roman" w:cs="Times New Roman"/>
                <w:sz w:val="24"/>
                <w:szCs w:val="24"/>
              </w:rPr>
              <w:t xml:space="preserve">по улучшению общих условий </w:t>
            </w:r>
            <w:r w:rsidRPr="00891093">
              <w:rPr>
                <w:rFonts w:ascii="Times New Roman" w:hAnsi="Times New Roman" w:cs="Times New Roman"/>
                <w:sz w:val="24"/>
                <w:szCs w:val="24"/>
              </w:rPr>
              <w:lastRenderedPageBreak/>
              <w:t>ведения предпринимательской деятельности</w:t>
            </w:r>
          </w:p>
        </w:tc>
        <w:tc>
          <w:tcPr>
            <w:tcW w:w="337" w:type="pct"/>
            <w:shd w:val="clear" w:color="auto" w:fill="auto"/>
          </w:tcPr>
          <w:p w14:paraId="44B54567" w14:textId="77777777" w:rsidR="003F26A5" w:rsidRPr="00891093" w:rsidRDefault="003F26A5" w:rsidP="00891093">
            <w:pPr>
              <w:ind w:left="57" w:right="57"/>
              <w:contextualSpacing/>
              <w:rPr>
                <w:rFonts w:ascii="Times New Roman" w:hAnsi="Times New Roman" w:cs="Times New Roman"/>
                <w:sz w:val="24"/>
                <w:szCs w:val="24"/>
                <w:highlight w:val="yellow"/>
              </w:rPr>
            </w:pPr>
            <w:r w:rsidRPr="00891093">
              <w:rPr>
                <w:rFonts w:ascii="Times New Roman" w:hAnsi="Times New Roman" w:cs="Times New Roman"/>
                <w:sz w:val="24"/>
                <w:szCs w:val="24"/>
              </w:rPr>
              <w:lastRenderedPageBreak/>
              <w:t>Постоянно</w:t>
            </w:r>
          </w:p>
        </w:tc>
        <w:tc>
          <w:tcPr>
            <w:tcW w:w="463" w:type="pct"/>
            <w:shd w:val="clear" w:color="auto" w:fill="auto"/>
          </w:tcPr>
          <w:p w14:paraId="79344D7B" w14:textId="77777777" w:rsidR="003F26A5" w:rsidRPr="00891093" w:rsidRDefault="003F26A5" w:rsidP="00891093">
            <w:pPr>
              <w:ind w:left="57" w:right="57"/>
              <w:rPr>
                <w:rFonts w:ascii="Times New Roman" w:hAnsi="Times New Roman" w:cs="Times New Roman"/>
                <w:sz w:val="24"/>
                <w:szCs w:val="24"/>
                <w:highlight w:val="yellow"/>
              </w:rPr>
            </w:pPr>
            <w:r w:rsidRPr="00891093">
              <w:rPr>
                <w:rFonts w:ascii="Times New Roman" w:hAnsi="Times New Roman" w:cs="Times New Roman"/>
                <w:sz w:val="24"/>
                <w:szCs w:val="24"/>
              </w:rPr>
              <w:t>ОМСУ НСО</w:t>
            </w:r>
          </w:p>
        </w:tc>
        <w:tc>
          <w:tcPr>
            <w:tcW w:w="2031" w:type="pct"/>
            <w:shd w:val="clear" w:color="auto" w:fill="auto"/>
          </w:tcPr>
          <w:p w14:paraId="668D4DBC" w14:textId="77777777" w:rsidR="003F26A5" w:rsidRPr="00891093" w:rsidRDefault="003F26A5" w:rsidP="00891093">
            <w:pPr>
              <w:ind w:left="57" w:right="57" w:firstLine="324"/>
              <w:contextualSpacing/>
              <w:jc w:val="both"/>
              <w:rPr>
                <w:rFonts w:ascii="Times New Roman" w:hAnsi="Times New Roman" w:cs="Times New Roman"/>
                <w:sz w:val="24"/>
                <w:szCs w:val="24"/>
              </w:rPr>
            </w:pPr>
            <w:r w:rsidRPr="00891093">
              <w:rPr>
                <w:rFonts w:ascii="Times New Roman" w:hAnsi="Times New Roman" w:cs="Times New Roman"/>
                <w:sz w:val="24"/>
                <w:szCs w:val="24"/>
              </w:rPr>
              <w:t xml:space="preserve">На официальных сайтах администраций муниципальных районов и городских округов Новосибирской области созданы разделы по развитию малого и среднего предпринимательства. В отчетном периоде проведена работа по актуализации разделов по развитию малого и среднего предпринимательства во всех муниципальных районах и городских округах Новосибирской области. В разделах в обязательном порядке представлена информации о мерах и инфраструктуре поддержки субъектов малого и среднего предпринимательства. </w:t>
            </w:r>
          </w:p>
          <w:p w14:paraId="55EC0E6C" w14:textId="77777777" w:rsidR="003F26A5" w:rsidRPr="00891093" w:rsidRDefault="003F26A5" w:rsidP="00891093">
            <w:pPr>
              <w:ind w:left="57" w:right="57" w:firstLine="324"/>
              <w:jc w:val="both"/>
              <w:rPr>
                <w:rFonts w:ascii="Times New Roman" w:hAnsi="Times New Roman" w:cs="Times New Roman"/>
                <w:sz w:val="24"/>
                <w:szCs w:val="24"/>
              </w:rPr>
            </w:pPr>
          </w:p>
        </w:tc>
      </w:tr>
      <w:tr w:rsidR="003F26A5" w:rsidRPr="00367300" w14:paraId="4DE075C4" w14:textId="77777777" w:rsidTr="003F26A5">
        <w:trPr>
          <w:gridAfter w:val="1"/>
          <w:wAfter w:w="3" w:type="pct"/>
        </w:trPr>
        <w:tc>
          <w:tcPr>
            <w:tcW w:w="335" w:type="pct"/>
            <w:shd w:val="clear" w:color="auto" w:fill="auto"/>
          </w:tcPr>
          <w:p w14:paraId="71B6180C" w14:textId="77777777" w:rsidR="003F26A5" w:rsidRPr="00367300" w:rsidRDefault="003F26A5" w:rsidP="00367300">
            <w:pPr>
              <w:contextualSpacing/>
              <w:rPr>
                <w:rFonts w:ascii="Times New Roman" w:hAnsi="Times New Roman" w:cs="Times New Roman"/>
                <w:sz w:val="24"/>
                <w:szCs w:val="24"/>
              </w:rPr>
            </w:pPr>
            <w:r w:rsidRPr="00367300">
              <w:rPr>
                <w:rFonts w:ascii="Times New Roman" w:hAnsi="Times New Roman" w:cs="Times New Roman"/>
                <w:sz w:val="24"/>
                <w:szCs w:val="24"/>
              </w:rPr>
              <w:lastRenderedPageBreak/>
              <w:t>1.9</w:t>
            </w:r>
          </w:p>
        </w:tc>
        <w:tc>
          <w:tcPr>
            <w:tcW w:w="1108" w:type="pct"/>
            <w:shd w:val="clear" w:color="auto" w:fill="auto"/>
          </w:tcPr>
          <w:p w14:paraId="71C578A5"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Правовое просвещение субъектов предпринимательской деятельности по вопросам защиты их прав </w:t>
            </w:r>
          </w:p>
          <w:p w14:paraId="3FB24E8C"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и законных интересов органами государственной власти, в том числе путем участия в научно-практических конференциях, семинарах и иных публичных мероприятиях</w:t>
            </w:r>
          </w:p>
        </w:tc>
        <w:tc>
          <w:tcPr>
            <w:tcW w:w="723" w:type="pct"/>
            <w:shd w:val="clear" w:color="auto" w:fill="auto"/>
          </w:tcPr>
          <w:p w14:paraId="367C2D66" w14:textId="77777777" w:rsidR="003F26A5" w:rsidRPr="00367300" w:rsidRDefault="003F26A5" w:rsidP="00367300">
            <w:pPr>
              <w:ind w:left="57" w:right="57"/>
              <w:rPr>
                <w:rFonts w:ascii="Times New Roman" w:hAnsi="Times New Roman" w:cs="Times New Roman"/>
                <w:sz w:val="24"/>
                <w:szCs w:val="24"/>
              </w:rPr>
            </w:pPr>
            <w:r w:rsidRPr="00367300">
              <w:rPr>
                <w:rFonts w:ascii="Times New Roman" w:hAnsi="Times New Roman" w:cs="Times New Roman"/>
                <w:sz w:val="24"/>
                <w:szCs w:val="24"/>
              </w:rPr>
              <w:t>Повышение уровня юридической грамотности субъектов предпринимательской деятельности</w:t>
            </w:r>
            <w:r w:rsidRPr="00367300" w:rsidDel="00454ECA">
              <w:rPr>
                <w:rFonts w:ascii="Times New Roman" w:hAnsi="Times New Roman" w:cs="Times New Roman"/>
                <w:sz w:val="24"/>
                <w:szCs w:val="24"/>
              </w:rPr>
              <w:t xml:space="preserve"> </w:t>
            </w:r>
          </w:p>
        </w:tc>
        <w:tc>
          <w:tcPr>
            <w:tcW w:w="337" w:type="pct"/>
            <w:shd w:val="clear" w:color="auto" w:fill="auto"/>
          </w:tcPr>
          <w:p w14:paraId="54E6620B" w14:textId="77777777" w:rsidR="003F26A5" w:rsidRPr="00891093" w:rsidRDefault="003F26A5" w:rsidP="00367300">
            <w:pPr>
              <w:ind w:left="57" w:right="57"/>
              <w:contextualSpacing/>
              <w:rPr>
                <w:rFonts w:ascii="Times New Roman" w:hAnsi="Times New Roman" w:cs="Times New Roman"/>
                <w:sz w:val="24"/>
                <w:szCs w:val="24"/>
              </w:rPr>
            </w:pPr>
            <w:r w:rsidRPr="00891093">
              <w:rPr>
                <w:rFonts w:ascii="Times New Roman" w:hAnsi="Times New Roman" w:cs="Times New Roman"/>
                <w:sz w:val="24"/>
                <w:szCs w:val="24"/>
              </w:rPr>
              <w:t>Постоянно</w:t>
            </w:r>
          </w:p>
        </w:tc>
        <w:tc>
          <w:tcPr>
            <w:tcW w:w="463" w:type="pct"/>
            <w:shd w:val="clear" w:color="auto" w:fill="auto"/>
          </w:tcPr>
          <w:p w14:paraId="254C1E7C"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 xml:space="preserve">Уполномоченный </w:t>
            </w:r>
          </w:p>
          <w:p w14:paraId="743A3065"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 xml:space="preserve">по защите прав предпринимателей </w:t>
            </w:r>
          </w:p>
          <w:p w14:paraId="775F791E" w14:textId="77777777" w:rsidR="003F26A5" w:rsidRPr="00AE06D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в Новосибирской области</w:t>
            </w:r>
            <w:r w:rsidRPr="00891093" w:rsidDel="00454ECA">
              <w:rPr>
                <w:rFonts w:ascii="Times New Roman" w:hAnsi="Times New Roman" w:cs="Times New Roman"/>
                <w:sz w:val="24"/>
                <w:szCs w:val="24"/>
              </w:rPr>
              <w:t xml:space="preserve"> </w:t>
            </w:r>
          </w:p>
        </w:tc>
        <w:tc>
          <w:tcPr>
            <w:tcW w:w="2031" w:type="pct"/>
            <w:shd w:val="clear" w:color="auto" w:fill="auto"/>
          </w:tcPr>
          <w:p w14:paraId="24B6596E" w14:textId="77777777" w:rsidR="003F26A5" w:rsidRPr="00367300" w:rsidRDefault="003F26A5" w:rsidP="00891093">
            <w:pPr>
              <w:pStyle w:val="afe"/>
              <w:ind w:left="57" w:right="57" w:firstLine="340"/>
              <w:jc w:val="both"/>
              <w:rPr>
                <w:rFonts w:ascii="Times New Roman" w:hAnsi="Times New Roman" w:cs="Times New Roman"/>
                <w:sz w:val="24"/>
                <w:szCs w:val="24"/>
              </w:rPr>
            </w:pPr>
            <w:r w:rsidRPr="00FC74FE">
              <w:rPr>
                <w:rFonts w:ascii="Times New Roman" w:hAnsi="Times New Roman" w:cs="Times New Roman"/>
                <w:sz w:val="24"/>
                <w:szCs w:val="24"/>
              </w:rPr>
              <w:t>В целях предотвращения нарушений прав предпринимателей аппарат Уполномоченного по защите прав предприни</w:t>
            </w:r>
            <w:r w:rsidRPr="009B4FC0">
              <w:rPr>
                <w:rFonts w:ascii="Times New Roman" w:hAnsi="Times New Roman" w:cs="Times New Roman"/>
                <w:sz w:val="24"/>
                <w:szCs w:val="24"/>
              </w:rPr>
              <w:t xml:space="preserve">мателей в Новосибирской области </w:t>
            </w:r>
            <w:r w:rsidR="00931213" w:rsidRPr="00367300">
              <w:rPr>
                <w:rFonts w:ascii="Times New Roman" w:hAnsi="Times New Roman" w:cs="Times New Roman"/>
                <w:sz w:val="24"/>
                <w:szCs w:val="24"/>
              </w:rPr>
              <w:t>ежегодно совместно</w:t>
            </w:r>
            <w:r w:rsidRPr="00367300">
              <w:rPr>
                <w:rFonts w:ascii="Times New Roman" w:hAnsi="Times New Roman" w:cs="Times New Roman"/>
                <w:sz w:val="24"/>
                <w:szCs w:val="24"/>
              </w:rPr>
              <w:t xml:space="preserve"> с органами власти региона, органами местного самоуправления, территориальными ведомствами и общественными организациями проводит выездные встречи, «круглые столы», совещания и семинары. В 2019 году региональным бизнес-омбудсменом было принято участие в 86 мероприятия</w:t>
            </w:r>
            <w:r w:rsidR="00C71E99" w:rsidRPr="00367300">
              <w:rPr>
                <w:rFonts w:ascii="Times New Roman" w:hAnsi="Times New Roman" w:cs="Times New Roman"/>
                <w:sz w:val="24"/>
                <w:szCs w:val="24"/>
              </w:rPr>
              <w:t>х</w:t>
            </w:r>
            <w:r w:rsidRPr="00367300">
              <w:rPr>
                <w:rFonts w:ascii="Times New Roman" w:hAnsi="Times New Roman" w:cs="Times New Roman"/>
                <w:sz w:val="24"/>
                <w:szCs w:val="24"/>
              </w:rPr>
              <w:t xml:space="preserve"> для представителей малого и среднего бизнеса.</w:t>
            </w:r>
          </w:p>
          <w:p w14:paraId="244A8616" w14:textId="7BC97B33" w:rsidR="00C71E99" w:rsidRPr="00367300" w:rsidRDefault="003F26A5" w:rsidP="00FC74FE">
            <w:pPr>
              <w:pStyle w:val="afe"/>
              <w:ind w:left="57" w:right="57" w:firstLine="340"/>
              <w:jc w:val="both"/>
              <w:rPr>
                <w:rFonts w:ascii="Times New Roman" w:hAnsi="Times New Roman" w:cs="Times New Roman"/>
                <w:sz w:val="24"/>
                <w:szCs w:val="24"/>
              </w:rPr>
            </w:pPr>
            <w:r w:rsidRPr="00367300">
              <w:rPr>
                <w:rFonts w:ascii="Times New Roman" w:eastAsiaTheme="minorHAnsi" w:hAnsi="Times New Roman" w:cs="Times New Roman"/>
                <w:sz w:val="24"/>
                <w:szCs w:val="24"/>
              </w:rPr>
              <w:t>В течение года было проведено 14 выездных встреч с предпринимателями в муниципальных районах и городских округах области.</w:t>
            </w:r>
          </w:p>
          <w:p w14:paraId="5A06B1D1" w14:textId="77777777" w:rsidR="003F26A5" w:rsidRPr="00367300" w:rsidRDefault="003F26A5" w:rsidP="009B4FC0">
            <w:pPr>
              <w:ind w:left="57" w:right="57" w:firstLine="340"/>
              <w:jc w:val="both"/>
              <w:rPr>
                <w:rFonts w:ascii="Times New Roman" w:hAnsi="Times New Roman" w:cs="Times New Roman"/>
                <w:sz w:val="24"/>
                <w:szCs w:val="24"/>
              </w:rPr>
            </w:pPr>
          </w:p>
        </w:tc>
      </w:tr>
      <w:tr w:rsidR="003F26A5" w:rsidRPr="00367300" w14:paraId="591739E3" w14:textId="77777777" w:rsidTr="003F26A5">
        <w:trPr>
          <w:gridAfter w:val="1"/>
          <w:wAfter w:w="3" w:type="pct"/>
        </w:trPr>
        <w:tc>
          <w:tcPr>
            <w:tcW w:w="335" w:type="pct"/>
            <w:shd w:val="clear" w:color="auto" w:fill="auto"/>
          </w:tcPr>
          <w:p w14:paraId="3712CE0D"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1.10</w:t>
            </w:r>
          </w:p>
        </w:tc>
        <w:tc>
          <w:tcPr>
            <w:tcW w:w="1108" w:type="pct"/>
            <w:shd w:val="clear" w:color="auto" w:fill="auto"/>
          </w:tcPr>
          <w:p w14:paraId="67778723"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Формирование и ведение реестра площадок с высокой степенью готовности для приема инвесторов</w:t>
            </w:r>
          </w:p>
        </w:tc>
        <w:tc>
          <w:tcPr>
            <w:tcW w:w="723" w:type="pct"/>
            <w:shd w:val="clear" w:color="auto" w:fill="auto"/>
          </w:tcPr>
          <w:p w14:paraId="6F882F51" w14:textId="77777777" w:rsidR="003F26A5" w:rsidRPr="00367300" w:rsidRDefault="003F26A5" w:rsidP="00367300">
            <w:pPr>
              <w:ind w:left="57" w:right="57"/>
              <w:rPr>
                <w:rFonts w:ascii="Times New Roman" w:hAnsi="Times New Roman" w:cs="Times New Roman"/>
                <w:sz w:val="24"/>
                <w:szCs w:val="24"/>
              </w:rPr>
            </w:pPr>
            <w:r w:rsidRPr="00367300">
              <w:rPr>
                <w:rFonts w:ascii="Times New Roman" w:hAnsi="Times New Roman" w:cs="Times New Roman"/>
                <w:sz w:val="24"/>
                <w:szCs w:val="24"/>
              </w:rPr>
              <w:t xml:space="preserve">Обеспечение открытых информационных данных </w:t>
            </w:r>
          </w:p>
          <w:p w14:paraId="568C1BF4" w14:textId="77777777" w:rsidR="003F26A5" w:rsidRPr="00367300" w:rsidRDefault="003F26A5" w:rsidP="00367300">
            <w:pPr>
              <w:ind w:left="57" w:right="57"/>
              <w:rPr>
                <w:rFonts w:ascii="Times New Roman" w:hAnsi="Times New Roman" w:cs="Times New Roman"/>
                <w:sz w:val="24"/>
                <w:szCs w:val="24"/>
              </w:rPr>
            </w:pPr>
            <w:r w:rsidRPr="00367300">
              <w:rPr>
                <w:rFonts w:ascii="Times New Roman" w:hAnsi="Times New Roman" w:cs="Times New Roman"/>
                <w:sz w:val="24"/>
                <w:szCs w:val="24"/>
              </w:rPr>
              <w:t>для инвесторов</w:t>
            </w:r>
          </w:p>
        </w:tc>
        <w:tc>
          <w:tcPr>
            <w:tcW w:w="337" w:type="pct"/>
            <w:shd w:val="clear" w:color="auto" w:fill="auto"/>
          </w:tcPr>
          <w:p w14:paraId="58193E46" w14:textId="77777777" w:rsidR="003F26A5" w:rsidRPr="00367300" w:rsidRDefault="003F26A5" w:rsidP="00367300">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Постоянно</w:t>
            </w:r>
          </w:p>
        </w:tc>
        <w:tc>
          <w:tcPr>
            <w:tcW w:w="463" w:type="pct"/>
            <w:shd w:val="clear" w:color="auto" w:fill="auto"/>
          </w:tcPr>
          <w:p w14:paraId="5B76ED14"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 xml:space="preserve">АО «Агентство инвестиционного развития Новосибирской области» </w:t>
            </w:r>
          </w:p>
          <w:p w14:paraId="7C71F672"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(по согласованию)</w:t>
            </w:r>
          </w:p>
        </w:tc>
        <w:tc>
          <w:tcPr>
            <w:tcW w:w="2031" w:type="pct"/>
            <w:shd w:val="clear" w:color="auto" w:fill="auto"/>
          </w:tcPr>
          <w:p w14:paraId="3B087FFB" w14:textId="77777777" w:rsidR="003F26A5" w:rsidRPr="00AE06D3" w:rsidRDefault="003F26A5" w:rsidP="00891093">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АО «АИР» ведет реестр инвестиционных площадок Новосибирской области. По состоянию на отчетную дату реестр содержит сведения о 505 объектах, находящихся в государственной, муниципальной и частной собственности; 419 площадок по типу «гринфилд» и 86 площадок по типу «браунфилд». Для каждо</w:t>
            </w:r>
            <w:r w:rsidRPr="00AE06D3">
              <w:rPr>
                <w:rFonts w:ascii="Times New Roman" w:hAnsi="Times New Roman" w:cs="Times New Roman"/>
                <w:sz w:val="24"/>
                <w:szCs w:val="24"/>
              </w:rPr>
              <w:t>й площадки из реестра сформированы инвестиционные паспорта.</w:t>
            </w:r>
          </w:p>
          <w:p w14:paraId="502290BB" w14:textId="77777777" w:rsidR="003F26A5" w:rsidRPr="009B4FC0" w:rsidRDefault="003F26A5" w:rsidP="00891093">
            <w:pPr>
              <w:ind w:left="57" w:right="57" w:firstLine="340"/>
              <w:jc w:val="both"/>
              <w:rPr>
                <w:rFonts w:ascii="Times New Roman" w:hAnsi="Times New Roman" w:cs="Times New Roman"/>
                <w:sz w:val="24"/>
                <w:szCs w:val="24"/>
              </w:rPr>
            </w:pPr>
            <w:r w:rsidRPr="00FC74FE">
              <w:rPr>
                <w:rFonts w:ascii="Times New Roman" w:hAnsi="Times New Roman" w:cs="Times New Roman"/>
                <w:sz w:val="24"/>
                <w:szCs w:val="24"/>
              </w:rPr>
              <w:t>По мере необходимости осуществляется актуализация реестра посредством взаимодействия с инвестиционными уполномоченными муниципальных районов и городских округов Новосибирской области, собственника</w:t>
            </w:r>
            <w:r w:rsidRPr="009B4FC0">
              <w:rPr>
                <w:rFonts w:ascii="Times New Roman" w:hAnsi="Times New Roman" w:cs="Times New Roman"/>
                <w:sz w:val="24"/>
                <w:szCs w:val="24"/>
              </w:rPr>
              <w:t xml:space="preserve">ми и партнерами по коммерческой недвижимости. Также сотрудниками АО «АИР» </w:t>
            </w:r>
            <w:r w:rsidRPr="009B4FC0">
              <w:rPr>
                <w:rFonts w:ascii="Times New Roman" w:hAnsi="Times New Roman" w:cs="Times New Roman"/>
                <w:sz w:val="24"/>
                <w:szCs w:val="24"/>
              </w:rPr>
              <w:lastRenderedPageBreak/>
              <w:t>проводится осмотр площадок и оценка обеспеченности инфраструктурой и ее стоимости.</w:t>
            </w:r>
          </w:p>
        </w:tc>
      </w:tr>
      <w:tr w:rsidR="003F26A5" w:rsidRPr="00367300" w14:paraId="7ED96343" w14:textId="77777777" w:rsidTr="00E77388">
        <w:trPr>
          <w:gridAfter w:val="1"/>
          <w:wAfter w:w="3" w:type="pct"/>
          <w:trHeight w:val="2665"/>
        </w:trPr>
        <w:tc>
          <w:tcPr>
            <w:tcW w:w="335" w:type="pct"/>
          </w:tcPr>
          <w:p w14:paraId="6B149F24"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1.11</w:t>
            </w:r>
          </w:p>
        </w:tc>
        <w:tc>
          <w:tcPr>
            <w:tcW w:w="1108" w:type="pct"/>
          </w:tcPr>
          <w:p w14:paraId="112A1494"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Ведение Инвестиционного портала Новосибирской области</w:t>
            </w:r>
          </w:p>
        </w:tc>
        <w:tc>
          <w:tcPr>
            <w:tcW w:w="723" w:type="pct"/>
          </w:tcPr>
          <w:p w14:paraId="166425D8" w14:textId="77777777" w:rsidR="003F26A5" w:rsidRPr="00367300" w:rsidRDefault="003F26A5" w:rsidP="00367300">
            <w:pPr>
              <w:ind w:left="57" w:right="57"/>
              <w:rPr>
                <w:rFonts w:ascii="Times New Roman" w:hAnsi="Times New Roman" w:cs="Times New Roman"/>
                <w:sz w:val="24"/>
                <w:szCs w:val="24"/>
              </w:rPr>
            </w:pPr>
            <w:r w:rsidRPr="00367300">
              <w:rPr>
                <w:rFonts w:ascii="Times New Roman" w:hAnsi="Times New Roman" w:cs="Times New Roman"/>
                <w:sz w:val="24"/>
                <w:szCs w:val="24"/>
              </w:rPr>
              <w:t>Обеспечение актуального информационного материала</w:t>
            </w:r>
          </w:p>
        </w:tc>
        <w:tc>
          <w:tcPr>
            <w:tcW w:w="337" w:type="pct"/>
          </w:tcPr>
          <w:p w14:paraId="1B0C8C2A" w14:textId="77777777" w:rsidR="003F26A5" w:rsidRPr="00367300" w:rsidRDefault="003F26A5" w:rsidP="00367300">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Постоянно</w:t>
            </w:r>
          </w:p>
        </w:tc>
        <w:tc>
          <w:tcPr>
            <w:tcW w:w="463" w:type="pct"/>
          </w:tcPr>
          <w:p w14:paraId="4B69DFAE" w14:textId="77777777" w:rsidR="003F26A5" w:rsidRPr="00367300" w:rsidRDefault="003F26A5" w:rsidP="00367300">
            <w:pPr>
              <w:ind w:left="57" w:right="57"/>
              <w:rPr>
                <w:rFonts w:ascii="Times New Roman" w:hAnsi="Times New Roman" w:cs="Times New Roman"/>
                <w:sz w:val="24"/>
                <w:szCs w:val="24"/>
              </w:rPr>
            </w:pPr>
            <w:r w:rsidRPr="00367300">
              <w:rPr>
                <w:rFonts w:ascii="Times New Roman" w:hAnsi="Times New Roman" w:cs="Times New Roman"/>
                <w:sz w:val="24"/>
                <w:szCs w:val="24"/>
              </w:rPr>
              <w:t>Минэкономразвития НСО</w:t>
            </w:r>
          </w:p>
        </w:tc>
        <w:tc>
          <w:tcPr>
            <w:tcW w:w="2031" w:type="pct"/>
            <w:shd w:val="clear" w:color="auto" w:fill="auto"/>
          </w:tcPr>
          <w:p w14:paraId="37B6E76F" w14:textId="77777777" w:rsidR="003F26A5" w:rsidRPr="00367300" w:rsidRDefault="003F26A5" w:rsidP="00367300">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eastAsia="Times New Roman" w:hAnsi="Times New Roman" w:cs="Times New Roman"/>
                <w:sz w:val="24"/>
                <w:szCs w:val="24"/>
              </w:rPr>
              <w:t>Инвестиционный портал Новосибирской области – ресурс, на котором собрана вся информация об условиях ведения бизнеса, обзоры развития основных отраслей, а также сведения об инвестиционных площадках, мерах государственной поддержки предпринимателей и инфраструктурных особенностях региона. Инвестиционный портал поддерживается в актуальном состоянии. Регулярно размещаются документы, материалы, обновляется новостная лента. За 2019 год посещаемость портала составила 21 341 посещений</w:t>
            </w:r>
          </w:p>
        </w:tc>
      </w:tr>
      <w:tr w:rsidR="003F26A5" w:rsidRPr="00367300" w14:paraId="2ED4621C" w14:textId="77777777" w:rsidTr="003F26A5">
        <w:trPr>
          <w:gridAfter w:val="1"/>
          <w:wAfter w:w="3" w:type="pct"/>
        </w:trPr>
        <w:tc>
          <w:tcPr>
            <w:tcW w:w="335" w:type="pct"/>
          </w:tcPr>
          <w:p w14:paraId="74C20EA7"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1.12</w:t>
            </w:r>
          </w:p>
        </w:tc>
        <w:tc>
          <w:tcPr>
            <w:tcW w:w="1108" w:type="pct"/>
          </w:tcPr>
          <w:p w14:paraId="53B90CAF"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Формирование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w:t>
            </w:r>
          </w:p>
        </w:tc>
        <w:tc>
          <w:tcPr>
            <w:tcW w:w="723" w:type="pct"/>
          </w:tcPr>
          <w:p w14:paraId="7D2884B1" w14:textId="77777777" w:rsidR="003F26A5" w:rsidRPr="00367300" w:rsidRDefault="003F26A5" w:rsidP="00367300">
            <w:pPr>
              <w:ind w:left="57" w:right="57"/>
              <w:rPr>
                <w:rFonts w:ascii="Times New Roman" w:hAnsi="Times New Roman" w:cs="Times New Roman"/>
                <w:sz w:val="24"/>
                <w:szCs w:val="24"/>
              </w:rPr>
            </w:pPr>
            <w:r w:rsidRPr="00367300">
              <w:rPr>
                <w:rFonts w:ascii="Times New Roman" w:hAnsi="Times New Roman" w:cs="Times New Roman"/>
                <w:sz w:val="24"/>
                <w:szCs w:val="24"/>
              </w:rPr>
              <w:t xml:space="preserve">Рейтинг муниципальных районов и городских округов Новосибирской области </w:t>
            </w:r>
          </w:p>
          <w:p w14:paraId="16776274" w14:textId="77777777" w:rsidR="003F26A5" w:rsidRPr="00367300" w:rsidRDefault="003F26A5" w:rsidP="00367300">
            <w:pPr>
              <w:ind w:left="57" w:right="57"/>
              <w:rPr>
                <w:rFonts w:ascii="Times New Roman" w:hAnsi="Times New Roman" w:cs="Times New Roman"/>
                <w:sz w:val="24"/>
                <w:szCs w:val="24"/>
              </w:rPr>
            </w:pPr>
            <w:r w:rsidRPr="00367300">
              <w:rPr>
                <w:rFonts w:ascii="Times New Roman" w:hAnsi="Times New Roman" w:cs="Times New Roman"/>
                <w:sz w:val="24"/>
                <w:szCs w:val="24"/>
              </w:rPr>
              <w:t xml:space="preserve">в части их деятельности </w:t>
            </w:r>
          </w:p>
          <w:p w14:paraId="7D08C232" w14:textId="77777777" w:rsidR="003F26A5" w:rsidRPr="00367300" w:rsidRDefault="003F26A5" w:rsidP="00367300">
            <w:pPr>
              <w:ind w:left="57" w:right="57"/>
              <w:rPr>
                <w:rFonts w:ascii="Times New Roman" w:hAnsi="Times New Roman" w:cs="Times New Roman"/>
                <w:sz w:val="24"/>
                <w:szCs w:val="24"/>
              </w:rPr>
            </w:pPr>
            <w:r w:rsidRPr="00367300">
              <w:rPr>
                <w:rFonts w:ascii="Times New Roman" w:hAnsi="Times New Roman" w:cs="Times New Roman"/>
                <w:sz w:val="24"/>
                <w:szCs w:val="24"/>
              </w:rPr>
              <w:t xml:space="preserve">по содействию развитию конкуренции и обеспечению условий для благоприятного инвестиционного климата </w:t>
            </w:r>
          </w:p>
          <w:p w14:paraId="540EF1FF"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в Новосибирской области</w:t>
            </w:r>
          </w:p>
        </w:tc>
        <w:tc>
          <w:tcPr>
            <w:tcW w:w="337" w:type="pct"/>
          </w:tcPr>
          <w:p w14:paraId="5C66AAF6" w14:textId="77777777" w:rsidR="003F26A5" w:rsidRPr="00891093" w:rsidRDefault="003F26A5" w:rsidP="00891093">
            <w:pPr>
              <w:ind w:left="57" w:right="57"/>
              <w:contextualSpacing/>
              <w:rPr>
                <w:rFonts w:ascii="Times New Roman" w:hAnsi="Times New Roman" w:cs="Times New Roman"/>
                <w:sz w:val="24"/>
                <w:szCs w:val="24"/>
              </w:rPr>
            </w:pPr>
            <w:r w:rsidRPr="00891093">
              <w:rPr>
                <w:rFonts w:ascii="Times New Roman" w:hAnsi="Times New Roman" w:cs="Times New Roman"/>
                <w:sz w:val="24"/>
                <w:szCs w:val="24"/>
              </w:rPr>
              <w:t>Ежегодно</w:t>
            </w:r>
          </w:p>
        </w:tc>
        <w:tc>
          <w:tcPr>
            <w:tcW w:w="463" w:type="pct"/>
          </w:tcPr>
          <w:p w14:paraId="69B98BB6"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Минэкономразвития НСО</w:t>
            </w:r>
          </w:p>
        </w:tc>
        <w:tc>
          <w:tcPr>
            <w:tcW w:w="2031" w:type="pct"/>
          </w:tcPr>
          <w:p w14:paraId="0E31B7FC" w14:textId="77777777" w:rsidR="003F26A5" w:rsidRPr="00AE06D3" w:rsidRDefault="003F26A5" w:rsidP="00891093">
            <w:pPr>
              <w:autoSpaceDE w:val="0"/>
              <w:autoSpaceDN w:val="0"/>
              <w:adjustRightInd w:val="0"/>
              <w:ind w:left="57" w:right="57" w:firstLine="340"/>
              <w:jc w:val="both"/>
              <w:rPr>
                <w:rFonts w:ascii="Times New Roman" w:eastAsia="Times New Roman" w:hAnsi="Times New Roman" w:cs="Times New Roman"/>
                <w:sz w:val="24"/>
                <w:szCs w:val="24"/>
              </w:rPr>
            </w:pPr>
            <w:r w:rsidRPr="00891093">
              <w:rPr>
                <w:rFonts w:ascii="Times New Roman" w:eastAsia="Times New Roman" w:hAnsi="Times New Roman" w:cs="Times New Roman"/>
                <w:sz w:val="24"/>
                <w:szCs w:val="24"/>
              </w:rPr>
              <w:t>В 201</w:t>
            </w:r>
            <w:r w:rsidRPr="00AE06D3">
              <w:rPr>
                <w:rFonts w:ascii="Times New Roman" w:eastAsia="Times New Roman" w:hAnsi="Times New Roman" w:cs="Times New Roman"/>
                <w:sz w:val="24"/>
                <w:szCs w:val="24"/>
              </w:rPr>
              <w:t xml:space="preserve">9 году сформирован рейтинг муниципальных образований за 2018 год. </w:t>
            </w:r>
          </w:p>
          <w:p w14:paraId="246C037C" w14:textId="77777777" w:rsidR="003F26A5" w:rsidRPr="00367300" w:rsidRDefault="003F26A5" w:rsidP="00AE06D3">
            <w:pPr>
              <w:ind w:left="57" w:right="57" w:firstLine="340"/>
              <w:jc w:val="both"/>
              <w:rPr>
                <w:rFonts w:ascii="Times New Roman" w:eastAsia="Times New Roman" w:hAnsi="Times New Roman" w:cs="Times New Roman"/>
                <w:sz w:val="24"/>
                <w:szCs w:val="24"/>
              </w:rPr>
            </w:pPr>
            <w:r w:rsidRPr="005C70ED">
              <w:rPr>
                <w:rFonts w:ascii="Times New Roman" w:eastAsia="Times New Roman" w:hAnsi="Times New Roman" w:cs="Times New Roman"/>
                <w:sz w:val="24"/>
                <w:szCs w:val="24"/>
              </w:rPr>
              <w:t>Информация о рейтинге муниципальных образований размещена на официальном сайте министерства экономического развития и Инвестиционном портале Новосибирской области (</w:t>
            </w:r>
            <w:hyperlink r:id="rId97" w:history="1">
              <w:r w:rsidRPr="00367300">
                <w:rPr>
                  <w:rFonts w:ascii="Times New Roman" w:eastAsia="Times New Roman" w:hAnsi="Times New Roman" w:cs="Times New Roman"/>
                  <w:color w:val="0000FF"/>
                  <w:sz w:val="24"/>
                  <w:szCs w:val="24"/>
                  <w:u w:val="single"/>
                </w:rPr>
                <w:t>http://www.econom.nso.ru/page/1221</w:t>
              </w:r>
            </w:hyperlink>
            <w:r w:rsidRPr="00367300">
              <w:rPr>
                <w:rFonts w:ascii="Times New Roman" w:eastAsia="Times New Roman" w:hAnsi="Times New Roman" w:cs="Times New Roman"/>
                <w:sz w:val="24"/>
                <w:szCs w:val="24"/>
              </w:rPr>
              <w:t>; </w:t>
            </w:r>
            <w:hyperlink r:id="rId98" w:history="1">
              <w:r w:rsidRPr="00367300">
                <w:rPr>
                  <w:rFonts w:ascii="Times New Roman" w:eastAsia="Times New Roman" w:hAnsi="Times New Roman" w:cs="Times New Roman"/>
                  <w:color w:val="0000FF"/>
                  <w:sz w:val="24"/>
                  <w:szCs w:val="24"/>
                  <w:u w:val="single"/>
                </w:rPr>
                <w:t>http://invest.nso.ru/ru/content/metodicheskie-materialy</w:t>
              </w:r>
            </w:hyperlink>
            <w:r w:rsidRPr="00367300">
              <w:rPr>
                <w:rFonts w:ascii="Times New Roman" w:eastAsia="Times New Roman" w:hAnsi="Times New Roman" w:cs="Times New Roman"/>
                <w:sz w:val="24"/>
                <w:szCs w:val="24"/>
              </w:rPr>
              <w:t>).</w:t>
            </w:r>
          </w:p>
          <w:p w14:paraId="5ECE63B8" w14:textId="77777777" w:rsidR="003F26A5" w:rsidRPr="00367300" w:rsidRDefault="003F26A5" w:rsidP="00FC74FE">
            <w:pPr>
              <w:autoSpaceDE w:val="0"/>
              <w:autoSpaceDN w:val="0"/>
              <w:adjustRightInd w:val="0"/>
              <w:ind w:left="57" w:right="57" w:firstLine="340"/>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 xml:space="preserve">В соответствии с Распоряжением Губернатора Новосибирской области от 13.09.2018 № 1043-рк «О награждении Почетной грамотой Губернатора Новосибирской области» за достижение высоких результатов в рейтинге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 по итогам 2018 года награждены Почетной грамотой Губернатора Новосибирской области город Бердск, рабочий поселок Кольцово, Венгеровский, Карасукский, </w:t>
            </w:r>
            <w:r w:rsidRPr="00367300">
              <w:rPr>
                <w:rFonts w:ascii="Times New Roman" w:eastAsia="Times New Roman" w:hAnsi="Times New Roman" w:cs="Times New Roman"/>
                <w:sz w:val="24"/>
                <w:szCs w:val="24"/>
              </w:rPr>
              <w:lastRenderedPageBreak/>
              <w:t>Купинский, Мошковский и Тогучинский районы Новосибирской области.</w:t>
            </w:r>
          </w:p>
        </w:tc>
      </w:tr>
      <w:tr w:rsidR="003F26A5" w:rsidRPr="00367300" w14:paraId="5D3A8D90" w14:textId="77777777" w:rsidTr="003F26A5">
        <w:trPr>
          <w:gridAfter w:val="1"/>
          <w:wAfter w:w="3" w:type="pct"/>
        </w:trPr>
        <w:tc>
          <w:tcPr>
            <w:tcW w:w="335" w:type="pct"/>
          </w:tcPr>
          <w:p w14:paraId="24C4A4F7"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1.13</w:t>
            </w:r>
          </w:p>
        </w:tc>
        <w:tc>
          <w:tcPr>
            <w:tcW w:w="1108" w:type="pct"/>
          </w:tcPr>
          <w:p w14:paraId="26F95493"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Размещение информации </w:t>
            </w:r>
          </w:p>
          <w:p w14:paraId="462E51C3"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о деятельности по содействию развитию конкуренции и соответствующих материалов на официальном сайте министерства экономического развития Новосибирской области и Инвестиционном портале Новосибирской области</w:t>
            </w:r>
          </w:p>
        </w:tc>
        <w:tc>
          <w:tcPr>
            <w:tcW w:w="723" w:type="pct"/>
          </w:tcPr>
          <w:p w14:paraId="7A036ED1" w14:textId="77777777" w:rsidR="003F26A5" w:rsidRPr="00367300" w:rsidRDefault="003F26A5" w:rsidP="00367300">
            <w:pPr>
              <w:ind w:left="57" w:right="57"/>
              <w:rPr>
                <w:rFonts w:ascii="Times New Roman" w:hAnsi="Times New Roman" w:cs="Times New Roman"/>
                <w:sz w:val="24"/>
                <w:szCs w:val="24"/>
              </w:rPr>
            </w:pPr>
            <w:r w:rsidRPr="00367300">
              <w:rPr>
                <w:rFonts w:ascii="Times New Roman" w:hAnsi="Times New Roman" w:cs="Times New Roman"/>
                <w:sz w:val="24"/>
                <w:szCs w:val="24"/>
              </w:rPr>
              <w:t>Информационная открытость о деятельности по содействию развитию конкуренции</w:t>
            </w:r>
          </w:p>
        </w:tc>
        <w:tc>
          <w:tcPr>
            <w:tcW w:w="337" w:type="pct"/>
          </w:tcPr>
          <w:p w14:paraId="70BF44FA" w14:textId="77777777" w:rsidR="003F26A5" w:rsidRPr="00367300" w:rsidRDefault="003F26A5" w:rsidP="00367300">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Постоянно</w:t>
            </w:r>
          </w:p>
        </w:tc>
        <w:tc>
          <w:tcPr>
            <w:tcW w:w="463" w:type="pct"/>
          </w:tcPr>
          <w:p w14:paraId="74C6312A" w14:textId="77777777" w:rsidR="003F26A5" w:rsidRPr="0089109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Минэкономразвития НСО</w:t>
            </w:r>
          </w:p>
        </w:tc>
        <w:tc>
          <w:tcPr>
            <w:tcW w:w="2031" w:type="pct"/>
          </w:tcPr>
          <w:p w14:paraId="72590C52" w14:textId="77777777" w:rsidR="003F26A5" w:rsidRPr="00891093" w:rsidRDefault="003F26A5" w:rsidP="00891093">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 xml:space="preserve">Информация о деятельности по содействию развитию конкуренции и соответствующих материалов на официальном сайте министерства экономического развития Новосибирской области размещается на сайте министерства экономического развития и Инвестиционном портале Новосибирской области. Информация актуализируется систематически. </w:t>
            </w:r>
          </w:p>
        </w:tc>
      </w:tr>
      <w:tr w:rsidR="003F26A5" w:rsidRPr="00367300" w14:paraId="36476ED2" w14:textId="77777777" w:rsidTr="003F26A5">
        <w:tc>
          <w:tcPr>
            <w:tcW w:w="5000" w:type="pct"/>
            <w:gridSpan w:val="7"/>
          </w:tcPr>
          <w:p w14:paraId="2A55BD2F" w14:textId="77777777" w:rsidR="003F26A5" w:rsidRPr="00367300" w:rsidRDefault="003F26A5" w:rsidP="00367300">
            <w:pPr>
              <w:autoSpaceDE w:val="0"/>
              <w:autoSpaceDN w:val="0"/>
              <w:adjustRightInd w:val="0"/>
              <w:ind w:left="57" w:right="57"/>
              <w:rPr>
                <w:rFonts w:ascii="Times New Roman" w:hAnsi="Times New Roman" w:cs="Times New Roman"/>
                <w:b/>
                <w:sz w:val="24"/>
                <w:szCs w:val="24"/>
              </w:rPr>
            </w:pPr>
            <w:r w:rsidRPr="00367300">
              <w:rPr>
                <w:rFonts w:ascii="Times New Roman" w:hAnsi="Times New Roman" w:cs="Times New Roman"/>
                <w:b/>
                <w:sz w:val="24"/>
                <w:szCs w:val="24"/>
              </w:rPr>
              <w:t>2. 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r w:rsidRPr="00367300">
              <w:rPr>
                <w:rFonts w:ascii="Times New Roman" w:hAnsi="Times New Roman" w:cs="Times New Roman"/>
                <w:b/>
                <w:sz w:val="24"/>
                <w:szCs w:val="24"/>
                <w:vertAlign w:val="superscript"/>
              </w:rPr>
              <w:footnoteReference w:id="14"/>
            </w:r>
          </w:p>
        </w:tc>
      </w:tr>
      <w:tr w:rsidR="003F26A5" w:rsidRPr="00367300" w14:paraId="7695816E" w14:textId="77777777" w:rsidTr="003F26A5">
        <w:trPr>
          <w:gridAfter w:val="1"/>
          <w:wAfter w:w="3" w:type="pct"/>
        </w:trPr>
        <w:tc>
          <w:tcPr>
            <w:tcW w:w="335" w:type="pct"/>
          </w:tcPr>
          <w:p w14:paraId="6D733159"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2.1</w:t>
            </w:r>
          </w:p>
        </w:tc>
        <w:tc>
          <w:tcPr>
            <w:tcW w:w="1108" w:type="pct"/>
            <w:shd w:val="clear" w:color="auto" w:fill="FFFFFF" w:themeFill="background1"/>
          </w:tcPr>
          <w:p w14:paraId="773912F9"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Проведение закупок у субъектов малого и среднего предпринимательства </w:t>
            </w:r>
          </w:p>
          <w:p w14:paraId="6399CD2C"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в соответствии с Федеральным законом от 18.07.2011 № 223-ФЗ </w:t>
            </w:r>
          </w:p>
          <w:p w14:paraId="1E60EE6C"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«О закупках товаров, работ, услуг отдельными видами юридических лиц»</w:t>
            </w:r>
          </w:p>
        </w:tc>
        <w:tc>
          <w:tcPr>
            <w:tcW w:w="723" w:type="pct"/>
            <w:shd w:val="clear" w:color="auto" w:fill="FFFFFF" w:themeFill="background1"/>
          </w:tcPr>
          <w:p w14:paraId="07A76C1F" w14:textId="77777777" w:rsidR="003F26A5" w:rsidRPr="00367300" w:rsidRDefault="003F26A5" w:rsidP="00367300">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Доля закупок у субъектов малого и среднего предпринимательства </w:t>
            </w:r>
          </w:p>
          <w:p w14:paraId="3CEB8E4B"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 xml:space="preserve">в совокупном стоимостном объеме договоров, заключенных по результатам закупок в соответствии </w:t>
            </w:r>
          </w:p>
          <w:p w14:paraId="33BEB375"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 xml:space="preserve">с Федеральным законом </w:t>
            </w:r>
          </w:p>
          <w:p w14:paraId="35F74BAC"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lastRenderedPageBreak/>
              <w:t xml:space="preserve">от 18.07.2011 № 223-ФЗ </w:t>
            </w:r>
          </w:p>
          <w:p w14:paraId="6B1ED9DA" w14:textId="77777777" w:rsidR="003F26A5" w:rsidRPr="00AE06D3" w:rsidRDefault="003F26A5" w:rsidP="00891093">
            <w:pPr>
              <w:autoSpaceDE w:val="0"/>
              <w:autoSpaceDN w:val="0"/>
              <w:adjustRightInd w:val="0"/>
              <w:ind w:left="57" w:right="57"/>
              <w:rPr>
                <w:rFonts w:ascii="Times New Roman" w:hAnsi="Times New Roman" w:cs="Times New Roman"/>
                <w:sz w:val="24"/>
                <w:szCs w:val="24"/>
              </w:rPr>
            </w:pPr>
            <w:r w:rsidRPr="00AE06D3">
              <w:rPr>
                <w:rFonts w:ascii="Times New Roman" w:hAnsi="Times New Roman" w:cs="Times New Roman"/>
                <w:sz w:val="24"/>
                <w:szCs w:val="24"/>
              </w:rPr>
              <w:t>«О закупках товаров, работ, услуг отдельными видами юридических лиц»:</w:t>
            </w:r>
          </w:p>
          <w:p w14:paraId="19986E45" w14:textId="77777777" w:rsidR="003F26A5" w:rsidRPr="005C70ED" w:rsidRDefault="003F26A5" w:rsidP="00AE06D3">
            <w:pPr>
              <w:autoSpaceDE w:val="0"/>
              <w:autoSpaceDN w:val="0"/>
              <w:adjustRightInd w:val="0"/>
              <w:ind w:left="57" w:right="57"/>
              <w:rPr>
                <w:rFonts w:ascii="Times New Roman" w:hAnsi="Times New Roman" w:cs="Times New Roman"/>
                <w:sz w:val="24"/>
                <w:szCs w:val="24"/>
              </w:rPr>
            </w:pPr>
            <w:r w:rsidRPr="005C70ED">
              <w:rPr>
                <w:rFonts w:ascii="Times New Roman" w:hAnsi="Times New Roman" w:cs="Times New Roman"/>
                <w:sz w:val="24"/>
                <w:szCs w:val="24"/>
              </w:rPr>
              <w:t>2019 год – 23%;</w:t>
            </w:r>
          </w:p>
          <w:p w14:paraId="07CAFA1A" w14:textId="77777777" w:rsidR="003F26A5" w:rsidRPr="00FC74FE" w:rsidRDefault="003F26A5" w:rsidP="00FC74FE">
            <w:pPr>
              <w:autoSpaceDE w:val="0"/>
              <w:autoSpaceDN w:val="0"/>
              <w:adjustRightInd w:val="0"/>
              <w:ind w:left="57" w:right="57"/>
              <w:rPr>
                <w:rFonts w:ascii="Times New Roman" w:hAnsi="Times New Roman" w:cs="Times New Roman"/>
                <w:sz w:val="24"/>
                <w:szCs w:val="24"/>
              </w:rPr>
            </w:pPr>
            <w:r w:rsidRPr="00FC74FE">
              <w:rPr>
                <w:rFonts w:ascii="Times New Roman" w:hAnsi="Times New Roman" w:cs="Times New Roman"/>
                <w:sz w:val="24"/>
                <w:szCs w:val="24"/>
              </w:rPr>
              <w:t>2020 год – 25%;</w:t>
            </w:r>
          </w:p>
          <w:p w14:paraId="10E9714B" w14:textId="77777777" w:rsidR="003F26A5" w:rsidRPr="009B4FC0" w:rsidRDefault="003F26A5" w:rsidP="009B4FC0">
            <w:pPr>
              <w:autoSpaceDE w:val="0"/>
              <w:autoSpaceDN w:val="0"/>
              <w:adjustRightInd w:val="0"/>
              <w:ind w:left="57" w:right="57"/>
              <w:rPr>
                <w:rFonts w:ascii="Times New Roman" w:hAnsi="Times New Roman" w:cs="Times New Roman"/>
                <w:sz w:val="24"/>
                <w:szCs w:val="24"/>
              </w:rPr>
            </w:pPr>
            <w:r w:rsidRPr="009B4FC0">
              <w:rPr>
                <w:rFonts w:ascii="Times New Roman" w:hAnsi="Times New Roman" w:cs="Times New Roman"/>
                <w:sz w:val="24"/>
                <w:szCs w:val="24"/>
              </w:rPr>
              <w:t>2021 год – 25%</w:t>
            </w:r>
          </w:p>
        </w:tc>
        <w:tc>
          <w:tcPr>
            <w:tcW w:w="337" w:type="pct"/>
            <w:shd w:val="clear" w:color="auto" w:fill="FFFFFF" w:themeFill="background1"/>
          </w:tcPr>
          <w:p w14:paraId="66AC0669" w14:textId="77777777" w:rsidR="003F26A5" w:rsidRPr="00367300" w:rsidRDefault="003F26A5">
            <w:pPr>
              <w:ind w:left="57" w:right="57"/>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2019-2021 годы</w:t>
            </w:r>
          </w:p>
        </w:tc>
        <w:tc>
          <w:tcPr>
            <w:tcW w:w="463" w:type="pct"/>
          </w:tcPr>
          <w:p w14:paraId="707EE4E0" w14:textId="77777777" w:rsidR="003F26A5" w:rsidRPr="00367300" w:rsidRDefault="003F26A5">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ОИОГВ НСО,</w:t>
            </w:r>
          </w:p>
          <w:p w14:paraId="4F1F5372" w14:textId="77777777" w:rsidR="003F26A5" w:rsidRPr="00367300" w:rsidRDefault="003F26A5">
            <w:pPr>
              <w:ind w:left="57" w:right="57"/>
              <w:contextualSpacing/>
              <w:rPr>
                <w:rFonts w:ascii="Times New Roman" w:hAnsi="Times New Roman" w:cs="Times New Roman"/>
                <w:bCs/>
                <w:sz w:val="24"/>
                <w:szCs w:val="24"/>
              </w:rPr>
            </w:pPr>
            <w:r w:rsidRPr="00367300">
              <w:rPr>
                <w:rFonts w:ascii="Times New Roman" w:hAnsi="Times New Roman" w:cs="Times New Roman"/>
                <w:sz w:val="24"/>
                <w:szCs w:val="24"/>
              </w:rPr>
              <w:t>ОМСУ НСО</w:t>
            </w:r>
          </w:p>
        </w:tc>
        <w:tc>
          <w:tcPr>
            <w:tcW w:w="2031" w:type="pct"/>
          </w:tcPr>
          <w:p w14:paraId="7FD10FCE" w14:textId="77777777" w:rsidR="003F26A5" w:rsidRPr="00367300" w:rsidRDefault="003F26A5">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2019 году проводились закупки у субъектов малого и среднего предпринимательства в соответствии с Федеральным законом от 18.07.2011 № 223-ФЗ «О закупках товаров, работ, услуг отдельными видами юридических лиц».</w:t>
            </w:r>
          </w:p>
          <w:p w14:paraId="12585869" w14:textId="77777777" w:rsidR="003F26A5" w:rsidRPr="00367300" w:rsidRDefault="003F26A5">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Ключевой показатель «Доля закупок у субъектов малого и среднего предпринимательства в совокупном стоимостном объеме договоров, заключенных по результатам закупок в соответствии </w:t>
            </w:r>
          </w:p>
          <w:p w14:paraId="6244704F" w14:textId="77777777" w:rsidR="003F26A5" w:rsidRPr="00367300" w:rsidRDefault="003F26A5">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с Федеральным законом от 18.07.2011 № 223-ФЗ «О закупках товаров, работ, услуг отдельными видами юридических лиц» на 2019 год установлен в размере 23 %. Ключевой показатель за 2019 год достигнут и составляет 47,7 %.</w:t>
            </w:r>
          </w:p>
        </w:tc>
      </w:tr>
      <w:tr w:rsidR="003F26A5" w:rsidRPr="00367300" w14:paraId="36AE5359" w14:textId="77777777" w:rsidTr="003F26A5">
        <w:trPr>
          <w:gridAfter w:val="1"/>
          <w:wAfter w:w="3" w:type="pct"/>
        </w:trPr>
        <w:tc>
          <w:tcPr>
            <w:tcW w:w="335" w:type="pct"/>
          </w:tcPr>
          <w:p w14:paraId="60934707"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2.2</w:t>
            </w:r>
          </w:p>
        </w:tc>
        <w:tc>
          <w:tcPr>
            <w:tcW w:w="1108" w:type="pct"/>
            <w:shd w:val="clear" w:color="auto" w:fill="FFFFFF" w:themeFill="background1"/>
          </w:tcPr>
          <w:p w14:paraId="0D18D14E"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Проведение закупок у субъектов малого предпринимательства </w:t>
            </w:r>
          </w:p>
          <w:p w14:paraId="0C22572F"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в соответствии с Федеральным законом от 05.04.2013 № 44-ФЗ</w:t>
            </w:r>
          </w:p>
          <w:p w14:paraId="1C77623E"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«О контрактной системе в сфере закупок товаров, работ, услуг </w:t>
            </w:r>
          </w:p>
          <w:p w14:paraId="2B00B8E5"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для обеспечения государственных и муниципальных нужд»</w:t>
            </w:r>
          </w:p>
        </w:tc>
        <w:tc>
          <w:tcPr>
            <w:tcW w:w="723" w:type="pct"/>
            <w:shd w:val="clear" w:color="auto" w:fill="FFFFFF" w:themeFill="background1"/>
          </w:tcPr>
          <w:p w14:paraId="55C1F0E6"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 xml:space="preserve">Доля закупок у субъектов малого предпринимательства в совокупном стоимостном объеме контрактов, заключенных по результатам закупок в соответствии </w:t>
            </w:r>
          </w:p>
          <w:p w14:paraId="0C437AE1"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 xml:space="preserve">с Федеральным законом </w:t>
            </w:r>
          </w:p>
          <w:p w14:paraId="13CDBC9E"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от 05.04.2013 № 44-ФЗ «О контрактной системе в сфере закупок товаров, работ, услуг для обеспечения государственных и муниципальных нужд»:</w:t>
            </w:r>
          </w:p>
          <w:p w14:paraId="56C9B9B0"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2019 год – 35%;</w:t>
            </w:r>
          </w:p>
          <w:p w14:paraId="13E568EF" w14:textId="77777777" w:rsidR="003F26A5" w:rsidRPr="00AE06D3" w:rsidRDefault="003F26A5" w:rsidP="00891093">
            <w:pPr>
              <w:autoSpaceDE w:val="0"/>
              <w:autoSpaceDN w:val="0"/>
              <w:adjustRightInd w:val="0"/>
              <w:ind w:left="57" w:right="57"/>
              <w:rPr>
                <w:rFonts w:ascii="Times New Roman" w:hAnsi="Times New Roman" w:cs="Times New Roman"/>
                <w:sz w:val="24"/>
                <w:szCs w:val="24"/>
              </w:rPr>
            </w:pPr>
            <w:r w:rsidRPr="00AE06D3">
              <w:rPr>
                <w:rFonts w:ascii="Times New Roman" w:hAnsi="Times New Roman" w:cs="Times New Roman"/>
                <w:sz w:val="24"/>
                <w:szCs w:val="24"/>
              </w:rPr>
              <w:lastRenderedPageBreak/>
              <w:t>2020 год – 35%;</w:t>
            </w:r>
          </w:p>
          <w:p w14:paraId="62F7640D" w14:textId="77777777" w:rsidR="003F26A5" w:rsidRPr="00FC74FE" w:rsidRDefault="003F26A5" w:rsidP="00AE06D3">
            <w:pPr>
              <w:autoSpaceDE w:val="0"/>
              <w:autoSpaceDN w:val="0"/>
              <w:adjustRightInd w:val="0"/>
              <w:ind w:left="57" w:right="57"/>
              <w:rPr>
                <w:rFonts w:ascii="Times New Roman" w:hAnsi="Times New Roman" w:cs="Times New Roman"/>
                <w:sz w:val="24"/>
                <w:szCs w:val="24"/>
              </w:rPr>
            </w:pPr>
            <w:r w:rsidRPr="00FC74FE">
              <w:rPr>
                <w:rFonts w:ascii="Times New Roman" w:hAnsi="Times New Roman" w:cs="Times New Roman"/>
                <w:sz w:val="24"/>
                <w:szCs w:val="24"/>
              </w:rPr>
              <w:t>2021 год – 35%</w:t>
            </w:r>
          </w:p>
        </w:tc>
        <w:tc>
          <w:tcPr>
            <w:tcW w:w="337" w:type="pct"/>
          </w:tcPr>
          <w:p w14:paraId="47C62EA6" w14:textId="77777777" w:rsidR="003F26A5" w:rsidRPr="00FC74FE" w:rsidRDefault="003F26A5" w:rsidP="00FC74FE">
            <w:pPr>
              <w:ind w:left="57" w:right="57"/>
              <w:contextualSpacing/>
              <w:rPr>
                <w:rFonts w:ascii="Times New Roman" w:hAnsi="Times New Roman" w:cs="Times New Roman"/>
                <w:bCs/>
                <w:sz w:val="24"/>
                <w:szCs w:val="24"/>
              </w:rPr>
            </w:pPr>
            <w:r w:rsidRPr="00FC74FE">
              <w:rPr>
                <w:rFonts w:ascii="Times New Roman" w:hAnsi="Times New Roman" w:cs="Times New Roman"/>
                <w:bCs/>
                <w:sz w:val="24"/>
                <w:szCs w:val="24"/>
              </w:rPr>
              <w:lastRenderedPageBreak/>
              <w:t>2019-2021 годы</w:t>
            </w:r>
          </w:p>
        </w:tc>
        <w:tc>
          <w:tcPr>
            <w:tcW w:w="463" w:type="pct"/>
          </w:tcPr>
          <w:p w14:paraId="18F86DAC" w14:textId="77777777" w:rsidR="003F26A5" w:rsidRPr="009B4FC0" w:rsidRDefault="003F26A5" w:rsidP="009B4FC0">
            <w:pPr>
              <w:autoSpaceDE w:val="0"/>
              <w:autoSpaceDN w:val="0"/>
              <w:adjustRightInd w:val="0"/>
              <w:ind w:left="57" w:right="57"/>
              <w:rPr>
                <w:rFonts w:ascii="Times New Roman" w:hAnsi="Times New Roman" w:cs="Times New Roman"/>
                <w:sz w:val="24"/>
                <w:szCs w:val="24"/>
              </w:rPr>
            </w:pPr>
            <w:r w:rsidRPr="009B4FC0">
              <w:rPr>
                <w:rFonts w:ascii="Times New Roman" w:hAnsi="Times New Roman" w:cs="Times New Roman"/>
                <w:sz w:val="24"/>
                <w:szCs w:val="24"/>
              </w:rPr>
              <w:t xml:space="preserve">ОИОГВ НСО, </w:t>
            </w:r>
          </w:p>
          <w:p w14:paraId="0D943162" w14:textId="77777777" w:rsidR="003F26A5" w:rsidRPr="00367300" w:rsidRDefault="003F26A5">
            <w:pPr>
              <w:autoSpaceDE w:val="0"/>
              <w:autoSpaceDN w:val="0"/>
              <w:adjustRightInd w:val="0"/>
              <w:ind w:left="57" w:right="57"/>
              <w:rPr>
                <w:rFonts w:ascii="Times New Roman" w:hAnsi="Times New Roman" w:cs="Times New Roman"/>
                <w:bCs/>
                <w:sz w:val="24"/>
                <w:szCs w:val="24"/>
              </w:rPr>
            </w:pPr>
            <w:r w:rsidRPr="00367300">
              <w:rPr>
                <w:rFonts w:ascii="Times New Roman" w:hAnsi="Times New Roman" w:cs="Times New Roman"/>
                <w:sz w:val="24"/>
                <w:szCs w:val="24"/>
              </w:rPr>
              <w:t>ОМСУ НСО</w:t>
            </w:r>
          </w:p>
        </w:tc>
        <w:tc>
          <w:tcPr>
            <w:tcW w:w="2031" w:type="pct"/>
          </w:tcPr>
          <w:p w14:paraId="09374489" w14:textId="77777777" w:rsidR="003F26A5" w:rsidRPr="00367300" w:rsidRDefault="003F26A5">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2019 году проводились закупки у субъектов малого предпринимательства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284CFDA2" w14:textId="77777777" w:rsidR="003F26A5" w:rsidRPr="00367300" w:rsidRDefault="003F26A5">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Ключевой показатель «Доля закупок у субъектов малого предпринимательства в совокупном стоимостном объеме контрактов, заключенных по результатам закупок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установлен в размере 35 %.</w:t>
            </w:r>
          </w:p>
          <w:p w14:paraId="2CAAFCBB" w14:textId="77777777" w:rsidR="003F26A5" w:rsidRPr="00367300" w:rsidRDefault="003F26A5">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Ключевой показатель за 2019 год достигнут и составляет 45,1%.</w:t>
            </w:r>
          </w:p>
        </w:tc>
      </w:tr>
      <w:tr w:rsidR="003F26A5" w:rsidRPr="00367300" w14:paraId="4759A061" w14:textId="77777777" w:rsidTr="003F26A5">
        <w:trPr>
          <w:gridAfter w:val="1"/>
          <w:wAfter w:w="3" w:type="pct"/>
        </w:trPr>
        <w:tc>
          <w:tcPr>
            <w:tcW w:w="335" w:type="pct"/>
          </w:tcPr>
          <w:p w14:paraId="58C046C3"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2.3</w:t>
            </w:r>
          </w:p>
        </w:tc>
        <w:tc>
          <w:tcPr>
            <w:tcW w:w="1108" w:type="pct"/>
            <w:shd w:val="clear" w:color="auto" w:fill="FFFFFF" w:themeFill="background1"/>
          </w:tcPr>
          <w:p w14:paraId="636780FA"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Осуществление закупок конкурентными способами определения поставщиков (подрядчиков, исполнителей)</w:t>
            </w:r>
          </w:p>
          <w:p w14:paraId="14CBE45E"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в соответствии с Федеральным законом от 18.07.2011 № 223-ФЗ «О закупках товаров, работ, услуг отдельными видами юридических лиц»</w:t>
            </w:r>
          </w:p>
        </w:tc>
        <w:tc>
          <w:tcPr>
            <w:tcW w:w="723" w:type="pct"/>
            <w:shd w:val="clear" w:color="auto" w:fill="FFFFFF" w:themeFill="background1"/>
          </w:tcPr>
          <w:p w14:paraId="6D04B30D" w14:textId="77777777" w:rsidR="003F26A5" w:rsidRPr="00367300" w:rsidRDefault="003F26A5" w:rsidP="00367300">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Среднее число участников закупок по результатам конкурентных способов определения поставщиков (подрядчиков, исполнителей) в соответствии с Федеральным законом от 18.07.2011 </w:t>
            </w:r>
          </w:p>
          <w:p w14:paraId="6855EFCF" w14:textId="77777777" w:rsidR="003F26A5" w:rsidRPr="00891093" w:rsidRDefault="003F26A5" w:rsidP="00367300">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223-ФЗ «О закупках товаров, работ, услуг отдель</w:t>
            </w:r>
            <w:r w:rsidRPr="00891093">
              <w:rPr>
                <w:rFonts w:ascii="Times New Roman" w:hAnsi="Times New Roman" w:cs="Times New Roman"/>
                <w:sz w:val="24"/>
                <w:szCs w:val="24"/>
              </w:rPr>
              <w:t xml:space="preserve">ными видами юридических лиц» – </w:t>
            </w:r>
          </w:p>
          <w:p w14:paraId="43DDBC3B"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3 участника</w:t>
            </w:r>
          </w:p>
        </w:tc>
        <w:tc>
          <w:tcPr>
            <w:tcW w:w="337" w:type="pct"/>
          </w:tcPr>
          <w:p w14:paraId="2C8AE9B8"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Pr>
          <w:p w14:paraId="6834F9DA" w14:textId="77777777" w:rsidR="003F26A5" w:rsidRPr="00AE06D3" w:rsidRDefault="003F26A5" w:rsidP="00891093">
            <w:pPr>
              <w:autoSpaceDE w:val="0"/>
              <w:autoSpaceDN w:val="0"/>
              <w:adjustRightInd w:val="0"/>
              <w:ind w:left="57" w:right="57"/>
              <w:rPr>
                <w:rFonts w:ascii="Times New Roman" w:hAnsi="Times New Roman" w:cs="Times New Roman"/>
                <w:sz w:val="24"/>
                <w:szCs w:val="24"/>
              </w:rPr>
            </w:pPr>
            <w:r w:rsidRPr="00AE06D3">
              <w:rPr>
                <w:rFonts w:ascii="Times New Roman" w:hAnsi="Times New Roman" w:cs="Times New Roman"/>
                <w:sz w:val="24"/>
                <w:szCs w:val="24"/>
              </w:rPr>
              <w:t xml:space="preserve">ОИОГВ НСО, </w:t>
            </w:r>
          </w:p>
          <w:p w14:paraId="5362215F" w14:textId="77777777" w:rsidR="003F26A5" w:rsidRPr="00FC74FE" w:rsidRDefault="003F26A5" w:rsidP="00891093">
            <w:pPr>
              <w:autoSpaceDE w:val="0"/>
              <w:autoSpaceDN w:val="0"/>
              <w:adjustRightInd w:val="0"/>
              <w:ind w:left="57" w:right="57"/>
              <w:rPr>
                <w:rFonts w:ascii="Times New Roman" w:hAnsi="Times New Roman" w:cs="Times New Roman"/>
                <w:sz w:val="24"/>
                <w:szCs w:val="24"/>
              </w:rPr>
            </w:pPr>
            <w:r w:rsidRPr="00FC74FE">
              <w:rPr>
                <w:rFonts w:ascii="Times New Roman" w:hAnsi="Times New Roman" w:cs="Times New Roman"/>
                <w:sz w:val="24"/>
                <w:szCs w:val="24"/>
              </w:rPr>
              <w:t>ОМСУ НСО</w:t>
            </w:r>
          </w:p>
        </w:tc>
        <w:tc>
          <w:tcPr>
            <w:tcW w:w="2031" w:type="pct"/>
          </w:tcPr>
          <w:p w14:paraId="76A7190B" w14:textId="77777777" w:rsidR="003F26A5" w:rsidRPr="00367300" w:rsidRDefault="003F26A5" w:rsidP="00AE06D3">
            <w:pPr>
              <w:ind w:left="57" w:right="57" w:firstLine="340"/>
              <w:jc w:val="both"/>
              <w:rPr>
                <w:rFonts w:ascii="Times New Roman" w:hAnsi="Times New Roman" w:cs="Times New Roman"/>
                <w:sz w:val="24"/>
                <w:szCs w:val="24"/>
              </w:rPr>
            </w:pPr>
            <w:r w:rsidRPr="009B4FC0">
              <w:rPr>
                <w:rFonts w:ascii="Times New Roman" w:hAnsi="Times New Roman" w:cs="Times New Roman"/>
                <w:sz w:val="24"/>
                <w:szCs w:val="24"/>
              </w:rPr>
              <w:t>В 2019 году осуществлялись закупки конкурентными способами определения поставщиков (подрядчиков, исполнителей) в соответствии с Федеральным законом от 18.07.2011 № 223-ФЗ «О закупках товаров, работ, услуг</w:t>
            </w:r>
            <w:r w:rsidRPr="00367300">
              <w:rPr>
                <w:rFonts w:ascii="Times New Roman" w:hAnsi="Times New Roman" w:cs="Times New Roman"/>
                <w:sz w:val="24"/>
                <w:szCs w:val="24"/>
              </w:rPr>
              <w:t xml:space="preserve"> отдельными видами юридических лиц».</w:t>
            </w:r>
          </w:p>
          <w:p w14:paraId="0378AB8B" w14:textId="77777777" w:rsidR="003F26A5" w:rsidRPr="00367300" w:rsidRDefault="003F26A5" w:rsidP="00FC74FE">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Ключевой показатель «Среднее число участников закупок по результатам конкурентных способов определения поставщиков (подрядчиков, исполнителей) в соответствии с Федеральным законом от 18.07.2011 № 223-ФЗ «О закупках товаров, работ, услуг отдельными видами юридических лиц» установлен на 2019 год в размере 3 участника. Ключевой показатель за 2019 год не достигнут и составил 2,0 участника.</w:t>
            </w:r>
          </w:p>
        </w:tc>
      </w:tr>
      <w:tr w:rsidR="003F26A5" w:rsidRPr="00367300" w14:paraId="782C1B04" w14:textId="77777777" w:rsidTr="003F26A5">
        <w:trPr>
          <w:gridAfter w:val="1"/>
          <w:wAfter w:w="3" w:type="pct"/>
        </w:trPr>
        <w:tc>
          <w:tcPr>
            <w:tcW w:w="335" w:type="pct"/>
          </w:tcPr>
          <w:p w14:paraId="546A7B82"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2.4</w:t>
            </w:r>
          </w:p>
        </w:tc>
        <w:tc>
          <w:tcPr>
            <w:tcW w:w="1108" w:type="pct"/>
            <w:shd w:val="clear" w:color="auto" w:fill="FFFFFF" w:themeFill="background1"/>
          </w:tcPr>
          <w:p w14:paraId="14111501"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Осуществление закупок конкурентными способами определения поставщиков (подрядчиков, исполнителей) </w:t>
            </w:r>
          </w:p>
          <w:p w14:paraId="6E5F749E"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в соответствии с Федеральным законом от 05.04.2013 № 44-ФЗ </w:t>
            </w:r>
          </w:p>
          <w:p w14:paraId="5F09C683"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lastRenderedPageBreak/>
              <w:t xml:space="preserve">«О контрактной системе в сфере закупок товаров, работ, услуг </w:t>
            </w:r>
          </w:p>
          <w:p w14:paraId="151165D6"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для обеспечения государственных </w:t>
            </w:r>
          </w:p>
          <w:p w14:paraId="577C78D7" w14:textId="77777777" w:rsidR="003F26A5" w:rsidRPr="00891093" w:rsidRDefault="003F26A5" w:rsidP="00891093">
            <w:pPr>
              <w:autoSpaceDE w:val="0"/>
              <w:autoSpaceDN w:val="0"/>
              <w:adjustRightInd w:val="0"/>
              <w:ind w:left="57" w:right="57"/>
              <w:jc w:val="both"/>
              <w:rPr>
                <w:rFonts w:ascii="Times New Roman" w:hAnsi="Times New Roman" w:cs="Times New Roman"/>
                <w:sz w:val="24"/>
                <w:szCs w:val="24"/>
              </w:rPr>
            </w:pPr>
            <w:r w:rsidRPr="00891093">
              <w:rPr>
                <w:rFonts w:ascii="Times New Roman" w:hAnsi="Times New Roman" w:cs="Times New Roman"/>
                <w:sz w:val="24"/>
                <w:szCs w:val="24"/>
              </w:rPr>
              <w:t>и муниципальных нужд»</w:t>
            </w:r>
          </w:p>
        </w:tc>
        <w:tc>
          <w:tcPr>
            <w:tcW w:w="723" w:type="pct"/>
            <w:shd w:val="clear" w:color="auto" w:fill="FFFFFF" w:themeFill="background1"/>
          </w:tcPr>
          <w:p w14:paraId="5D34AF7D"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lastRenderedPageBreak/>
              <w:t xml:space="preserve">Среднее число участников закупок по результатам конкурентных способов определения поставщиков (подрядчиков, </w:t>
            </w:r>
            <w:r w:rsidRPr="00891093">
              <w:rPr>
                <w:rFonts w:ascii="Times New Roman" w:hAnsi="Times New Roman" w:cs="Times New Roman"/>
                <w:sz w:val="24"/>
                <w:szCs w:val="24"/>
              </w:rPr>
              <w:lastRenderedPageBreak/>
              <w:t xml:space="preserve">исполнителей) в соответствии с Федеральным законом от 05.04.2013 </w:t>
            </w:r>
          </w:p>
          <w:p w14:paraId="493D3104"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 xml:space="preserve">№ 44-ФЗ «О контрактной системе в сфере закупок товаров, работ, услуг для обеспечения государственных и муниципальных нужд» – </w:t>
            </w:r>
          </w:p>
          <w:p w14:paraId="4B8E41CA" w14:textId="77777777" w:rsidR="003F26A5" w:rsidRPr="00AE06D3" w:rsidRDefault="003F26A5" w:rsidP="00891093">
            <w:pPr>
              <w:autoSpaceDE w:val="0"/>
              <w:autoSpaceDN w:val="0"/>
              <w:adjustRightInd w:val="0"/>
              <w:ind w:left="57" w:right="57"/>
              <w:rPr>
                <w:rFonts w:ascii="Times New Roman" w:hAnsi="Times New Roman" w:cs="Times New Roman"/>
                <w:sz w:val="24"/>
                <w:szCs w:val="24"/>
              </w:rPr>
            </w:pPr>
            <w:r w:rsidRPr="00AE06D3">
              <w:rPr>
                <w:rFonts w:ascii="Times New Roman" w:hAnsi="Times New Roman" w:cs="Times New Roman"/>
                <w:sz w:val="24"/>
                <w:szCs w:val="24"/>
              </w:rPr>
              <w:t>3 участника</w:t>
            </w:r>
          </w:p>
        </w:tc>
        <w:tc>
          <w:tcPr>
            <w:tcW w:w="337" w:type="pct"/>
          </w:tcPr>
          <w:p w14:paraId="2B7ECC55" w14:textId="77777777" w:rsidR="003F26A5" w:rsidRPr="009B4FC0" w:rsidRDefault="003F26A5" w:rsidP="00891093">
            <w:pPr>
              <w:ind w:left="57" w:right="57"/>
              <w:contextualSpacing/>
              <w:rPr>
                <w:rFonts w:ascii="Times New Roman" w:hAnsi="Times New Roman" w:cs="Times New Roman"/>
                <w:bCs/>
                <w:sz w:val="24"/>
                <w:szCs w:val="24"/>
              </w:rPr>
            </w:pPr>
            <w:r w:rsidRPr="00FC74FE">
              <w:rPr>
                <w:rFonts w:ascii="Times New Roman" w:hAnsi="Times New Roman" w:cs="Times New Roman"/>
                <w:bCs/>
                <w:sz w:val="24"/>
                <w:szCs w:val="24"/>
              </w:rPr>
              <w:lastRenderedPageBreak/>
              <w:t>2019-</w:t>
            </w:r>
            <w:r w:rsidRPr="009B4FC0">
              <w:rPr>
                <w:rFonts w:ascii="Times New Roman" w:hAnsi="Times New Roman" w:cs="Times New Roman"/>
                <w:bCs/>
                <w:sz w:val="24"/>
                <w:szCs w:val="24"/>
              </w:rPr>
              <w:t>2021 годы</w:t>
            </w:r>
          </w:p>
        </w:tc>
        <w:tc>
          <w:tcPr>
            <w:tcW w:w="463" w:type="pct"/>
          </w:tcPr>
          <w:p w14:paraId="3A71AC93" w14:textId="77777777" w:rsidR="003F26A5" w:rsidRPr="00367300" w:rsidRDefault="003F26A5" w:rsidP="00AE06D3">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ОИОГВ НСО, </w:t>
            </w:r>
          </w:p>
          <w:p w14:paraId="35F6591F" w14:textId="77777777" w:rsidR="003F26A5" w:rsidRPr="00367300" w:rsidRDefault="003F26A5" w:rsidP="00FC74FE">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ОМСУ НСО</w:t>
            </w:r>
          </w:p>
        </w:tc>
        <w:tc>
          <w:tcPr>
            <w:tcW w:w="2031" w:type="pct"/>
          </w:tcPr>
          <w:p w14:paraId="46C5CC4F" w14:textId="77777777" w:rsidR="003F26A5" w:rsidRPr="00367300" w:rsidRDefault="003F26A5" w:rsidP="009B4FC0">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2019 году осуществлялись закупки конкурентными способами определения поставщиков (подрядчиков, исполнителей)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2D3BC892" w14:textId="77777777" w:rsidR="003F26A5" w:rsidRPr="00367300" w:rsidRDefault="003F26A5">
            <w:pPr>
              <w:ind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Ключевой показатель «Среднее число участников закупок по результатам конкурентных способов определения поставщиков (подрядчиков, исполнителей) в </w:t>
            </w:r>
            <w:r w:rsidRPr="00367300">
              <w:rPr>
                <w:rFonts w:ascii="Times New Roman" w:hAnsi="Times New Roman" w:cs="Times New Roman"/>
                <w:sz w:val="24"/>
                <w:szCs w:val="24"/>
              </w:rPr>
              <w:lastRenderedPageBreak/>
              <w:t>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установлен на 2019 год в размере 3 участника.</w:t>
            </w:r>
          </w:p>
          <w:p w14:paraId="698A42A8" w14:textId="77777777" w:rsidR="003F26A5" w:rsidRPr="00E77388" w:rsidRDefault="003F26A5">
            <w:pPr>
              <w:ind w:firstLine="340"/>
              <w:jc w:val="both"/>
              <w:rPr>
                <w:rFonts w:ascii="Times New Roman" w:hAnsi="Times New Roman" w:cs="Times New Roman"/>
                <w:sz w:val="24"/>
                <w:szCs w:val="24"/>
              </w:rPr>
            </w:pPr>
            <w:r w:rsidRPr="00367300">
              <w:rPr>
                <w:rFonts w:ascii="Times New Roman" w:hAnsi="Times New Roman" w:cs="Times New Roman"/>
                <w:sz w:val="24"/>
                <w:szCs w:val="24"/>
              </w:rPr>
              <w:t>Ключевой показатель за 2019 не достигнут и составил 2,9 участника.</w:t>
            </w:r>
          </w:p>
        </w:tc>
      </w:tr>
      <w:tr w:rsidR="003F26A5" w:rsidRPr="00367300" w14:paraId="1C3F9757" w14:textId="77777777" w:rsidTr="003F26A5">
        <w:trPr>
          <w:gridAfter w:val="1"/>
          <w:wAfter w:w="3" w:type="pct"/>
        </w:trPr>
        <w:tc>
          <w:tcPr>
            <w:tcW w:w="335" w:type="pct"/>
          </w:tcPr>
          <w:p w14:paraId="4F156F8C"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2.5</w:t>
            </w:r>
          </w:p>
        </w:tc>
        <w:tc>
          <w:tcPr>
            <w:tcW w:w="1108" w:type="pct"/>
            <w:shd w:val="clear" w:color="auto" w:fill="FFFFFF" w:themeFill="background1"/>
          </w:tcPr>
          <w:p w14:paraId="04653AE2"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Размещение и осуществление «малых» закупок в электронной форме (в рамках Федерального закона от 18.07.2011 № 223-ФЗ </w:t>
            </w:r>
          </w:p>
          <w:p w14:paraId="3A90AE98"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«О закупках товаров, работ, услуг отдельными видами юридических лиц» и Федерального закона</w:t>
            </w:r>
          </w:p>
          <w:p w14:paraId="5B86C36D"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от 05.04.2013 № 44-ФЗ </w:t>
            </w:r>
          </w:p>
          <w:p w14:paraId="5C040E01"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«О контрактной системе в сфере закупок товаров, работ, услуг </w:t>
            </w:r>
          </w:p>
          <w:p w14:paraId="229A1B4D" w14:textId="77777777" w:rsidR="003F26A5" w:rsidRPr="00891093" w:rsidRDefault="003F26A5" w:rsidP="00891093">
            <w:pPr>
              <w:autoSpaceDE w:val="0"/>
              <w:autoSpaceDN w:val="0"/>
              <w:adjustRightInd w:val="0"/>
              <w:ind w:left="57" w:right="57"/>
              <w:jc w:val="both"/>
              <w:rPr>
                <w:rFonts w:ascii="Times New Roman" w:hAnsi="Times New Roman" w:cs="Times New Roman"/>
                <w:sz w:val="24"/>
                <w:szCs w:val="24"/>
              </w:rPr>
            </w:pPr>
            <w:r w:rsidRPr="00891093">
              <w:rPr>
                <w:rFonts w:ascii="Times New Roman" w:hAnsi="Times New Roman" w:cs="Times New Roman"/>
                <w:sz w:val="24"/>
                <w:szCs w:val="24"/>
              </w:rPr>
              <w:t xml:space="preserve">для обеспечения государственных </w:t>
            </w:r>
          </w:p>
          <w:p w14:paraId="0D1611C6" w14:textId="77777777" w:rsidR="003F26A5" w:rsidRPr="00891093" w:rsidRDefault="003F26A5" w:rsidP="00891093">
            <w:pPr>
              <w:autoSpaceDE w:val="0"/>
              <w:autoSpaceDN w:val="0"/>
              <w:adjustRightInd w:val="0"/>
              <w:ind w:left="57" w:right="57"/>
              <w:jc w:val="left"/>
              <w:rPr>
                <w:rFonts w:ascii="Times New Roman" w:hAnsi="Times New Roman" w:cs="Times New Roman"/>
                <w:sz w:val="24"/>
                <w:szCs w:val="24"/>
              </w:rPr>
            </w:pPr>
            <w:r w:rsidRPr="00891093">
              <w:rPr>
                <w:rFonts w:ascii="Times New Roman" w:hAnsi="Times New Roman" w:cs="Times New Roman"/>
                <w:sz w:val="24"/>
                <w:szCs w:val="24"/>
              </w:rPr>
              <w:t>и муниципальных нужд»)</w:t>
            </w:r>
          </w:p>
        </w:tc>
        <w:tc>
          <w:tcPr>
            <w:tcW w:w="723" w:type="pct"/>
            <w:shd w:val="clear" w:color="auto" w:fill="FFFFFF" w:themeFill="background1"/>
          </w:tcPr>
          <w:p w14:paraId="22B48045"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 xml:space="preserve">1. Доля «малых» закупок, размещенных в электронной форме в рамках Федерального закона от 18.07.2011 </w:t>
            </w:r>
          </w:p>
          <w:p w14:paraId="01A99868" w14:textId="77777777" w:rsidR="003F26A5" w:rsidRPr="00AE06D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 xml:space="preserve">№ 223-ФЗ «О закупках товаров, работ, услуг отдельными видами юридических лиц» </w:t>
            </w:r>
          </w:p>
          <w:p w14:paraId="6248903E" w14:textId="77777777" w:rsidR="003F26A5" w:rsidRPr="00AE06D3" w:rsidRDefault="003F26A5" w:rsidP="00AE06D3">
            <w:pPr>
              <w:autoSpaceDE w:val="0"/>
              <w:autoSpaceDN w:val="0"/>
              <w:adjustRightInd w:val="0"/>
              <w:ind w:left="57" w:right="57"/>
              <w:rPr>
                <w:rFonts w:ascii="Times New Roman" w:hAnsi="Times New Roman" w:cs="Times New Roman"/>
                <w:sz w:val="24"/>
                <w:szCs w:val="24"/>
              </w:rPr>
            </w:pPr>
            <w:r w:rsidRPr="00AE06D3">
              <w:rPr>
                <w:rFonts w:ascii="Times New Roman" w:hAnsi="Times New Roman" w:cs="Times New Roman"/>
                <w:sz w:val="24"/>
                <w:szCs w:val="24"/>
              </w:rPr>
              <w:t xml:space="preserve">и Федерального закона </w:t>
            </w:r>
          </w:p>
          <w:p w14:paraId="14D278CA" w14:textId="77777777" w:rsidR="003F26A5" w:rsidRPr="00FC74FE" w:rsidRDefault="003F26A5" w:rsidP="00FC74FE">
            <w:pPr>
              <w:autoSpaceDE w:val="0"/>
              <w:autoSpaceDN w:val="0"/>
              <w:adjustRightInd w:val="0"/>
              <w:ind w:left="57" w:right="57"/>
              <w:rPr>
                <w:rFonts w:ascii="Times New Roman" w:hAnsi="Times New Roman" w:cs="Times New Roman"/>
                <w:sz w:val="24"/>
                <w:szCs w:val="24"/>
              </w:rPr>
            </w:pPr>
            <w:r w:rsidRPr="00FC74FE">
              <w:rPr>
                <w:rFonts w:ascii="Times New Roman" w:hAnsi="Times New Roman" w:cs="Times New Roman"/>
                <w:sz w:val="24"/>
                <w:szCs w:val="24"/>
              </w:rPr>
              <w:t xml:space="preserve">от 05.04.2013 № 44-ФЗ «О </w:t>
            </w:r>
            <w:r w:rsidRPr="00FC74FE">
              <w:rPr>
                <w:rFonts w:ascii="Times New Roman" w:hAnsi="Times New Roman" w:cs="Times New Roman"/>
                <w:sz w:val="24"/>
                <w:szCs w:val="24"/>
              </w:rPr>
              <w:lastRenderedPageBreak/>
              <w:t>контрактной системе в сфере закупок товаров, работ, услуг для обеспечения государственных и муниципальных нужд»:</w:t>
            </w:r>
          </w:p>
          <w:p w14:paraId="6970894A" w14:textId="77777777" w:rsidR="003F26A5" w:rsidRPr="009B4FC0" w:rsidRDefault="003F26A5" w:rsidP="009B4FC0">
            <w:pPr>
              <w:autoSpaceDE w:val="0"/>
              <w:autoSpaceDN w:val="0"/>
              <w:adjustRightInd w:val="0"/>
              <w:ind w:left="57" w:right="57"/>
              <w:rPr>
                <w:rFonts w:ascii="Times New Roman" w:hAnsi="Times New Roman" w:cs="Times New Roman"/>
                <w:sz w:val="24"/>
                <w:szCs w:val="24"/>
              </w:rPr>
            </w:pPr>
            <w:r w:rsidRPr="009B4FC0">
              <w:rPr>
                <w:rFonts w:ascii="Times New Roman" w:hAnsi="Times New Roman" w:cs="Times New Roman"/>
                <w:sz w:val="24"/>
                <w:szCs w:val="24"/>
              </w:rPr>
              <w:t>2019 год – 50%;</w:t>
            </w:r>
          </w:p>
          <w:p w14:paraId="1D4FC6A8" w14:textId="77777777" w:rsidR="003F26A5" w:rsidRPr="00367300" w:rsidRDefault="003F26A5">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2020 год – 80%;</w:t>
            </w:r>
          </w:p>
          <w:p w14:paraId="1884EEA7" w14:textId="77777777" w:rsidR="003F26A5" w:rsidRPr="00367300" w:rsidRDefault="003F26A5">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2021 год – 100%.</w:t>
            </w:r>
          </w:p>
          <w:p w14:paraId="3EC44B6B" w14:textId="77777777" w:rsidR="003F26A5" w:rsidRPr="00367300" w:rsidRDefault="003F26A5">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2. Доля «малых» закупок, осуществленных в электронной форме в рамках Федерального закона </w:t>
            </w:r>
          </w:p>
          <w:p w14:paraId="0B8E1E0B" w14:textId="77777777" w:rsidR="003F26A5" w:rsidRPr="00367300" w:rsidRDefault="003F26A5">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от 18.07.2011 № 223-ФЗ </w:t>
            </w:r>
          </w:p>
          <w:p w14:paraId="66233B20" w14:textId="77777777" w:rsidR="003F26A5" w:rsidRPr="00367300" w:rsidRDefault="003F26A5">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«О закупках товаров, работ, услуг отдельными видами юридических лиц» </w:t>
            </w:r>
          </w:p>
          <w:p w14:paraId="70A01E21" w14:textId="77777777" w:rsidR="003F26A5" w:rsidRPr="00367300" w:rsidRDefault="003F26A5">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и Федерального закона </w:t>
            </w:r>
          </w:p>
          <w:p w14:paraId="49B0BA38" w14:textId="77777777" w:rsidR="003F26A5" w:rsidRPr="00367300" w:rsidRDefault="003F26A5">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от 05.04.2013 № 44-ФЗ </w:t>
            </w:r>
          </w:p>
          <w:p w14:paraId="1BE4D548" w14:textId="77777777" w:rsidR="003F26A5" w:rsidRPr="00367300" w:rsidRDefault="003F26A5">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«О контрактной системе в сфере закупок товаров, работ, услуг для </w:t>
            </w:r>
            <w:r w:rsidRPr="00367300">
              <w:rPr>
                <w:rFonts w:ascii="Times New Roman" w:hAnsi="Times New Roman" w:cs="Times New Roman"/>
                <w:sz w:val="24"/>
                <w:szCs w:val="24"/>
              </w:rPr>
              <w:lastRenderedPageBreak/>
              <w:t>обеспечения государственных и муниципальных нужд» – 35%</w:t>
            </w:r>
          </w:p>
        </w:tc>
        <w:tc>
          <w:tcPr>
            <w:tcW w:w="337" w:type="pct"/>
            <w:shd w:val="clear" w:color="auto" w:fill="FFFFFF" w:themeFill="background1"/>
          </w:tcPr>
          <w:p w14:paraId="34D6E3F4" w14:textId="77777777" w:rsidR="003F26A5" w:rsidRPr="00367300" w:rsidRDefault="003F26A5">
            <w:pPr>
              <w:ind w:left="57" w:right="57"/>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2019-2021 годы</w:t>
            </w:r>
          </w:p>
        </w:tc>
        <w:tc>
          <w:tcPr>
            <w:tcW w:w="463" w:type="pct"/>
          </w:tcPr>
          <w:p w14:paraId="32F3D558" w14:textId="77777777" w:rsidR="003F26A5" w:rsidRPr="00367300" w:rsidRDefault="003F26A5">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ОИОГВ НСО, </w:t>
            </w:r>
          </w:p>
          <w:p w14:paraId="4F4C524E" w14:textId="77777777" w:rsidR="003F26A5" w:rsidRPr="00367300" w:rsidRDefault="003F26A5">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ОМСУ НСО</w:t>
            </w:r>
          </w:p>
        </w:tc>
        <w:tc>
          <w:tcPr>
            <w:tcW w:w="2031" w:type="pct"/>
          </w:tcPr>
          <w:p w14:paraId="3DFE6329"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1. Ключевой показатель «Доля «малых» закупок, размещенных в электронной форме в рамках Федерального закона от 18.07.2011 №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 установлен на 2019 год в размере 50 %. Ключевой показатель за 2019 год не достигнут и составил 25,9%.</w:t>
            </w:r>
          </w:p>
          <w:p w14:paraId="632EFA27" w14:textId="77777777" w:rsidR="003F26A5" w:rsidRPr="00E77388"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2. Ключевой показатель «Доля «малых» закупок, осуществленных в электронной форме в рамках Федерального закона от 18.07.2011 №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 установлен на 2019 год в </w:t>
            </w:r>
            <w:r w:rsidRPr="00367300">
              <w:rPr>
                <w:rFonts w:ascii="Times New Roman" w:hAnsi="Times New Roman" w:cs="Times New Roman"/>
                <w:sz w:val="24"/>
                <w:szCs w:val="24"/>
              </w:rPr>
              <w:lastRenderedPageBreak/>
              <w:t>размере 35%. Ключевой показатель за 2019 год не достигнут и составил 22,7%.</w:t>
            </w:r>
          </w:p>
        </w:tc>
      </w:tr>
      <w:tr w:rsidR="003F26A5" w:rsidRPr="00367300" w14:paraId="7FE56191" w14:textId="77777777" w:rsidTr="003F26A5">
        <w:trPr>
          <w:gridAfter w:val="1"/>
          <w:wAfter w:w="3" w:type="pct"/>
        </w:trPr>
        <w:tc>
          <w:tcPr>
            <w:tcW w:w="335" w:type="pct"/>
          </w:tcPr>
          <w:p w14:paraId="4E9DB108"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2.6</w:t>
            </w:r>
          </w:p>
        </w:tc>
        <w:tc>
          <w:tcPr>
            <w:tcW w:w="1108" w:type="pct"/>
          </w:tcPr>
          <w:p w14:paraId="129D643D"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Представление в контрольное управление Новосибирской области аналитических отчетов о достижении заказчиками ключевых показателей эффективности, направленных на развитие конкуренции в сфере закупок, по запросам контрольного управления Новосибирской области</w:t>
            </w:r>
          </w:p>
        </w:tc>
        <w:tc>
          <w:tcPr>
            <w:tcW w:w="723" w:type="pct"/>
          </w:tcPr>
          <w:p w14:paraId="3B1B33F4" w14:textId="77777777" w:rsidR="003F26A5" w:rsidRPr="00367300" w:rsidRDefault="003F26A5" w:rsidP="00367300">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Обеспечение прозрачности и доступности закупок товаров, работ, услуг, в том числе снижение количества осуществления закупок неконкурентным способом, расширение участия </w:t>
            </w:r>
          </w:p>
          <w:p w14:paraId="1DA4EF89" w14:textId="77777777" w:rsidR="003F26A5" w:rsidRPr="00367300" w:rsidRDefault="003F26A5" w:rsidP="00367300">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в закупках субъектов малого </w:t>
            </w:r>
          </w:p>
          <w:p w14:paraId="5B8610B7" w14:textId="77777777" w:rsidR="003F26A5" w:rsidRPr="00367300" w:rsidRDefault="003F26A5" w:rsidP="00367300">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и среднего предпринимательства</w:t>
            </w:r>
          </w:p>
        </w:tc>
        <w:tc>
          <w:tcPr>
            <w:tcW w:w="337" w:type="pct"/>
          </w:tcPr>
          <w:p w14:paraId="413C344B"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2019-2021 годы</w:t>
            </w:r>
          </w:p>
        </w:tc>
        <w:tc>
          <w:tcPr>
            <w:tcW w:w="463" w:type="pct"/>
          </w:tcPr>
          <w:p w14:paraId="3DAEE5BB"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 xml:space="preserve">ОИОГВ НСО, </w:t>
            </w:r>
          </w:p>
          <w:p w14:paraId="79B01185"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ОМСУ НСО</w:t>
            </w:r>
          </w:p>
        </w:tc>
        <w:tc>
          <w:tcPr>
            <w:tcW w:w="2031" w:type="pct"/>
          </w:tcPr>
          <w:p w14:paraId="729D0C4E" w14:textId="77777777" w:rsidR="003F26A5" w:rsidRPr="00FC74FE" w:rsidRDefault="003F26A5" w:rsidP="00891093">
            <w:pPr>
              <w:ind w:left="57" w:right="57" w:firstLine="329"/>
              <w:jc w:val="both"/>
              <w:rPr>
                <w:rFonts w:ascii="Times New Roman" w:hAnsi="Times New Roman" w:cs="Times New Roman"/>
                <w:sz w:val="24"/>
                <w:szCs w:val="24"/>
              </w:rPr>
            </w:pPr>
            <w:r w:rsidRPr="00891093">
              <w:rPr>
                <w:rFonts w:ascii="Times New Roman" w:hAnsi="Times New Roman" w:cs="Times New Roman"/>
                <w:sz w:val="24"/>
                <w:szCs w:val="24"/>
              </w:rPr>
              <w:t>Об</w:t>
            </w:r>
            <w:r w:rsidRPr="00AE06D3">
              <w:rPr>
                <w:rFonts w:ascii="Times New Roman" w:hAnsi="Times New Roman" w:cs="Times New Roman"/>
                <w:sz w:val="24"/>
                <w:szCs w:val="24"/>
              </w:rPr>
              <w:t>ластными исполнительными органами государственной власти Новосибирской области и органами местного самоуправления в течение 2019 года представлялись в контрольное управление Новосибирской области ежеквартальные аналитические отчеты о достижении заказчиками</w:t>
            </w:r>
            <w:r w:rsidRPr="00FC74FE">
              <w:rPr>
                <w:rFonts w:ascii="Times New Roman" w:hAnsi="Times New Roman" w:cs="Times New Roman"/>
                <w:sz w:val="24"/>
                <w:szCs w:val="24"/>
              </w:rPr>
              <w:t xml:space="preserve"> ключевых показателей эффективности, направленных на развитие конкуренции в сфере закупок, по запросам контрольного управления Новосибирской области.</w:t>
            </w:r>
          </w:p>
          <w:p w14:paraId="0DEE093F" w14:textId="77777777" w:rsidR="003F26A5" w:rsidRPr="00367300" w:rsidRDefault="003F26A5" w:rsidP="00AE06D3">
            <w:pPr>
              <w:ind w:left="57" w:right="57" w:firstLine="329"/>
              <w:jc w:val="both"/>
              <w:rPr>
                <w:rFonts w:ascii="Times New Roman" w:eastAsiaTheme="minorHAnsi" w:hAnsi="Times New Roman" w:cs="Times New Roman"/>
                <w:b/>
                <w:sz w:val="24"/>
                <w:szCs w:val="24"/>
              </w:rPr>
            </w:pPr>
            <w:r w:rsidRPr="009B4FC0">
              <w:rPr>
                <w:rFonts w:ascii="Times New Roman" w:hAnsi="Times New Roman" w:cs="Times New Roman"/>
                <w:sz w:val="24"/>
                <w:szCs w:val="24"/>
              </w:rPr>
              <w:t xml:space="preserve">Сбор информации осуществлен со всех областных исполнительных органов государственной власти Новосибирской </w:t>
            </w:r>
            <w:r w:rsidRPr="00367300">
              <w:rPr>
                <w:rFonts w:ascii="Times New Roman" w:hAnsi="Times New Roman" w:cs="Times New Roman"/>
                <w:sz w:val="24"/>
                <w:szCs w:val="24"/>
              </w:rPr>
              <w:t>области и администраций муниципальных районов и городских округов Новосибирской области, с учетом сведений по подведомственным заказчикам, посредством автоматизированных форм сбора.</w:t>
            </w:r>
          </w:p>
        </w:tc>
      </w:tr>
      <w:tr w:rsidR="003F26A5" w:rsidRPr="00367300" w14:paraId="4DFC6A5C" w14:textId="77777777" w:rsidTr="003F26A5">
        <w:trPr>
          <w:gridAfter w:val="1"/>
          <w:wAfter w:w="3" w:type="pct"/>
        </w:trPr>
        <w:tc>
          <w:tcPr>
            <w:tcW w:w="335" w:type="pct"/>
            <w:shd w:val="clear" w:color="auto" w:fill="auto"/>
          </w:tcPr>
          <w:p w14:paraId="1DDCF3E9"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2.7</w:t>
            </w:r>
          </w:p>
        </w:tc>
        <w:tc>
          <w:tcPr>
            <w:tcW w:w="1108" w:type="pct"/>
            <w:shd w:val="clear" w:color="auto" w:fill="auto"/>
          </w:tcPr>
          <w:p w14:paraId="4085EB6A" w14:textId="77777777" w:rsidR="003F26A5" w:rsidRPr="00367300" w:rsidRDefault="003F26A5" w:rsidP="00367300">
            <w:pPr>
              <w:autoSpaceDE w:val="0"/>
              <w:autoSpaceDN w:val="0"/>
              <w:adjustRightInd w:val="0"/>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Проведение информационно-консультационных семинаров </w:t>
            </w:r>
          </w:p>
          <w:p w14:paraId="6CA51D11" w14:textId="77777777" w:rsidR="003F26A5" w:rsidRPr="00367300" w:rsidRDefault="003F26A5" w:rsidP="00367300">
            <w:pPr>
              <w:autoSpaceDE w:val="0"/>
              <w:autoSpaceDN w:val="0"/>
              <w:adjustRightInd w:val="0"/>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для поставщиков, подрядчиков, исполнителей о порядке участия </w:t>
            </w:r>
          </w:p>
          <w:p w14:paraId="15591408" w14:textId="77777777" w:rsidR="003F26A5" w:rsidRPr="00367300" w:rsidRDefault="003F26A5" w:rsidP="00367300">
            <w:pPr>
              <w:autoSpaceDE w:val="0"/>
              <w:autoSpaceDN w:val="0"/>
              <w:adjustRightInd w:val="0"/>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в закупочных процедурах, в том числе по вопросам участия в малых закупках в электронной форме</w:t>
            </w:r>
          </w:p>
        </w:tc>
        <w:tc>
          <w:tcPr>
            <w:tcW w:w="723" w:type="pct"/>
            <w:shd w:val="clear" w:color="auto" w:fill="auto"/>
          </w:tcPr>
          <w:p w14:paraId="15623E51" w14:textId="77777777" w:rsidR="003F26A5" w:rsidRPr="00367300" w:rsidRDefault="003F26A5" w:rsidP="00367300">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 xml:space="preserve">Расширение количества участников закупочной деятельности, в том числе </w:t>
            </w:r>
          </w:p>
          <w:p w14:paraId="74FD60DF"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 xml:space="preserve">за счет расширение участия </w:t>
            </w:r>
          </w:p>
          <w:p w14:paraId="377A34BD"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 xml:space="preserve">в закупках субъектов малого и среднего </w:t>
            </w:r>
            <w:r w:rsidRPr="00891093">
              <w:rPr>
                <w:rFonts w:ascii="Times New Roman" w:hAnsi="Times New Roman" w:cs="Times New Roman"/>
                <w:sz w:val="24"/>
                <w:szCs w:val="24"/>
              </w:rPr>
              <w:lastRenderedPageBreak/>
              <w:t>предпринимательства</w:t>
            </w:r>
          </w:p>
        </w:tc>
        <w:tc>
          <w:tcPr>
            <w:tcW w:w="337" w:type="pct"/>
            <w:shd w:val="clear" w:color="auto" w:fill="auto"/>
          </w:tcPr>
          <w:p w14:paraId="6645F586"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lastRenderedPageBreak/>
              <w:t>2019-2021 годы</w:t>
            </w:r>
          </w:p>
        </w:tc>
        <w:tc>
          <w:tcPr>
            <w:tcW w:w="463" w:type="pct"/>
            <w:shd w:val="clear" w:color="auto" w:fill="auto"/>
          </w:tcPr>
          <w:p w14:paraId="24E8FEBB" w14:textId="77777777" w:rsidR="003F26A5" w:rsidRPr="00AE06D3" w:rsidRDefault="003F26A5" w:rsidP="00891093">
            <w:pPr>
              <w:ind w:left="57" w:right="57"/>
              <w:rPr>
                <w:rFonts w:ascii="Times New Roman" w:hAnsi="Times New Roman" w:cs="Times New Roman"/>
                <w:sz w:val="24"/>
                <w:szCs w:val="24"/>
              </w:rPr>
            </w:pPr>
            <w:r w:rsidRPr="00AE06D3">
              <w:rPr>
                <w:rFonts w:ascii="Times New Roman" w:hAnsi="Times New Roman" w:cs="Times New Roman"/>
                <w:sz w:val="24"/>
                <w:szCs w:val="24"/>
              </w:rPr>
              <w:t>ГКУ НСО «Управление контрактной системы»</w:t>
            </w:r>
          </w:p>
          <w:p w14:paraId="198118BD" w14:textId="77777777" w:rsidR="003F26A5" w:rsidRPr="00AE06D3" w:rsidRDefault="003F26A5" w:rsidP="00AE06D3">
            <w:pPr>
              <w:ind w:left="57" w:right="57"/>
              <w:rPr>
                <w:rFonts w:ascii="Times New Roman" w:hAnsi="Times New Roman" w:cs="Times New Roman"/>
                <w:sz w:val="24"/>
                <w:szCs w:val="24"/>
              </w:rPr>
            </w:pPr>
            <w:r w:rsidRPr="00AE06D3">
              <w:rPr>
                <w:rFonts w:ascii="Times New Roman" w:hAnsi="Times New Roman" w:cs="Times New Roman"/>
                <w:sz w:val="24"/>
                <w:szCs w:val="24"/>
              </w:rPr>
              <w:t>(по согласованию)</w:t>
            </w:r>
          </w:p>
        </w:tc>
        <w:tc>
          <w:tcPr>
            <w:tcW w:w="2031" w:type="pct"/>
            <w:shd w:val="clear" w:color="auto" w:fill="auto"/>
          </w:tcPr>
          <w:p w14:paraId="089EC51C" w14:textId="77777777" w:rsidR="003F26A5" w:rsidRPr="009B4FC0" w:rsidRDefault="003F26A5" w:rsidP="00FC74FE">
            <w:pPr>
              <w:ind w:left="57" w:right="57" w:firstLine="329"/>
              <w:jc w:val="both"/>
              <w:rPr>
                <w:rFonts w:ascii="Times New Roman" w:hAnsi="Times New Roman" w:cs="Times New Roman"/>
                <w:sz w:val="24"/>
                <w:szCs w:val="24"/>
              </w:rPr>
            </w:pPr>
            <w:r w:rsidRPr="00FC74FE">
              <w:rPr>
                <w:rFonts w:ascii="Times New Roman" w:hAnsi="Times New Roman" w:cs="Times New Roman"/>
                <w:sz w:val="24"/>
                <w:szCs w:val="24"/>
              </w:rPr>
              <w:t>Государственным казенным учреждением Новосибирской области «Управление контрактной системы» проведено три обучающих семинара по вопросам уча</w:t>
            </w:r>
            <w:r w:rsidRPr="009B4FC0">
              <w:rPr>
                <w:rFonts w:ascii="Times New Roman" w:hAnsi="Times New Roman" w:cs="Times New Roman"/>
                <w:sz w:val="24"/>
                <w:szCs w:val="24"/>
              </w:rPr>
              <w:t>стия в закупках товаров, работ, услуг для нужд государственного сектора экономики, всего обучено 70 представителей субъектов малого предпринимательства</w:t>
            </w:r>
          </w:p>
        </w:tc>
      </w:tr>
      <w:tr w:rsidR="003F26A5" w:rsidRPr="00367300" w14:paraId="13646D25" w14:textId="77777777" w:rsidTr="003F26A5">
        <w:tc>
          <w:tcPr>
            <w:tcW w:w="5000" w:type="pct"/>
            <w:gridSpan w:val="7"/>
          </w:tcPr>
          <w:p w14:paraId="6789252F" w14:textId="77777777" w:rsidR="003F26A5" w:rsidRPr="00367300" w:rsidRDefault="003F26A5" w:rsidP="00367300">
            <w:pPr>
              <w:ind w:left="57" w:right="57" w:firstLine="329"/>
              <w:contextualSpacing/>
              <w:rPr>
                <w:rFonts w:ascii="Times New Roman" w:hAnsi="Times New Roman" w:cs="Times New Roman"/>
                <w:b/>
                <w:bCs/>
                <w:sz w:val="24"/>
                <w:szCs w:val="24"/>
              </w:rPr>
            </w:pPr>
            <w:r w:rsidRPr="00367300">
              <w:rPr>
                <w:rFonts w:ascii="Times New Roman" w:hAnsi="Times New Roman" w:cs="Times New Roman"/>
                <w:b/>
                <w:bCs/>
                <w:sz w:val="24"/>
                <w:szCs w:val="24"/>
              </w:rPr>
              <w:t>3. Повышение качества управления закупочной деятельностью субъектов естественных монополий</w:t>
            </w:r>
            <w:r w:rsidR="00ED2DB5" w:rsidRPr="00367300">
              <w:rPr>
                <w:rFonts w:ascii="Times New Roman" w:hAnsi="Times New Roman" w:cs="Times New Roman"/>
                <w:b/>
                <w:bCs/>
                <w:sz w:val="24"/>
                <w:szCs w:val="24"/>
              </w:rPr>
              <w:t xml:space="preserve"> </w:t>
            </w:r>
            <w:r w:rsidRPr="00367300">
              <w:rPr>
                <w:rFonts w:ascii="Times New Roman" w:hAnsi="Times New Roman" w:cs="Times New Roman"/>
                <w:b/>
                <w:bCs/>
                <w:sz w:val="24"/>
                <w:szCs w:val="24"/>
              </w:rPr>
              <w:t>и компаний с государственным участием</w:t>
            </w:r>
          </w:p>
        </w:tc>
      </w:tr>
      <w:tr w:rsidR="003F26A5" w:rsidRPr="00367300" w14:paraId="6DA2ABC3" w14:textId="77777777" w:rsidTr="003F26A5">
        <w:trPr>
          <w:gridAfter w:val="1"/>
          <w:wAfter w:w="3" w:type="pct"/>
        </w:trPr>
        <w:tc>
          <w:tcPr>
            <w:tcW w:w="335" w:type="pct"/>
          </w:tcPr>
          <w:p w14:paraId="0EBBDB98"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3.1</w:t>
            </w:r>
          </w:p>
        </w:tc>
        <w:tc>
          <w:tcPr>
            <w:tcW w:w="1108" w:type="pct"/>
          </w:tcPr>
          <w:p w14:paraId="57E3FDB4"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Оказание правовой, методической </w:t>
            </w:r>
          </w:p>
          <w:p w14:paraId="6088D807"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и информационной поддержки субъектам малого и среднего предпринимательства в целях стимулирования их развития </w:t>
            </w:r>
          </w:p>
          <w:p w14:paraId="7CD4651F"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в качестве потенциальных поставщиков компаний </w:t>
            </w:r>
          </w:p>
          <w:p w14:paraId="7B385BA1"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с государственным участием</w:t>
            </w:r>
          </w:p>
        </w:tc>
        <w:tc>
          <w:tcPr>
            <w:tcW w:w="723" w:type="pct"/>
          </w:tcPr>
          <w:p w14:paraId="3C203BFB" w14:textId="77777777" w:rsidR="003F26A5" w:rsidRPr="00891093" w:rsidRDefault="003F26A5" w:rsidP="00891093">
            <w:pPr>
              <w:autoSpaceDE w:val="0"/>
              <w:autoSpaceDN w:val="0"/>
              <w:adjustRightInd w:val="0"/>
              <w:ind w:left="57" w:right="57"/>
              <w:rPr>
                <w:rFonts w:ascii="Times New Roman" w:hAnsi="Times New Roman" w:cs="Times New Roman"/>
                <w:bCs/>
                <w:sz w:val="24"/>
                <w:szCs w:val="24"/>
              </w:rPr>
            </w:pPr>
            <w:r w:rsidRPr="00891093">
              <w:rPr>
                <w:rFonts w:ascii="Times New Roman" w:hAnsi="Times New Roman" w:cs="Times New Roman"/>
                <w:bCs/>
                <w:sz w:val="24"/>
                <w:szCs w:val="24"/>
              </w:rPr>
              <w:t xml:space="preserve">Прирост объема закупок </w:t>
            </w:r>
          </w:p>
          <w:p w14:paraId="3BA9D5D7" w14:textId="77777777" w:rsidR="003F26A5" w:rsidRPr="00891093" w:rsidRDefault="003F26A5" w:rsidP="00891093">
            <w:pPr>
              <w:autoSpaceDE w:val="0"/>
              <w:autoSpaceDN w:val="0"/>
              <w:adjustRightInd w:val="0"/>
              <w:ind w:left="57" w:right="57"/>
              <w:rPr>
                <w:rFonts w:ascii="Times New Roman" w:hAnsi="Times New Roman" w:cs="Times New Roman"/>
                <w:bCs/>
                <w:sz w:val="24"/>
                <w:szCs w:val="24"/>
              </w:rPr>
            </w:pPr>
            <w:r w:rsidRPr="00891093">
              <w:rPr>
                <w:rFonts w:ascii="Times New Roman" w:hAnsi="Times New Roman" w:cs="Times New Roman"/>
                <w:bCs/>
                <w:sz w:val="24"/>
                <w:szCs w:val="24"/>
              </w:rPr>
              <w:t>у субъектов малого и среднего предпринимательства</w:t>
            </w:r>
          </w:p>
        </w:tc>
        <w:tc>
          <w:tcPr>
            <w:tcW w:w="337" w:type="pct"/>
          </w:tcPr>
          <w:p w14:paraId="7D7D61C8"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Pr>
          <w:p w14:paraId="4E1D3D33" w14:textId="77777777" w:rsidR="003F26A5" w:rsidRPr="00FC74FE"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Минпромто</w:t>
            </w:r>
            <w:r w:rsidR="007961ED" w:rsidRPr="00AE06D3">
              <w:rPr>
                <w:rFonts w:ascii="Times New Roman" w:hAnsi="Times New Roman" w:cs="Times New Roman"/>
                <w:sz w:val="24"/>
                <w:szCs w:val="24"/>
              </w:rPr>
              <w:t>рг</w:t>
            </w:r>
            <w:r w:rsidRPr="00FC74FE">
              <w:rPr>
                <w:rFonts w:ascii="Times New Roman" w:hAnsi="Times New Roman" w:cs="Times New Roman"/>
                <w:sz w:val="24"/>
                <w:szCs w:val="24"/>
              </w:rPr>
              <w:t xml:space="preserve"> НСО</w:t>
            </w:r>
            <w:r w:rsidRPr="00FC74FE">
              <w:rPr>
                <w:rFonts w:ascii="Times New Roman" w:hAnsi="Times New Roman" w:cs="Times New Roman"/>
                <w:bCs/>
                <w:sz w:val="24"/>
                <w:szCs w:val="24"/>
              </w:rPr>
              <w:t xml:space="preserve"> </w:t>
            </w:r>
          </w:p>
        </w:tc>
        <w:tc>
          <w:tcPr>
            <w:tcW w:w="2031" w:type="pct"/>
          </w:tcPr>
          <w:p w14:paraId="52C1BDFE" w14:textId="77777777" w:rsidR="003F26A5" w:rsidRPr="00367300" w:rsidRDefault="003F26A5" w:rsidP="00AE06D3">
            <w:pPr>
              <w:ind w:left="57" w:right="57" w:firstLine="329"/>
              <w:jc w:val="both"/>
              <w:rPr>
                <w:rFonts w:ascii="Times New Roman" w:hAnsi="Times New Roman" w:cs="Times New Roman"/>
                <w:color w:val="000000"/>
                <w:sz w:val="24"/>
                <w:szCs w:val="24"/>
              </w:rPr>
            </w:pPr>
            <w:r w:rsidRPr="009B4FC0">
              <w:rPr>
                <w:rFonts w:ascii="Times New Roman" w:hAnsi="Times New Roman" w:cs="Times New Roman"/>
                <w:sz w:val="24"/>
                <w:szCs w:val="24"/>
              </w:rPr>
              <w:t>В 2019 году министерством промышленности, торговли и развития предпринимательства Новосибирской области и АО «Корпорация МСП» совместно с крупнейшими заказчи</w:t>
            </w:r>
            <w:r w:rsidRPr="00367300">
              <w:rPr>
                <w:rFonts w:ascii="Times New Roman" w:hAnsi="Times New Roman" w:cs="Times New Roman"/>
                <w:sz w:val="24"/>
                <w:szCs w:val="24"/>
              </w:rPr>
              <w:t>ками организовано и проведено 2 обучающих семинара для субъектов малого и среднего предпринимательства по теме «Участие субъектов МСП в закупках отдельных видов юридических по Федеральному закону № 223-ФЗ», в которых приняли участие 255 субъектов МСП.</w:t>
            </w:r>
          </w:p>
        </w:tc>
      </w:tr>
      <w:tr w:rsidR="003F26A5" w:rsidRPr="00367300" w14:paraId="5745B5BF" w14:textId="77777777" w:rsidTr="003F26A5">
        <w:tc>
          <w:tcPr>
            <w:tcW w:w="5000" w:type="pct"/>
            <w:gridSpan w:val="7"/>
          </w:tcPr>
          <w:p w14:paraId="14A446A9" w14:textId="77777777" w:rsidR="003F26A5" w:rsidRPr="00367300" w:rsidRDefault="003F26A5" w:rsidP="00367300">
            <w:pPr>
              <w:ind w:left="57" w:right="57" w:firstLine="329"/>
              <w:contextualSpacing/>
              <w:rPr>
                <w:rFonts w:ascii="Times New Roman" w:hAnsi="Times New Roman" w:cs="Times New Roman"/>
                <w:b/>
                <w:bCs/>
                <w:sz w:val="24"/>
                <w:szCs w:val="24"/>
              </w:rPr>
            </w:pPr>
            <w:r w:rsidRPr="00367300">
              <w:rPr>
                <w:rFonts w:ascii="Times New Roman" w:hAnsi="Times New Roman" w:cs="Times New Roman"/>
                <w:b/>
                <w:bCs/>
                <w:sz w:val="24"/>
                <w:szCs w:val="24"/>
              </w:rPr>
              <w:t>4. Устранение избыточного государственного и муниципального регулирования,</w:t>
            </w:r>
          </w:p>
          <w:p w14:paraId="7D378DBE" w14:textId="77777777" w:rsidR="003F26A5" w:rsidRPr="00367300" w:rsidRDefault="003F26A5" w:rsidP="00367300">
            <w:pPr>
              <w:ind w:left="57" w:right="57" w:firstLine="329"/>
              <w:contextualSpacing/>
              <w:rPr>
                <w:rFonts w:ascii="Times New Roman" w:hAnsi="Times New Roman" w:cs="Times New Roman"/>
                <w:b/>
                <w:bCs/>
                <w:sz w:val="24"/>
                <w:szCs w:val="24"/>
              </w:rPr>
            </w:pPr>
            <w:r w:rsidRPr="00367300">
              <w:rPr>
                <w:rFonts w:ascii="Times New Roman" w:hAnsi="Times New Roman" w:cs="Times New Roman"/>
                <w:b/>
                <w:bCs/>
                <w:sz w:val="24"/>
                <w:szCs w:val="24"/>
              </w:rPr>
              <w:t>снижение административных барьеров</w:t>
            </w:r>
          </w:p>
        </w:tc>
      </w:tr>
      <w:tr w:rsidR="003F26A5" w:rsidRPr="00367300" w14:paraId="7ADC4597" w14:textId="77777777" w:rsidTr="003F26A5">
        <w:trPr>
          <w:gridAfter w:val="1"/>
          <w:wAfter w:w="3" w:type="pct"/>
        </w:trPr>
        <w:tc>
          <w:tcPr>
            <w:tcW w:w="335" w:type="pct"/>
          </w:tcPr>
          <w:p w14:paraId="285A46D1"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4.1</w:t>
            </w:r>
          </w:p>
        </w:tc>
        <w:tc>
          <w:tcPr>
            <w:tcW w:w="1108" w:type="pct"/>
          </w:tcPr>
          <w:p w14:paraId="2A5B7F04" w14:textId="77777777" w:rsidR="003F26A5" w:rsidRPr="00367300" w:rsidRDefault="003F26A5" w:rsidP="00367300">
            <w:pPr>
              <w:autoSpaceDE w:val="0"/>
              <w:autoSpaceDN w:val="0"/>
              <w:adjustRightInd w:val="0"/>
              <w:ind w:left="57" w:right="57"/>
              <w:jc w:val="both"/>
              <w:rPr>
                <w:rFonts w:ascii="Times New Roman" w:hAnsi="Times New Roman" w:cs="Times New Roman"/>
                <w:bCs/>
                <w:sz w:val="24"/>
                <w:szCs w:val="24"/>
              </w:rPr>
            </w:pPr>
            <w:r w:rsidRPr="00367300">
              <w:rPr>
                <w:rFonts w:ascii="Times New Roman" w:hAnsi="Times New Roman" w:cs="Times New Roman"/>
                <w:bCs/>
                <w:sz w:val="24"/>
                <w:szCs w:val="24"/>
              </w:rPr>
              <w:t xml:space="preserve">Проведение анализа практики реализации государственных функций и услуг, относящихся </w:t>
            </w:r>
          </w:p>
          <w:p w14:paraId="1324940C"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bCs/>
                <w:sz w:val="24"/>
                <w:szCs w:val="24"/>
              </w:rPr>
              <w:t xml:space="preserve">к полномочиям субъекта Российской Федерации, а также муниципальных функций и услуг на предмет соответствия такой практики </w:t>
            </w:r>
            <w:hyperlink r:id="rId99" w:history="1">
              <w:r w:rsidRPr="00367300">
                <w:rPr>
                  <w:rFonts w:ascii="Times New Roman" w:hAnsi="Times New Roman" w:cs="Times New Roman"/>
                  <w:bCs/>
                  <w:sz w:val="24"/>
                  <w:szCs w:val="24"/>
                </w:rPr>
                <w:t>статьям 15</w:t>
              </w:r>
            </w:hyperlink>
            <w:r w:rsidRPr="00367300">
              <w:rPr>
                <w:rFonts w:ascii="Times New Roman" w:hAnsi="Times New Roman" w:cs="Times New Roman"/>
                <w:bCs/>
                <w:sz w:val="24"/>
                <w:szCs w:val="24"/>
              </w:rPr>
              <w:t xml:space="preserve"> и </w:t>
            </w:r>
            <w:hyperlink r:id="rId100" w:history="1">
              <w:r w:rsidRPr="00367300">
                <w:rPr>
                  <w:rFonts w:ascii="Times New Roman" w:hAnsi="Times New Roman" w:cs="Times New Roman"/>
                  <w:bCs/>
                  <w:sz w:val="24"/>
                  <w:szCs w:val="24"/>
                </w:rPr>
                <w:t>16</w:t>
              </w:r>
            </w:hyperlink>
            <w:r w:rsidRPr="00367300">
              <w:rPr>
                <w:rFonts w:ascii="Times New Roman" w:hAnsi="Times New Roman" w:cs="Times New Roman"/>
                <w:bCs/>
                <w:sz w:val="24"/>
                <w:szCs w:val="24"/>
              </w:rPr>
              <w:t xml:space="preserve"> Федерального закона </w:t>
            </w:r>
            <w:r w:rsidRPr="00367300">
              <w:rPr>
                <w:rFonts w:ascii="Times New Roman" w:hAnsi="Times New Roman" w:cs="Times New Roman"/>
                <w:sz w:val="24"/>
                <w:szCs w:val="24"/>
              </w:rPr>
              <w:t xml:space="preserve">от 26.07.2006 № 135-ФЗ </w:t>
            </w:r>
            <w:r w:rsidRPr="00367300">
              <w:rPr>
                <w:rFonts w:ascii="Times New Roman" w:hAnsi="Times New Roman" w:cs="Times New Roman"/>
                <w:bCs/>
                <w:sz w:val="24"/>
                <w:szCs w:val="24"/>
              </w:rPr>
              <w:t>«О защите конкуренции»</w:t>
            </w:r>
          </w:p>
        </w:tc>
        <w:tc>
          <w:tcPr>
            <w:tcW w:w="723" w:type="pct"/>
          </w:tcPr>
          <w:p w14:paraId="7D5050CB" w14:textId="77777777" w:rsidR="003F26A5" w:rsidRPr="00367300" w:rsidRDefault="003F26A5" w:rsidP="00367300">
            <w:pPr>
              <w:ind w:left="57" w:right="57"/>
              <w:contextualSpacing/>
              <w:rPr>
                <w:rFonts w:ascii="Times New Roman" w:hAnsi="Times New Roman" w:cs="Times New Roman"/>
                <w:bCs/>
                <w:sz w:val="24"/>
                <w:szCs w:val="24"/>
              </w:rPr>
            </w:pPr>
            <w:r w:rsidRPr="00367300">
              <w:rPr>
                <w:rFonts w:ascii="Times New Roman" w:hAnsi="Times New Roman" w:cs="Times New Roman"/>
                <w:bCs/>
                <w:sz w:val="24"/>
                <w:szCs w:val="24"/>
              </w:rPr>
              <w:t>Снижение административных барьеров</w:t>
            </w:r>
          </w:p>
        </w:tc>
        <w:tc>
          <w:tcPr>
            <w:tcW w:w="337" w:type="pct"/>
          </w:tcPr>
          <w:p w14:paraId="0D38840B" w14:textId="77777777" w:rsidR="003F26A5" w:rsidRPr="00367300" w:rsidRDefault="003F26A5" w:rsidP="00367300">
            <w:pPr>
              <w:ind w:left="57" w:right="57"/>
              <w:contextualSpacing/>
              <w:rPr>
                <w:rFonts w:ascii="Times New Roman" w:hAnsi="Times New Roman" w:cs="Times New Roman"/>
                <w:bCs/>
                <w:sz w:val="24"/>
                <w:szCs w:val="24"/>
              </w:rPr>
            </w:pPr>
            <w:r w:rsidRPr="00367300">
              <w:rPr>
                <w:rFonts w:ascii="Times New Roman" w:hAnsi="Times New Roman" w:cs="Times New Roman"/>
                <w:bCs/>
                <w:sz w:val="24"/>
                <w:szCs w:val="24"/>
              </w:rPr>
              <w:t>2019-2021 годы</w:t>
            </w:r>
          </w:p>
        </w:tc>
        <w:tc>
          <w:tcPr>
            <w:tcW w:w="463" w:type="pct"/>
          </w:tcPr>
          <w:p w14:paraId="4C2E5D0E"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bCs/>
                <w:sz w:val="24"/>
                <w:szCs w:val="24"/>
              </w:rPr>
              <w:t>ОИОГВ НСО</w:t>
            </w:r>
          </w:p>
          <w:p w14:paraId="29B4D1BB"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bCs/>
                <w:sz w:val="24"/>
                <w:szCs w:val="24"/>
              </w:rPr>
              <w:t>ОМСУ НСО</w:t>
            </w:r>
          </w:p>
        </w:tc>
        <w:tc>
          <w:tcPr>
            <w:tcW w:w="2031" w:type="pct"/>
          </w:tcPr>
          <w:p w14:paraId="18DEBF23" w14:textId="77777777" w:rsidR="003F26A5" w:rsidRPr="00367300" w:rsidRDefault="003F26A5" w:rsidP="00891093">
            <w:pPr>
              <w:ind w:left="57" w:right="57" w:firstLine="329"/>
              <w:jc w:val="both"/>
              <w:rPr>
                <w:rFonts w:ascii="Times New Roman" w:hAnsi="Times New Roman" w:cs="Times New Roman"/>
                <w:sz w:val="24"/>
                <w:szCs w:val="24"/>
              </w:rPr>
            </w:pPr>
            <w:r w:rsidRPr="00891093">
              <w:rPr>
                <w:rFonts w:ascii="Times New Roman" w:hAnsi="Times New Roman" w:cs="Times New Roman"/>
                <w:sz w:val="24"/>
                <w:szCs w:val="24"/>
              </w:rPr>
              <w:t xml:space="preserve">В целях обеспечения исполнения на территории Новосибирской области </w:t>
            </w:r>
            <w:hyperlink r:id="rId101" w:history="1">
              <w:r w:rsidRPr="00367300">
                <w:rPr>
                  <w:rFonts w:ascii="Times New Roman" w:hAnsi="Times New Roman" w:cs="Times New Roman"/>
                  <w:sz w:val="24"/>
                  <w:szCs w:val="24"/>
                </w:rPr>
                <w:t>Указа</w:t>
              </w:r>
            </w:hyperlink>
            <w:r w:rsidRPr="00367300">
              <w:rPr>
                <w:rFonts w:ascii="Times New Roman" w:hAnsi="Times New Roman" w:cs="Times New Roman"/>
                <w:sz w:val="24"/>
                <w:szCs w:val="24"/>
              </w:rPr>
              <w:t xml:space="preserve"> Президента Российской Федерации от 21.12.2017 № 618 «Об основных направлениях государственной политики по развитию конкуренции» принято распоряжение Губернатора Новосибирской области от 26.12.2018 № 268-р «О создании и организации системы внутреннего обеспечения соответствия требованиям антимонопольного законодательства деятельности областных исполнительных органов государственной власти Новосибирской области».</w:t>
            </w:r>
          </w:p>
          <w:p w14:paraId="34577124" w14:textId="77777777" w:rsidR="003F26A5" w:rsidRPr="00367300" w:rsidRDefault="003F26A5" w:rsidP="00891093">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Во исполнение данного распоряжения всеми без исключения областными исполнительными органами государственной власти Новосибирской области (далее – ОИОГВ НСО) приняты правовые акты, направленные на создание и организацию системы внутреннего обеспечения соответствия требованиям </w:t>
            </w:r>
            <w:r w:rsidRPr="00367300">
              <w:rPr>
                <w:rFonts w:ascii="Times New Roman" w:hAnsi="Times New Roman" w:cs="Times New Roman"/>
                <w:sz w:val="24"/>
                <w:szCs w:val="24"/>
              </w:rPr>
              <w:lastRenderedPageBreak/>
              <w:t xml:space="preserve">антимонопольного законодательства деятельности ОИОГВ НСО (антимонопольный комплаенс). </w:t>
            </w:r>
          </w:p>
          <w:p w14:paraId="199C3A3D" w14:textId="77777777" w:rsidR="003F26A5" w:rsidRPr="00891093" w:rsidRDefault="003F26A5" w:rsidP="00AE06D3">
            <w:pPr>
              <w:ind w:left="57" w:right="57" w:firstLine="329"/>
              <w:jc w:val="both"/>
              <w:rPr>
                <w:rFonts w:ascii="Times New Roman" w:hAnsi="Times New Roman" w:cs="Times New Roman"/>
                <w:sz w:val="24"/>
                <w:szCs w:val="24"/>
              </w:rPr>
            </w:pPr>
            <w:r w:rsidRPr="00891093">
              <w:rPr>
                <w:rFonts w:ascii="Times New Roman" w:hAnsi="Times New Roman" w:cs="Times New Roman"/>
                <w:sz w:val="24"/>
                <w:szCs w:val="24"/>
              </w:rPr>
              <w:t>Всего принято 30 правовых актов ОИОГВ НСО.</w:t>
            </w:r>
          </w:p>
          <w:p w14:paraId="1972E691" w14:textId="77777777" w:rsidR="003F26A5" w:rsidRPr="00891093" w:rsidRDefault="003F26A5" w:rsidP="00FC74FE">
            <w:pPr>
              <w:ind w:left="57" w:right="57" w:firstLine="329"/>
              <w:jc w:val="both"/>
              <w:rPr>
                <w:rFonts w:ascii="Times New Roman" w:hAnsi="Times New Roman" w:cs="Times New Roman"/>
                <w:sz w:val="24"/>
                <w:szCs w:val="24"/>
              </w:rPr>
            </w:pPr>
            <w:r w:rsidRPr="00891093">
              <w:rPr>
                <w:rFonts w:ascii="Times New Roman" w:hAnsi="Times New Roman" w:cs="Times New Roman"/>
                <w:sz w:val="24"/>
                <w:szCs w:val="24"/>
              </w:rPr>
              <w:t>На муниципальном уровне правовые акты о внедрении антимонопольного комплаенса также приняты во всех муниципальных районах и городских округах Новосибирской области.</w:t>
            </w:r>
          </w:p>
          <w:p w14:paraId="68040930" w14:textId="77777777" w:rsidR="003F26A5" w:rsidRPr="00891093" w:rsidRDefault="003F26A5" w:rsidP="009B4FC0">
            <w:pPr>
              <w:ind w:left="57" w:right="57" w:firstLine="329"/>
              <w:jc w:val="both"/>
              <w:rPr>
                <w:rFonts w:ascii="Times New Roman" w:hAnsi="Times New Roman" w:cs="Times New Roman"/>
                <w:sz w:val="24"/>
                <w:szCs w:val="24"/>
              </w:rPr>
            </w:pPr>
            <w:r w:rsidRPr="00891093">
              <w:rPr>
                <w:rFonts w:ascii="Times New Roman" w:hAnsi="Times New Roman" w:cs="Times New Roman"/>
                <w:sz w:val="24"/>
                <w:szCs w:val="24"/>
              </w:rPr>
              <w:t>Цели принятия правовых актов на региональном и муниципальном уровнях по внедрению антимонопольного комплаенса:</w:t>
            </w:r>
          </w:p>
          <w:p w14:paraId="7DE15F55" w14:textId="77777777" w:rsidR="003F26A5" w:rsidRPr="00AE06D3" w:rsidRDefault="003F26A5">
            <w:pPr>
              <w:ind w:left="57" w:right="57" w:firstLine="329"/>
              <w:jc w:val="both"/>
              <w:rPr>
                <w:rFonts w:ascii="Times New Roman" w:hAnsi="Times New Roman" w:cs="Times New Roman"/>
                <w:sz w:val="24"/>
                <w:szCs w:val="24"/>
              </w:rPr>
            </w:pPr>
            <w:r w:rsidRPr="00AE06D3">
              <w:rPr>
                <w:rFonts w:ascii="Times New Roman" w:hAnsi="Times New Roman" w:cs="Times New Roman"/>
                <w:sz w:val="24"/>
                <w:szCs w:val="24"/>
              </w:rPr>
              <w:t>обеспечение соответствия деятельности региональных и муниципальных органов власти требованиям антимонопольного законодательства;</w:t>
            </w:r>
          </w:p>
          <w:p w14:paraId="4A134B78" w14:textId="77777777" w:rsidR="003F26A5" w:rsidRPr="009B4FC0" w:rsidRDefault="003F26A5">
            <w:pPr>
              <w:ind w:left="57" w:right="57" w:firstLine="329"/>
              <w:jc w:val="both"/>
              <w:rPr>
                <w:rFonts w:ascii="Times New Roman" w:hAnsi="Times New Roman" w:cs="Times New Roman"/>
                <w:sz w:val="24"/>
                <w:szCs w:val="24"/>
              </w:rPr>
            </w:pPr>
            <w:r w:rsidRPr="00FC74FE">
              <w:rPr>
                <w:rFonts w:ascii="Times New Roman" w:hAnsi="Times New Roman" w:cs="Times New Roman"/>
                <w:sz w:val="24"/>
                <w:szCs w:val="24"/>
              </w:rPr>
              <w:t>профилактика нарушения требований антимонопольного законодательства в деят</w:t>
            </w:r>
            <w:r w:rsidRPr="009B4FC0">
              <w:rPr>
                <w:rFonts w:ascii="Times New Roman" w:hAnsi="Times New Roman" w:cs="Times New Roman"/>
                <w:sz w:val="24"/>
                <w:szCs w:val="24"/>
              </w:rPr>
              <w:t>ельности региональных и муниципальных органов власти.</w:t>
            </w:r>
          </w:p>
          <w:p w14:paraId="614323B7"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В целях улучшения показателей работы, повышения уровня знаний в сфере антимонопольного комплаенса, развития навыков, повышающих эффективность работы, ОИОГВ НСО организовано участие государственных служащих в обучении, проводимом ФАС России, ЧУ ДПО «Учебный центр БДО». Обучение прошли специалисты министерства экономического развития НСО, департамента имущества и земельных отношений НСО, министерства финансов и налоговой политики, министерства науки и инновационной политики, управления делами Губернатора Новосибирской области и Правительства Новосибирской области, управления информационных проектов и др. </w:t>
            </w:r>
          </w:p>
          <w:p w14:paraId="67BE1D9D"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25-29 ноября 2019 на базе Института дополнительного профессионального образования Новосибирского государственного аграрного университета для муниципальных служащих органов </w:t>
            </w:r>
            <w:r w:rsidRPr="00367300">
              <w:rPr>
                <w:rFonts w:ascii="Times New Roman" w:hAnsi="Times New Roman" w:cs="Times New Roman"/>
                <w:sz w:val="24"/>
                <w:szCs w:val="24"/>
              </w:rPr>
              <w:lastRenderedPageBreak/>
              <w:t>местного самоуправления муниципальных образований Новосибирской области прошло обучение по программе повышения квалификации «Внедрение антимонопольного комплаенса органами местного самоуправления. Внедрение стандарта развития конкуренции в Российской Федерации» (</w:t>
            </w:r>
            <w:hyperlink r:id="rId102" w:history="1">
              <w:r w:rsidRPr="00367300">
                <w:rPr>
                  <w:rFonts w:ascii="Times New Roman" w:hAnsi="Times New Roman" w:cs="Times New Roman"/>
                  <w:sz w:val="24"/>
                  <w:szCs w:val="24"/>
                </w:rPr>
                <w:t>http://econom.nso.ru/news/2896</w:t>
              </w:r>
            </w:hyperlink>
            <w:r w:rsidRPr="00367300">
              <w:rPr>
                <w:rFonts w:ascii="Times New Roman" w:hAnsi="Times New Roman" w:cs="Times New Roman"/>
                <w:sz w:val="24"/>
                <w:szCs w:val="24"/>
              </w:rPr>
              <w:t>).</w:t>
            </w:r>
          </w:p>
          <w:p w14:paraId="0382ECBA"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Всеми ОИОГВ НСО проведен анализ практики реализации государственных функций и услуг, относящихся к полномочиям субъекта Российской Федерации, а также муниципальных функций и услуг на предмет соответствия такой практики </w:t>
            </w:r>
            <w:hyperlink r:id="rId103" w:history="1">
              <w:r w:rsidRPr="00367300">
                <w:rPr>
                  <w:rFonts w:ascii="Times New Roman" w:hAnsi="Times New Roman" w:cs="Times New Roman"/>
                  <w:sz w:val="24"/>
                  <w:szCs w:val="24"/>
                </w:rPr>
                <w:t>статьям 15</w:t>
              </w:r>
            </w:hyperlink>
            <w:r w:rsidRPr="00367300">
              <w:rPr>
                <w:rFonts w:ascii="Times New Roman" w:hAnsi="Times New Roman" w:cs="Times New Roman"/>
                <w:sz w:val="24"/>
                <w:szCs w:val="24"/>
              </w:rPr>
              <w:t xml:space="preserve"> и </w:t>
            </w:r>
            <w:hyperlink r:id="rId104" w:history="1">
              <w:r w:rsidRPr="00367300">
                <w:rPr>
                  <w:rFonts w:ascii="Times New Roman" w:hAnsi="Times New Roman" w:cs="Times New Roman"/>
                  <w:sz w:val="24"/>
                  <w:szCs w:val="24"/>
                </w:rPr>
                <w:t>16</w:t>
              </w:r>
            </w:hyperlink>
            <w:r w:rsidRPr="00367300">
              <w:rPr>
                <w:rFonts w:ascii="Times New Roman" w:hAnsi="Times New Roman" w:cs="Times New Roman"/>
                <w:sz w:val="24"/>
                <w:szCs w:val="24"/>
              </w:rPr>
              <w:t xml:space="preserve"> Федерального закона от 26.07.2006 № 135-ФЗ «О защите конкуренции».</w:t>
            </w:r>
          </w:p>
          <w:p w14:paraId="50C04322"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По результатам анализа приняты соответствующие меры. </w:t>
            </w:r>
          </w:p>
        </w:tc>
      </w:tr>
      <w:tr w:rsidR="003F26A5" w:rsidRPr="00367300" w14:paraId="1CD5D41F" w14:textId="77777777" w:rsidTr="003F26A5">
        <w:trPr>
          <w:gridAfter w:val="1"/>
          <w:wAfter w:w="3" w:type="pct"/>
        </w:trPr>
        <w:tc>
          <w:tcPr>
            <w:tcW w:w="335" w:type="pct"/>
          </w:tcPr>
          <w:p w14:paraId="6F66B4AD"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4.2</w:t>
            </w:r>
          </w:p>
        </w:tc>
        <w:tc>
          <w:tcPr>
            <w:tcW w:w="1108" w:type="pct"/>
          </w:tcPr>
          <w:p w14:paraId="522E56BE" w14:textId="77777777" w:rsidR="003F26A5" w:rsidRPr="00367300" w:rsidRDefault="003F26A5" w:rsidP="00367300">
            <w:pPr>
              <w:autoSpaceDE w:val="0"/>
              <w:autoSpaceDN w:val="0"/>
              <w:adjustRightInd w:val="0"/>
              <w:ind w:left="57" w:right="57"/>
              <w:jc w:val="both"/>
              <w:rPr>
                <w:rFonts w:ascii="Times New Roman" w:hAnsi="Times New Roman" w:cs="Times New Roman"/>
                <w:bCs/>
                <w:sz w:val="24"/>
                <w:szCs w:val="24"/>
              </w:rPr>
            </w:pPr>
            <w:r w:rsidRPr="00367300">
              <w:rPr>
                <w:rFonts w:ascii="Times New Roman" w:hAnsi="Times New Roman" w:cs="Times New Roman"/>
                <w:sz w:val="24"/>
                <w:szCs w:val="24"/>
              </w:rPr>
              <w:t>Перевод государственных и муниципальных услуг, связанных со сферой предпринимательской деятельности, в электронную форму</w:t>
            </w:r>
          </w:p>
        </w:tc>
        <w:tc>
          <w:tcPr>
            <w:tcW w:w="723" w:type="pct"/>
          </w:tcPr>
          <w:p w14:paraId="56C2A7A4" w14:textId="77777777" w:rsidR="003F26A5" w:rsidRPr="00367300" w:rsidRDefault="003F26A5" w:rsidP="00367300">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 xml:space="preserve">Снижение временных </w:t>
            </w:r>
          </w:p>
          <w:p w14:paraId="04A618A5" w14:textId="77777777" w:rsidR="003F26A5" w:rsidRPr="00891093" w:rsidRDefault="003F26A5" w:rsidP="00367300">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и финансовых издер</w:t>
            </w:r>
            <w:r w:rsidRPr="00891093">
              <w:rPr>
                <w:rFonts w:ascii="Times New Roman" w:hAnsi="Times New Roman" w:cs="Times New Roman"/>
                <w:sz w:val="24"/>
                <w:szCs w:val="24"/>
              </w:rPr>
              <w:t xml:space="preserve">жек предпринимателей при получении государственных </w:t>
            </w:r>
          </w:p>
          <w:p w14:paraId="730C3227"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и муниципальных услуг, связанных со сферой предпринимательской деятельности</w:t>
            </w:r>
          </w:p>
        </w:tc>
        <w:tc>
          <w:tcPr>
            <w:tcW w:w="337" w:type="pct"/>
          </w:tcPr>
          <w:p w14:paraId="35ECF58F" w14:textId="77777777" w:rsidR="003F26A5" w:rsidRPr="00AE06D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2020-2022 годы</w:t>
            </w:r>
          </w:p>
        </w:tc>
        <w:tc>
          <w:tcPr>
            <w:tcW w:w="463" w:type="pct"/>
          </w:tcPr>
          <w:p w14:paraId="5E953E4C" w14:textId="77777777" w:rsidR="003F26A5" w:rsidRPr="00FC74FE" w:rsidRDefault="003F26A5" w:rsidP="00891093">
            <w:pPr>
              <w:autoSpaceDE w:val="0"/>
              <w:autoSpaceDN w:val="0"/>
              <w:adjustRightInd w:val="0"/>
              <w:ind w:left="57" w:right="57"/>
              <w:contextualSpacing/>
              <w:rPr>
                <w:rFonts w:ascii="Times New Roman" w:hAnsi="Times New Roman" w:cs="Times New Roman"/>
                <w:sz w:val="24"/>
                <w:szCs w:val="24"/>
              </w:rPr>
            </w:pPr>
            <w:r w:rsidRPr="00FC74FE">
              <w:rPr>
                <w:rFonts w:ascii="Times New Roman" w:hAnsi="Times New Roman" w:cs="Times New Roman"/>
                <w:sz w:val="24"/>
                <w:szCs w:val="24"/>
              </w:rPr>
              <w:t>Минцифра НСО,</w:t>
            </w:r>
          </w:p>
          <w:p w14:paraId="1E83D12A" w14:textId="77777777" w:rsidR="003F26A5" w:rsidRPr="009B4FC0" w:rsidRDefault="003F26A5" w:rsidP="00891093">
            <w:pPr>
              <w:autoSpaceDE w:val="0"/>
              <w:autoSpaceDN w:val="0"/>
              <w:adjustRightInd w:val="0"/>
              <w:ind w:left="57" w:right="57"/>
              <w:contextualSpacing/>
              <w:rPr>
                <w:rFonts w:ascii="Times New Roman" w:hAnsi="Times New Roman" w:cs="Times New Roman"/>
                <w:sz w:val="24"/>
                <w:szCs w:val="24"/>
              </w:rPr>
            </w:pPr>
            <w:r w:rsidRPr="009B4FC0">
              <w:rPr>
                <w:rFonts w:ascii="Times New Roman" w:hAnsi="Times New Roman" w:cs="Times New Roman"/>
                <w:sz w:val="24"/>
                <w:szCs w:val="24"/>
              </w:rPr>
              <w:t>ОИОГВ НСО,</w:t>
            </w:r>
          </w:p>
          <w:p w14:paraId="41FBECC8" w14:textId="77777777" w:rsidR="003F26A5" w:rsidRPr="00367300" w:rsidRDefault="003F26A5" w:rsidP="00891093">
            <w:pPr>
              <w:autoSpaceDE w:val="0"/>
              <w:autoSpaceDN w:val="0"/>
              <w:adjustRightInd w:val="0"/>
              <w:ind w:left="57" w:right="57"/>
              <w:contextualSpacing/>
              <w:rPr>
                <w:rFonts w:ascii="Times New Roman" w:hAnsi="Times New Roman" w:cs="Times New Roman"/>
                <w:bCs/>
                <w:sz w:val="24"/>
                <w:szCs w:val="24"/>
              </w:rPr>
            </w:pPr>
            <w:r w:rsidRPr="00367300">
              <w:rPr>
                <w:rFonts w:ascii="Times New Roman" w:hAnsi="Times New Roman" w:cs="Times New Roman"/>
                <w:sz w:val="24"/>
                <w:szCs w:val="24"/>
              </w:rPr>
              <w:t>ОМСУ НСО</w:t>
            </w:r>
          </w:p>
        </w:tc>
        <w:tc>
          <w:tcPr>
            <w:tcW w:w="2031" w:type="pct"/>
          </w:tcPr>
          <w:p w14:paraId="78B79B28" w14:textId="77777777" w:rsidR="003F26A5" w:rsidRPr="00367300" w:rsidRDefault="003F26A5" w:rsidP="00AE06D3">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Срок реализации мероприятия - 2020-20220 годы.</w:t>
            </w:r>
          </w:p>
          <w:p w14:paraId="36C839F4" w14:textId="77777777" w:rsidR="003F26A5" w:rsidRPr="00367300" w:rsidRDefault="003F26A5" w:rsidP="00FC74FE">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Реализована возможность получения государственных и муниципальных услуг в электронном виде, что позволяет обеспечить возможность фактического сокращения сроков их оказания. </w:t>
            </w:r>
          </w:p>
          <w:p w14:paraId="3A641930" w14:textId="77777777" w:rsidR="003F26A5" w:rsidRPr="00367300" w:rsidRDefault="003F26A5" w:rsidP="009B4FC0">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В целях получения документов, находящихся в распоряжении органов власти, обеспечено межведомственное взаимодействие в электронном виде</w:t>
            </w:r>
          </w:p>
          <w:p w14:paraId="2D270E38"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Министерством строительства Новосибирской области осуществляется информирование строительного сообщества о возможности получения в электронной форме государственной услуги по выдаче разрешения на строительство объекта капитального строительства, а также государственной услуге по выдаче градостроительного плана земельного участка.</w:t>
            </w:r>
          </w:p>
          <w:p w14:paraId="4E5954A2"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В г. Бердске муниципальные услуги переведены в электронную форму. В 2019 году через </w:t>
            </w:r>
            <w:r w:rsidRPr="00367300">
              <w:rPr>
                <w:rFonts w:ascii="Times New Roman" w:hAnsi="Times New Roman" w:cs="Times New Roman"/>
                <w:sz w:val="24"/>
                <w:szCs w:val="24"/>
              </w:rPr>
              <w:lastRenderedPageBreak/>
              <w:t>специализированный офис для предпринимателей города Бердска «Мои Документы для бизнеса» предоставлено 8 299 государственных и муниципальных услуг для субъектов предпринимательства в режиме «одного окна».</w:t>
            </w:r>
          </w:p>
          <w:p w14:paraId="54109FF8" w14:textId="77777777" w:rsidR="003F26A5" w:rsidRPr="00367300" w:rsidRDefault="003F26A5">
            <w:pPr>
              <w:ind w:left="57" w:right="57" w:firstLine="329"/>
              <w:jc w:val="both"/>
              <w:rPr>
                <w:rFonts w:ascii="Times New Roman" w:hAnsi="Times New Roman" w:cs="Times New Roman"/>
                <w:sz w:val="24"/>
                <w:szCs w:val="24"/>
              </w:rPr>
            </w:pPr>
          </w:p>
        </w:tc>
      </w:tr>
      <w:tr w:rsidR="003F26A5" w:rsidRPr="00367300" w14:paraId="2103CE8C" w14:textId="77777777" w:rsidTr="003F26A5">
        <w:trPr>
          <w:gridAfter w:val="1"/>
          <w:wAfter w:w="3" w:type="pct"/>
        </w:trPr>
        <w:tc>
          <w:tcPr>
            <w:tcW w:w="335" w:type="pct"/>
          </w:tcPr>
          <w:p w14:paraId="523779BC"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4.3</w:t>
            </w:r>
          </w:p>
        </w:tc>
        <w:tc>
          <w:tcPr>
            <w:tcW w:w="1108" w:type="pct"/>
          </w:tcPr>
          <w:p w14:paraId="3545FE49" w14:textId="77777777" w:rsidR="003F26A5" w:rsidRPr="00367300" w:rsidRDefault="003F26A5" w:rsidP="00367300">
            <w:pPr>
              <w:autoSpaceDE w:val="0"/>
              <w:autoSpaceDN w:val="0"/>
              <w:adjustRightInd w:val="0"/>
              <w:ind w:left="57" w:right="57"/>
              <w:jc w:val="both"/>
              <w:rPr>
                <w:rFonts w:ascii="Times New Roman" w:hAnsi="Times New Roman" w:cs="Times New Roman"/>
                <w:bCs/>
                <w:sz w:val="24"/>
                <w:szCs w:val="24"/>
              </w:rPr>
            </w:pPr>
            <w:r w:rsidRPr="00367300">
              <w:rPr>
                <w:rFonts w:ascii="Times New Roman" w:hAnsi="Times New Roman" w:cs="Times New Roman"/>
                <w:sz w:val="24"/>
                <w:szCs w:val="24"/>
              </w:rPr>
              <w:t>Оптимизация процесса предоставления государственных услуг, относящихся к полномочиям Новосибирской области, а также муниципальных услуг для субъектов предпринимательской деятельности, в том числе путем сокращения сроков их оказания, количества необходимых документов и снижения стоимости предоставления таких услуг</w:t>
            </w:r>
          </w:p>
        </w:tc>
        <w:tc>
          <w:tcPr>
            <w:tcW w:w="723" w:type="pct"/>
          </w:tcPr>
          <w:p w14:paraId="5938F9F4" w14:textId="77777777" w:rsidR="003F26A5" w:rsidRPr="00891093" w:rsidRDefault="003F26A5" w:rsidP="00367300">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Повышение качества и доступности предоставления государственны</w:t>
            </w:r>
            <w:r w:rsidRPr="00891093">
              <w:rPr>
                <w:rFonts w:ascii="Times New Roman" w:hAnsi="Times New Roman" w:cs="Times New Roman"/>
                <w:sz w:val="24"/>
                <w:szCs w:val="24"/>
              </w:rPr>
              <w:t xml:space="preserve">х услуг, относящихся к полномочиям Новосибирской области, </w:t>
            </w:r>
          </w:p>
          <w:p w14:paraId="79D9F1C2" w14:textId="77777777" w:rsidR="003F26A5" w:rsidRPr="00891093" w:rsidRDefault="003F26A5" w:rsidP="00367300">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а также муниципальных услуг для субъектов предпринимательской деятельности</w:t>
            </w:r>
          </w:p>
        </w:tc>
        <w:tc>
          <w:tcPr>
            <w:tcW w:w="337" w:type="pct"/>
          </w:tcPr>
          <w:p w14:paraId="391CA3CD" w14:textId="77777777" w:rsidR="003F26A5" w:rsidRPr="00AE06D3" w:rsidRDefault="003F26A5" w:rsidP="00367300">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Ежегодно</w:t>
            </w:r>
          </w:p>
        </w:tc>
        <w:tc>
          <w:tcPr>
            <w:tcW w:w="463" w:type="pct"/>
          </w:tcPr>
          <w:p w14:paraId="1AC4C0EC" w14:textId="77777777" w:rsidR="003F26A5" w:rsidRPr="00FC74FE" w:rsidRDefault="003F26A5" w:rsidP="00891093">
            <w:pPr>
              <w:autoSpaceDE w:val="0"/>
              <w:autoSpaceDN w:val="0"/>
              <w:adjustRightInd w:val="0"/>
              <w:ind w:left="57" w:right="57"/>
              <w:rPr>
                <w:rFonts w:ascii="Times New Roman" w:hAnsi="Times New Roman" w:cs="Times New Roman"/>
                <w:sz w:val="24"/>
                <w:szCs w:val="24"/>
              </w:rPr>
            </w:pPr>
            <w:r w:rsidRPr="00FC74FE">
              <w:rPr>
                <w:rFonts w:ascii="Times New Roman" w:hAnsi="Times New Roman" w:cs="Times New Roman"/>
                <w:sz w:val="24"/>
                <w:szCs w:val="24"/>
              </w:rPr>
              <w:t xml:space="preserve">ОИОГВ НСО, </w:t>
            </w:r>
          </w:p>
          <w:p w14:paraId="0929E239" w14:textId="77777777" w:rsidR="003F26A5" w:rsidRPr="00367300" w:rsidRDefault="003F26A5" w:rsidP="00891093">
            <w:pPr>
              <w:ind w:left="57" w:right="57"/>
              <w:contextualSpacing/>
              <w:rPr>
                <w:rFonts w:ascii="Times New Roman" w:hAnsi="Times New Roman" w:cs="Times New Roman"/>
                <w:bCs/>
                <w:sz w:val="24"/>
                <w:szCs w:val="24"/>
              </w:rPr>
            </w:pPr>
            <w:r w:rsidRPr="009B4FC0">
              <w:rPr>
                <w:rFonts w:ascii="Times New Roman" w:hAnsi="Times New Roman" w:cs="Times New Roman"/>
                <w:sz w:val="24"/>
                <w:szCs w:val="24"/>
              </w:rPr>
              <w:t>ОМСУ НСО</w:t>
            </w:r>
          </w:p>
        </w:tc>
        <w:tc>
          <w:tcPr>
            <w:tcW w:w="2031" w:type="pct"/>
          </w:tcPr>
          <w:p w14:paraId="26D858EF" w14:textId="77777777" w:rsidR="003F26A5" w:rsidRPr="00367300" w:rsidRDefault="003F26A5" w:rsidP="00891093">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На основе принципа открытости прохождения процедур на официальном сайте министерства строительства Новосибирской области размещены сведения, представленные на интерактивной карте доступные для широкого и открытого использования для всех представителей профессионального сообщества и участников строительного рынка Новосибирской области. </w:t>
            </w:r>
          </w:p>
          <w:p w14:paraId="54D89374" w14:textId="77777777" w:rsidR="003F26A5" w:rsidRPr="00367300" w:rsidRDefault="003F26A5" w:rsidP="00891093">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Размещена информация, посвященная вопросам градостроительной деятельности на территории Новосибирской области, а также калькулятор процедур в сфере строительства.</w:t>
            </w:r>
          </w:p>
          <w:p w14:paraId="139D9FB0" w14:textId="77777777" w:rsidR="003F26A5" w:rsidRPr="00367300" w:rsidRDefault="003F26A5" w:rsidP="00891093">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Во всех муниципальных районах и городских округах Новосибирской области проведена работа по оптимизации процесса предоставления муниципальных услуг для субъектов предпринимательской деятельности, в том числе путем сокращения сроков их оказания, количества необходимых документов и снижения стоимости предоставления таких услуг. Актуализированные административные регламенты предоставления муниципальных услуг размещены на официальных сайтах муниципальных образований.</w:t>
            </w:r>
          </w:p>
        </w:tc>
      </w:tr>
      <w:tr w:rsidR="003F26A5" w:rsidRPr="00367300" w14:paraId="0B5F745D" w14:textId="77777777" w:rsidTr="003F26A5">
        <w:trPr>
          <w:gridAfter w:val="1"/>
          <w:wAfter w:w="3" w:type="pct"/>
        </w:trPr>
        <w:tc>
          <w:tcPr>
            <w:tcW w:w="335" w:type="pct"/>
          </w:tcPr>
          <w:p w14:paraId="2A179FC3"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4.4</w:t>
            </w:r>
          </w:p>
        </w:tc>
        <w:tc>
          <w:tcPr>
            <w:tcW w:w="1108" w:type="pct"/>
          </w:tcPr>
          <w:p w14:paraId="6758B994"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Организация предоставления государственных, муниципальных и дополнительных (сопутствующих) услуг </w:t>
            </w:r>
            <w:r w:rsidRPr="00367300">
              <w:rPr>
                <w:rFonts w:ascii="Times New Roman" w:hAnsi="Times New Roman" w:cs="Times New Roman"/>
                <w:sz w:val="24"/>
                <w:szCs w:val="24"/>
              </w:rPr>
              <w:lastRenderedPageBreak/>
              <w:t xml:space="preserve">субъектам предпринимательства </w:t>
            </w:r>
          </w:p>
          <w:p w14:paraId="51D45661" w14:textId="77777777" w:rsidR="003F26A5" w:rsidRPr="00891093"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в специализированных офисах ГАУ НСО </w:t>
            </w:r>
            <w:r w:rsidRPr="00367300">
              <w:rPr>
                <w:rFonts w:ascii="Times New Roman" w:hAnsi="Times New Roman" w:cs="Times New Roman"/>
                <w:bCs/>
                <w:sz w:val="24"/>
                <w:szCs w:val="24"/>
              </w:rPr>
              <w:t>«МФЦ»</w:t>
            </w:r>
            <w:r w:rsidRPr="00891093">
              <w:rPr>
                <w:rFonts w:ascii="Times New Roman" w:hAnsi="Times New Roman" w:cs="Times New Roman"/>
                <w:sz w:val="24"/>
                <w:szCs w:val="24"/>
              </w:rPr>
              <w:t xml:space="preserve"> </w:t>
            </w:r>
          </w:p>
          <w:p w14:paraId="5A02AB7E" w14:textId="77777777" w:rsidR="003F26A5" w:rsidRPr="00891093" w:rsidRDefault="003F26A5" w:rsidP="00367300">
            <w:pPr>
              <w:autoSpaceDE w:val="0"/>
              <w:autoSpaceDN w:val="0"/>
              <w:adjustRightInd w:val="0"/>
              <w:ind w:left="57" w:right="57"/>
              <w:jc w:val="both"/>
              <w:rPr>
                <w:rFonts w:ascii="Times New Roman" w:hAnsi="Times New Roman" w:cs="Times New Roman"/>
                <w:sz w:val="24"/>
                <w:szCs w:val="24"/>
              </w:rPr>
            </w:pPr>
            <w:r w:rsidRPr="00891093">
              <w:rPr>
                <w:rFonts w:ascii="Times New Roman" w:hAnsi="Times New Roman" w:cs="Times New Roman"/>
                <w:sz w:val="24"/>
                <w:szCs w:val="24"/>
              </w:rPr>
              <w:t>(«МФЦ для бизнеса»)</w:t>
            </w:r>
          </w:p>
        </w:tc>
        <w:tc>
          <w:tcPr>
            <w:tcW w:w="723" w:type="pct"/>
          </w:tcPr>
          <w:p w14:paraId="3379DBF6" w14:textId="77777777" w:rsidR="003F26A5" w:rsidRPr="00891093" w:rsidRDefault="003F26A5" w:rsidP="00367300">
            <w:pPr>
              <w:ind w:left="57" w:right="57"/>
              <w:contextualSpacing/>
              <w:rPr>
                <w:rFonts w:ascii="Times New Roman" w:hAnsi="Times New Roman" w:cs="Times New Roman"/>
                <w:sz w:val="24"/>
                <w:szCs w:val="24"/>
              </w:rPr>
            </w:pPr>
            <w:r w:rsidRPr="00891093">
              <w:rPr>
                <w:rFonts w:ascii="Times New Roman" w:hAnsi="Times New Roman" w:cs="Times New Roman"/>
                <w:sz w:val="24"/>
                <w:szCs w:val="24"/>
              </w:rPr>
              <w:lastRenderedPageBreak/>
              <w:t xml:space="preserve">Содействие обеспечению свободного и равного доступа представителей </w:t>
            </w:r>
            <w:r w:rsidRPr="00891093">
              <w:rPr>
                <w:rFonts w:ascii="Times New Roman" w:hAnsi="Times New Roman" w:cs="Times New Roman"/>
                <w:sz w:val="24"/>
                <w:szCs w:val="24"/>
              </w:rPr>
              <w:lastRenderedPageBreak/>
              <w:t>бизнес-сообщества ко всем ресурсам и преференциям государства, повышение качества взаимодействия бизнеса и государства путем внедрения новых услуг и сервисов</w:t>
            </w:r>
          </w:p>
        </w:tc>
        <w:tc>
          <w:tcPr>
            <w:tcW w:w="337" w:type="pct"/>
          </w:tcPr>
          <w:p w14:paraId="64F84861" w14:textId="77777777" w:rsidR="003F26A5" w:rsidRPr="00891093" w:rsidRDefault="003F26A5" w:rsidP="00891093">
            <w:pPr>
              <w:ind w:left="57" w:right="57"/>
              <w:contextualSpacing/>
              <w:rPr>
                <w:rFonts w:ascii="Times New Roman" w:hAnsi="Times New Roman" w:cs="Times New Roman"/>
                <w:sz w:val="24"/>
                <w:szCs w:val="24"/>
              </w:rPr>
            </w:pPr>
            <w:r w:rsidRPr="00891093">
              <w:rPr>
                <w:rFonts w:ascii="Times New Roman" w:hAnsi="Times New Roman" w:cs="Times New Roman"/>
                <w:sz w:val="24"/>
                <w:szCs w:val="24"/>
              </w:rPr>
              <w:lastRenderedPageBreak/>
              <w:t>Постоянно</w:t>
            </w:r>
          </w:p>
        </w:tc>
        <w:tc>
          <w:tcPr>
            <w:tcW w:w="463" w:type="pct"/>
          </w:tcPr>
          <w:p w14:paraId="23FD8D2D" w14:textId="77777777" w:rsidR="003F26A5" w:rsidRPr="00891093" w:rsidRDefault="003F26A5" w:rsidP="00891093">
            <w:pPr>
              <w:autoSpaceDE w:val="0"/>
              <w:autoSpaceDN w:val="0"/>
              <w:adjustRightInd w:val="0"/>
              <w:ind w:left="57" w:right="57"/>
              <w:contextualSpacing/>
              <w:rPr>
                <w:rFonts w:ascii="Times New Roman" w:hAnsi="Times New Roman" w:cs="Times New Roman"/>
                <w:sz w:val="24"/>
                <w:szCs w:val="24"/>
              </w:rPr>
            </w:pPr>
            <w:r w:rsidRPr="00891093">
              <w:rPr>
                <w:rFonts w:ascii="Times New Roman" w:hAnsi="Times New Roman" w:cs="Times New Roman"/>
                <w:sz w:val="24"/>
                <w:szCs w:val="24"/>
              </w:rPr>
              <w:t>Минэкономразвития НСО,</w:t>
            </w:r>
          </w:p>
          <w:p w14:paraId="511DCC51" w14:textId="77777777" w:rsidR="003F26A5" w:rsidRPr="00AE06D3" w:rsidRDefault="003F26A5" w:rsidP="00891093">
            <w:pPr>
              <w:autoSpaceDE w:val="0"/>
              <w:autoSpaceDN w:val="0"/>
              <w:adjustRightInd w:val="0"/>
              <w:ind w:left="57" w:right="57"/>
              <w:contextualSpacing/>
              <w:rPr>
                <w:rFonts w:ascii="Times New Roman" w:hAnsi="Times New Roman" w:cs="Times New Roman"/>
                <w:sz w:val="24"/>
                <w:szCs w:val="24"/>
              </w:rPr>
            </w:pPr>
            <w:r w:rsidRPr="00AE06D3">
              <w:rPr>
                <w:rFonts w:ascii="Times New Roman" w:hAnsi="Times New Roman" w:cs="Times New Roman"/>
                <w:sz w:val="24"/>
                <w:szCs w:val="24"/>
              </w:rPr>
              <w:t>ГАУ НСО «МФЦ»</w:t>
            </w:r>
          </w:p>
        </w:tc>
        <w:tc>
          <w:tcPr>
            <w:tcW w:w="2031" w:type="pct"/>
          </w:tcPr>
          <w:p w14:paraId="7F341883" w14:textId="77777777" w:rsidR="003F26A5" w:rsidRPr="00FC74FE" w:rsidRDefault="003F26A5" w:rsidP="00891093">
            <w:pPr>
              <w:ind w:left="57" w:right="57" w:firstLine="329"/>
              <w:jc w:val="both"/>
              <w:rPr>
                <w:rFonts w:ascii="Times New Roman" w:hAnsi="Times New Roman" w:cs="Times New Roman"/>
                <w:sz w:val="24"/>
                <w:szCs w:val="24"/>
              </w:rPr>
            </w:pPr>
            <w:r w:rsidRPr="00FC74FE">
              <w:rPr>
                <w:rFonts w:ascii="Times New Roman" w:hAnsi="Times New Roman" w:cs="Times New Roman"/>
                <w:sz w:val="24"/>
                <w:szCs w:val="24"/>
              </w:rPr>
              <w:t xml:space="preserve">В 19 специализированных окнах на территории НСО юридические лица без ожидания в очереди могут получить 193 государственных, муниципальных, а также услуг организаций, образующих инфраструктуру поддержки МСП. </w:t>
            </w:r>
          </w:p>
          <w:p w14:paraId="0C9D58AC" w14:textId="77777777" w:rsidR="003F26A5" w:rsidRPr="00367300" w:rsidRDefault="003F26A5" w:rsidP="00891093">
            <w:pPr>
              <w:ind w:left="57" w:right="57" w:firstLine="329"/>
              <w:jc w:val="both"/>
              <w:rPr>
                <w:rFonts w:ascii="Times New Roman" w:hAnsi="Times New Roman" w:cs="Times New Roman"/>
                <w:sz w:val="24"/>
                <w:szCs w:val="24"/>
              </w:rPr>
            </w:pPr>
            <w:r w:rsidRPr="009B4FC0">
              <w:rPr>
                <w:rFonts w:ascii="Times New Roman" w:hAnsi="Times New Roman" w:cs="Times New Roman"/>
                <w:sz w:val="24"/>
                <w:szCs w:val="24"/>
              </w:rPr>
              <w:lastRenderedPageBreak/>
              <w:t>За 2019 год</w:t>
            </w:r>
            <w:r w:rsidRPr="00367300">
              <w:rPr>
                <w:rFonts w:ascii="Times New Roman" w:hAnsi="Times New Roman" w:cs="Times New Roman"/>
                <w:sz w:val="24"/>
                <w:szCs w:val="24"/>
              </w:rPr>
              <w:t xml:space="preserve"> в специализированные окна обратились 33 363 субъектов предпринимательства.</w:t>
            </w:r>
          </w:p>
        </w:tc>
      </w:tr>
      <w:tr w:rsidR="003F26A5" w:rsidRPr="00367300" w14:paraId="03DE3AB9" w14:textId="77777777" w:rsidTr="003F26A5">
        <w:trPr>
          <w:gridAfter w:val="1"/>
          <w:wAfter w:w="3" w:type="pct"/>
        </w:trPr>
        <w:tc>
          <w:tcPr>
            <w:tcW w:w="335" w:type="pct"/>
          </w:tcPr>
          <w:p w14:paraId="67FFB7E6"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4.5</w:t>
            </w:r>
          </w:p>
        </w:tc>
        <w:tc>
          <w:tcPr>
            <w:tcW w:w="1108" w:type="pct"/>
          </w:tcPr>
          <w:p w14:paraId="583EE186"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Включение в порядки проведения оценки регулирующего воздействия проектов нормативных правовых актов муниципальных образований Новосибирской области и экспертизы нормативных правовых актов муниципальных образований Новосибирской области, устанавливаемые </w:t>
            </w:r>
          </w:p>
          <w:p w14:paraId="7F5EABE4"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в соответствии с Федеральным </w:t>
            </w:r>
            <w:hyperlink r:id="rId105" w:history="1">
              <w:r w:rsidRPr="00367300">
                <w:rPr>
                  <w:rFonts w:ascii="Times New Roman" w:hAnsi="Times New Roman" w:cs="Times New Roman"/>
                  <w:sz w:val="24"/>
                  <w:szCs w:val="24"/>
                </w:rPr>
                <w:t>законом</w:t>
              </w:r>
            </w:hyperlink>
            <w:r w:rsidRPr="00367300">
              <w:rPr>
                <w:rFonts w:ascii="Times New Roman" w:hAnsi="Times New Roman" w:cs="Times New Roman"/>
                <w:sz w:val="24"/>
                <w:szCs w:val="24"/>
              </w:rPr>
              <w:t xml:space="preserve"> от 06.10.2003 № 131-ФЗ «Об общих принципах организации местного самоуправления </w:t>
            </w:r>
          </w:p>
          <w:p w14:paraId="6DF53E57"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в Российской Федерации», пунктов, предусматривающих анализ воздействия таких актов </w:t>
            </w:r>
          </w:p>
          <w:p w14:paraId="74657AD3" w14:textId="77777777" w:rsidR="003F26A5" w:rsidRPr="00367300" w:rsidRDefault="003F26A5" w:rsidP="00367300">
            <w:pPr>
              <w:autoSpaceDE w:val="0"/>
              <w:autoSpaceDN w:val="0"/>
              <w:adjustRightInd w:val="0"/>
              <w:ind w:left="57" w:right="57"/>
              <w:jc w:val="both"/>
              <w:rPr>
                <w:rFonts w:ascii="Times New Roman" w:hAnsi="Times New Roman" w:cs="Times New Roman"/>
                <w:bCs/>
                <w:sz w:val="24"/>
                <w:szCs w:val="24"/>
              </w:rPr>
            </w:pPr>
            <w:r w:rsidRPr="00367300">
              <w:rPr>
                <w:rFonts w:ascii="Times New Roman" w:hAnsi="Times New Roman" w:cs="Times New Roman"/>
                <w:sz w:val="24"/>
                <w:szCs w:val="24"/>
              </w:rPr>
              <w:t>на состояние конкуренции</w:t>
            </w:r>
          </w:p>
        </w:tc>
        <w:tc>
          <w:tcPr>
            <w:tcW w:w="723" w:type="pct"/>
          </w:tcPr>
          <w:p w14:paraId="7425EE28" w14:textId="77777777" w:rsidR="003F26A5" w:rsidRPr="00891093" w:rsidRDefault="003F26A5" w:rsidP="00367300">
            <w:pPr>
              <w:autoSpaceDE w:val="0"/>
              <w:autoSpaceDN w:val="0"/>
              <w:adjustRightInd w:val="0"/>
              <w:ind w:left="57" w:right="57"/>
              <w:rPr>
                <w:rFonts w:ascii="Times New Roman" w:hAnsi="Times New Roman" w:cs="Times New Roman"/>
                <w:sz w:val="24"/>
                <w:szCs w:val="24"/>
              </w:rPr>
            </w:pPr>
            <w:r w:rsidRPr="00367300">
              <w:rPr>
                <w:rFonts w:ascii="Times New Roman" w:hAnsi="Times New Roman" w:cs="Times New Roman"/>
                <w:sz w:val="24"/>
                <w:szCs w:val="24"/>
              </w:rPr>
              <w:t>Исключение негативного влияния нормати</w:t>
            </w:r>
            <w:r w:rsidRPr="00891093">
              <w:rPr>
                <w:rFonts w:ascii="Times New Roman" w:hAnsi="Times New Roman" w:cs="Times New Roman"/>
                <w:sz w:val="24"/>
                <w:szCs w:val="24"/>
              </w:rPr>
              <w:t>вных правовых актов на развитие конкуренции на территории Новосибирской области</w:t>
            </w:r>
          </w:p>
        </w:tc>
        <w:tc>
          <w:tcPr>
            <w:tcW w:w="337" w:type="pct"/>
          </w:tcPr>
          <w:p w14:paraId="6E2E57F5"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2020 год</w:t>
            </w:r>
          </w:p>
        </w:tc>
        <w:tc>
          <w:tcPr>
            <w:tcW w:w="463" w:type="pct"/>
          </w:tcPr>
          <w:p w14:paraId="02F153B5" w14:textId="77777777" w:rsidR="003F26A5" w:rsidRPr="00891093" w:rsidRDefault="003F26A5" w:rsidP="00891093">
            <w:pPr>
              <w:autoSpaceDE w:val="0"/>
              <w:autoSpaceDN w:val="0"/>
              <w:adjustRightInd w:val="0"/>
              <w:ind w:left="57" w:right="57"/>
              <w:contextualSpacing/>
              <w:rPr>
                <w:rFonts w:ascii="Times New Roman" w:hAnsi="Times New Roman" w:cs="Times New Roman"/>
                <w:sz w:val="24"/>
                <w:szCs w:val="24"/>
              </w:rPr>
            </w:pPr>
            <w:r w:rsidRPr="00891093">
              <w:rPr>
                <w:rFonts w:ascii="Times New Roman" w:hAnsi="Times New Roman" w:cs="Times New Roman"/>
                <w:sz w:val="24"/>
                <w:szCs w:val="24"/>
              </w:rPr>
              <w:t>ОМСУ НСО,</w:t>
            </w:r>
          </w:p>
          <w:p w14:paraId="7F250A69" w14:textId="77777777" w:rsidR="003F26A5" w:rsidRPr="00FC74FE" w:rsidRDefault="003F26A5" w:rsidP="00891093">
            <w:pPr>
              <w:autoSpaceDE w:val="0"/>
              <w:autoSpaceDN w:val="0"/>
              <w:adjustRightInd w:val="0"/>
              <w:ind w:left="57" w:right="57"/>
              <w:contextualSpacing/>
              <w:rPr>
                <w:rFonts w:ascii="Times New Roman" w:hAnsi="Times New Roman" w:cs="Times New Roman"/>
                <w:bCs/>
                <w:sz w:val="24"/>
                <w:szCs w:val="24"/>
              </w:rPr>
            </w:pPr>
            <w:r w:rsidRPr="00AE06D3">
              <w:rPr>
                <w:rFonts w:ascii="Times New Roman" w:hAnsi="Times New Roman" w:cs="Times New Roman"/>
                <w:sz w:val="24"/>
                <w:szCs w:val="24"/>
              </w:rPr>
              <w:t>Минэкономразвития НСО</w:t>
            </w:r>
          </w:p>
        </w:tc>
        <w:tc>
          <w:tcPr>
            <w:tcW w:w="2031" w:type="pct"/>
          </w:tcPr>
          <w:p w14:paraId="4B0D5F2C" w14:textId="77777777" w:rsidR="003F26A5" w:rsidRPr="009B4FC0" w:rsidRDefault="003F26A5" w:rsidP="00891093">
            <w:pPr>
              <w:ind w:left="57" w:right="57" w:firstLine="329"/>
              <w:jc w:val="both"/>
              <w:rPr>
                <w:rFonts w:ascii="Times New Roman" w:hAnsi="Times New Roman" w:cs="Times New Roman"/>
                <w:sz w:val="24"/>
                <w:szCs w:val="24"/>
              </w:rPr>
            </w:pPr>
            <w:r w:rsidRPr="009B4FC0">
              <w:rPr>
                <w:rFonts w:ascii="Times New Roman" w:hAnsi="Times New Roman" w:cs="Times New Roman"/>
                <w:sz w:val="24"/>
                <w:szCs w:val="24"/>
              </w:rPr>
              <w:t>Срок реализации – мероприятия – 2020 год.</w:t>
            </w:r>
          </w:p>
          <w:p w14:paraId="5B0903A8" w14:textId="77777777" w:rsidR="003F26A5" w:rsidRPr="00367300" w:rsidRDefault="003F26A5" w:rsidP="00891093">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По состоянию на 01.01.2020 требование о включении в Порядки проведения оценки регулирующего воздействия проектов НПА МО НСО (далее – Порядок проведения ОРВ) и Порядки проведения экспертизы НПА МО НСО (далее – Порядок проведения экспертизы) пунктов, предусматривающих анализ воздействия нормативных правовых актов (проектов актов) на состояние конкуренции, не исполнено из 35 муниципальных образованиях в 18. Из них в 5 МО НСО требование не выполнено частично: пункты, касающиеся анализа состояния конкуренции, отсутствуют только в Порядке проведения ОРВ или в Порядке проведения экспертизы. Информация о необходимости выполнения требования доведена до МО НСО (письмо № 329-17/8 от 13.02.2020).</w:t>
            </w:r>
          </w:p>
        </w:tc>
      </w:tr>
      <w:tr w:rsidR="003F26A5" w:rsidRPr="00367300" w14:paraId="59D123D2" w14:textId="77777777" w:rsidTr="003F26A5">
        <w:trPr>
          <w:gridAfter w:val="1"/>
          <w:wAfter w:w="3" w:type="pct"/>
        </w:trPr>
        <w:tc>
          <w:tcPr>
            <w:tcW w:w="335" w:type="pct"/>
          </w:tcPr>
          <w:p w14:paraId="7F7F73E4"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4.6</w:t>
            </w:r>
          </w:p>
        </w:tc>
        <w:tc>
          <w:tcPr>
            <w:tcW w:w="1108" w:type="pct"/>
          </w:tcPr>
          <w:p w14:paraId="578DE3DE"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Проведение мероприятий </w:t>
            </w:r>
          </w:p>
          <w:p w14:paraId="796BA72B"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по информированию бизнес-сообществ об институте оценки регулирующего воздействия, </w:t>
            </w:r>
          </w:p>
          <w:p w14:paraId="31F90F90"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о проводимых публичных консультациях, подготовленных заключениях, достигнутых результатах </w:t>
            </w:r>
          </w:p>
        </w:tc>
        <w:tc>
          <w:tcPr>
            <w:tcW w:w="723" w:type="pct"/>
          </w:tcPr>
          <w:p w14:paraId="3AD6D35E" w14:textId="77777777" w:rsidR="003F26A5" w:rsidRPr="00891093" w:rsidRDefault="003F26A5" w:rsidP="00367300">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 xml:space="preserve">Повышение информированности предпринимателей </w:t>
            </w:r>
          </w:p>
          <w:p w14:paraId="5E777EA2"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 xml:space="preserve">об институте оценки регулирующего воздействия, вовлеченности бизнеса </w:t>
            </w:r>
          </w:p>
          <w:p w14:paraId="2942039D"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в процесс нормотворчества</w:t>
            </w:r>
          </w:p>
        </w:tc>
        <w:tc>
          <w:tcPr>
            <w:tcW w:w="337" w:type="pct"/>
          </w:tcPr>
          <w:p w14:paraId="6491740D" w14:textId="77777777" w:rsidR="003F26A5" w:rsidRPr="00891093" w:rsidRDefault="003F26A5" w:rsidP="00891093">
            <w:pPr>
              <w:ind w:left="57" w:right="57"/>
              <w:contextualSpacing/>
              <w:rPr>
                <w:rFonts w:ascii="Times New Roman" w:hAnsi="Times New Roman" w:cs="Times New Roman"/>
                <w:sz w:val="24"/>
                <w:szCs w:val="24"/>
              </w:rPr>
            </w:pPr>
            <w:r w:rsidRPr="00891093">
              <w:rPr>
                <w:rFonts w:ascii="Times New Roman" w:hAnsi="Times New Roman" w:cs="Times New Roman"/>
                <w:sz w:val="24"/>
                <w:szCs w:val="24"/>
              </w:rPr>
              <w:t>Постоянно</w:t>
            </w:r>
          </w:p>
        </w:tc>
        <w:tc>
          <w:tcPr>
            <w:tcW w:w="463" w:type="pct"/>
          </w:tcPr>
          <w:p w14:paraId="3B1E04A5" w14:textId="77777777" w:rsidR="003F26A5" w:rsidRPr="00891093" w:rsidRDefault="003F26A5" w:rsidP="00891093">
            <w:pPr>
              <w:autoSpaceDE w:val="0"/>
              <w:autoSpaceDN w:val="0"/>
              <w:adjustRightInd w:val="0"/>
              <w:ind w:left="57" w:right="57"/>
              <w:contextualSpacing/>
              <w:rPr>
                <w:rFonts w:ascii="Times New Roman" w:hAnsi="Times New Roman" w:cs="Times New Roman"/>
                <w:sz w:val="24"/>
                <w:szCs w:val="24"/>
              </w:rPr>
            </w:pPr>
            <w:r w:rsidRPr="00891093">
              <w:rPr>
                <w:rFonts w:ascii="Times New Roman" w:hAnsi="Times New Roman" w:cs="Times New Roman"/>
                <w:sz w:val="24"/>
                <w:szCs w:val="24"/>
              </w:rPr>
              <w:t>Минэкономразвития НСО,</w:t>
            </w:r>
          </w:p>
          <w:p w14:paraId="09A4F354" w14:textId="77777777" w:rsidR="003F26A5" w:rsidRPr="00891093" w:rsidRDefault="003F26A5" w:rsidP="00891093">
            <w:pPr>
              <w:autoSpaceDE w:val="0"/>
              <w:autoSpaceDN w:val="0"/>
              <w:adjustRightInd w:val="0"/>
              <w:ind w:left="57" w:right="57"/>
              <w:contextualSpacing/>
              <w:rPr>
                <w:rFonts w:ascii="Times New Roman" w:hAnsi="Times New Roman" w:cs="Times New Roman"/>
                <w:sz w:val="24"/>
                <w:szCs w:val="24"/>
              </w:rPr>
            </w:pPr>
            <w:r w:rsidRPr="00891093">
              <w:rPr>
                <w:rFonts w:ascii="Times New Roman" w:hAnsi="Times New Roman" w:cs="Times New Roman"/>
                <w:sz w:val="24"/>
                <w:szCs w:val="24"/>
              </w:rPr>
              <w:t>ОИОГВ НСО,</w:t>
            </w:r>
          </w:p>
          <w:p w14:paraId="181798A3" w14:textId="77777777" w:rsidR="003F26A5" w:rsidRPr="00AE06D3" w:rsidRDefault="003F26A5" w:rsidP="00AE06D3">
            <w:pPr>
              <w:autoSpaceDE w:val="0"/>
              <w:autoSpaceDN w:val="0"/>
              <w:adjustRightInd w:val="0"/>
              <w:ind w:left="57" w:right="57"/>
              <w:contextualSpacing/>
              <w:rPr>
                <w:rFonts w:ascii="Times New Roman" w:hAnsi="Times New Roman" w:cs="Times New Roman"/>
                <w:sz w:val="24"/>
                <w:szCs w:val="24"/>
              </w:rPr>
            </w:pPr>
            <w:r w:rsidRPr="00AE06D3">
              <w:rPr>
                <w:rFonts w:ascii="Times New Roman" w:hAnsi="Times New Roman" w:cs="Times New Roman"/>
                <w:sz w:val="24"/>
                <w:szCs w:val="24"/>
              </w:rPr>
              <w:t>ОМСУ НСО</w:t>
            </w:r>
          </w:p>
        </w:tc>
        <w:tc>
          <w:tcPr>
            <w:tcW w:w="2031" w:type="pct"/>
          </w:tcPr>
          <w:p w14:paraId="5C4764C1" w14:textId="77777777" w:rsidR="003F26A5" w:rsidRPr="009B4FC0" w:rsidRDefault="003F26A5" w:rsidP="00FC74FE">
            <w:pPr>
              <w:ind w:left="57" w:right="57" w:firstLine="329"/>
              <w:jc w:val="both"/>
              <w:rPr>
                <w:rFonts w:ascii="Times New Roman" w:hAnsi="Times New Roman" w:cs="Times New Roman"/>
                <w:sz w:val="24"/>
                <w:szCs w:val="24"/>
              </w:rPr>
            </w:pPr>
            <w:r w:rsidRPr="00FC74FE">
              <w:rPr>
                <w:rFonts w:ascii="Times New Roman" w:hAnsi="Times New Roman" w:cs="Times New Roman"/>
                <w:sz w:val="24"/>
                <w:szCs w:val="24"/>
              </w:rPr>
              <w:t xml:space="preserve">В Новосибирской области функционирует ГИС «Электронная демократия Новосибирской области», которая является единой площадкой (для ОИОГВ и ОМСУ НСО) для проведения публичных консультаций по проектам НПА НСО, в отношении которых проводится процедура ОРВ, НПА, в отношении которых проводится процедура экспертизы </w:t>
            </w:r>
            <w:r w:rsidRPr="009B4FC0">
              <w:rPr>
                <w:rFonts w:ascii="Times New Roman" w:hAnsi="Times New Roman" w:cs="Times New Roman"/>
                <w:sz w:val="24"/>
                <w:szCs w:val="24"/>
              </w:rPr>
              <w:t>(в соответствии с постановлением Правительства НСО №275-п), оценки фактического воздействия. Кроме того, министерство экономического развития Новосибирской области информацию об ОРВ размещает:</w:t>
            </w:r>
          </w:p>
          <w:p w14:paraId="39F11B27" w14:textId="77777777" w:rsidR="003F26A5" w:rsidRPr="00367300" w:rsidRDefault="003F26A5" w:rsidP="009B4FC0">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на официальном сайте Губернатора Новосибирской области и Правительства Новосибирской области по адресу </w:t>
            </w:r>
            <w:hyperlink r:id="rId106" w:history="1">
              <w:r w:rsidRPr="00E77388">
                <w:rPr>
                  <w:rFonts w:ascii="Times New Roman" w:hAnsi="Times New Roman" w:cs="Times New Roman"/>
                  <w:sz w:val="24"/>
                  <w:szCs w:val="24"/>
                </w:rPr>
                <w:t>http://www.nso.ru/page/2486</w:t>
              </w:r>
            </w:hyperlink>
            <w:r w:rsidRPr="00367300">
              <w:rPr>
                <w:rFonts w:ascii="Times New Roman" w:hAnsi="Times New Roman" w:cs="Times New Roman"/>
                <w:sz w:val="24"/>
                <w:szCs w:val="24"/>
              </w:rPr>
              <w:t>;</w:t>
            </w:r>
          </w:p>
          <w:p w14:paraId="71AB753E"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на официальном сайте министерства экономического развития Новосибирской области по адресу </w:t>
            </w:r>
            <w:hyperlink r:id="rId107" w:history="1">
              <w:r w:rsidRPr="00E77388">
                <w:rPr>
                  <w:rFonts w:ascii="Times New Roman" w:hAnsi="Times New Roman" w:cs="Times New Roman"/>
                  <w:sz w:val="24"/>
                  <w:szCs w:val="24"/>
                </w:rPr>
                <w:t>http://econom.nso.ru/page/260</w:t>
              </w:r>
            </w:hyperlink>
            <w:r w:rsidRPr="00367300">
              <w:rPr>
                <w:rFonts w:ascii="Times New Roman" w:hAnsi="Times New Roman" w:cs="Times New Roman"/>
                <w:sz w:val="24"/>
                <w:szCs w:val="24"/>
              </w:rPr>
              <w:t xml:space="preserve"> ; </w:t>
            </w:r>
          </w:p>
          <w:p w14:paraId="59BDAFB4"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на федеральном информационном портале об ОРВ по адресу </w:t>
            </w:r>
            <w:hyperlink r:id="rId108" w:history="1">
              <w:r w:rsidRPr="00E77388">
                <w:rPr>
                  <w:rFonts w:ascii="Times New Roman" w:hAnsi="Times New Roman" w:cs="Times New Roman"/>
                  <w:sz w:val="24"/>
                  <w:szCs w:val="24"/>
                </w:rPr>
                <w:t>http://orv.gov.ru</w:t>
              </w:r>
            </w:hyperlink>
            <w:r w:rsidRPr="00367300">
              <w:rPr>
                <w:rFonts w:ascii="Times New Roman" w:hAnsi="Times New Roman" w:cs="Times New Roman"/>
                <w:sz w:val="24"/>
                <w:szCs w:val="24"/>
              </w:rPr>
              <w:t xml:space="preserve"> ; </w:t>
            </w:r>
          </w:p>
          <w:p w14:paraId="5D0A60AF"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на Инвестиционном портале Новосибирской области </w:t>
            </w:r>
            <w:hyperlink r:id="rId109" w:history="1">
              <w:r w:rsidRPr="00E77388">
                <w:rPr>
                  <w:rFonts w:ascii="Times New Roman" w:hAnsi="Times New Roman" w:cs="Times New Roman"/>
                  <w:sz w:val="24"/>
                  <w:szCs w:val="24"/>
                </w:rPr>
                <w:t>http://www.invest.nso.ru/ru</w:t>
              </w:r>
            </w:hyperlink>
            <w:r w:rsidRPr="00E77388">
              <w:rPr>
                <w:rFonts w:ascii="Times New Roman" w:hAnsi="Times New Roman" w:cs="Times New Roman"/>
                <w:sz w:val="24"/>
                <w:szCs w:val="24"/>
              </w:rPr>
              <w:t xml:space="preserve"> ;</w:t>
            </w:r>
          </w:p>
          <w:p w14:paraId="722C00AC"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в социальных сетях Инстаграмм и Фейсбук.</w:t>
            </w:r>
          </w:p>
          <w:p w14:paraId="1D22C44B"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Министерством строительства Новосибирской области размещены 4 проекта нормативно-правовых актов и 1 уведомление о необходимости разработки проекта постановления Правительства Новосибирской области. В составе размещенных проектов 2 проекта приказа министерства строительства Новосибирской области, 1 проект постановления Правительства Новосибирской области, 1 проект закона Новосибирской области.</w:t>
            </w:r>
          </w:p>
        </w:tc>
      </w:tr>
      <w:tr w:rsidR="003F26A5" w:rsidRPr="00367300" w14:paraId="44DAB8C8" w14:textId="77777777" w:rsidTr="003F26A5">
        <w:tc>
          <w:tcPr>
            <w:tcW w:w="5000" w:type="pct"/>
            <w:gridSpan w:val="7"/>
          </w:tcPr>
          <w:p w14:paraId="4758206E" w14:textId="77777777" w:rsidR="003F26A5" w:rsidRPr="00367300" w:rsidRDefault="003F26A5" w:rsidP="00367300">
            <w:pPr>
              <w:ind w:left="57" w:right="57"/>
              <w:contextualSpacing/>
              <w:rPr>
                <w:rFonts w:ascii="Times New Roman" w:hAnsi="Times New Roman" w:cs="Times New Roman"/>
                <w:b/>
                <w:bCs/>
                <w:sz w:val="24"/>
                <w:szCs w:val="24"/>
              </w:rPr>
            </w:pPr>
            <w:r w:rsidRPr="00367300">
              <w:rPr>
                <w:rFonts w:ascii="Times New Roman" w:hAnsi="Times New Roman" w:cs="Times New Roman"/>
                <w:b/>
                <w:bCs/>
                <w:sz w:val="24"/>
                <w:szCs w:val="24"/>
              </w:rPr>
              <w:lastRenderedPageBreak/>
              <w:t>5. Совершенствование процессов управления в рамках полномочий ОИОГВ НСО и ОМСУ НСО, закрепленных за ними законодательством Российской Федерации, объектами государственной собственности субъекта Российской Федерации и муниципальной собственности, ограничение влияния государственных</w:t>
            </w:r>
          </w:p>
          <w:p w14:paraId="1AE10071" w14:textId="77777777" w:rsidR="003F26A5" w:rsidRPr="00367300" w:rsidRDefault="003F26A5" w:rsidP="00367300">
            <w:pPr>
              <w:ind w:left="57" w:right="57"/>
              <w:contextualSpacing/>
              <w:rPr>
                <w:rFonts w:ascii="Times New Roman" w:hAnsi="Times New Roman" w:cs="Times New Roman"/>
                <w:b/>
                <w:bCs/>
                <w:sz w:val="24"/>
                <w:szCs w:val="24"/>
              </w:rPr>
            </w:pPr>
            <w:r w:rsidRPr="00367300">
              <w:rPr>
                <w:rFonts w:ascii="Times New Roman" w:hAnsi="Times New Roman" w:cs="Times New Roman"/>
                <w:b/>
                <w:bCs/>
                <w:sz w:val="24"/>
                <w:szCs w:val="24"/>
              </w:rPr>
              <w:t>и муниципальных предприятий на конкуренцию</w:t>
            </w:r>
          </w:p>
        </w:tc>
      </w:tr>
      <w:tr w:rsidR="003F26A5" w:rsidRPr="00367300" w14:paraId="7660E7B4" w14:textId="77777777" w:rsidTr="003F26A5">
        <w:trPr>
          <w:gridAfter w:val="1"/>
          <w:wAfter w:w="3" w:type="pct"/>
        </w:trPr>
        <w:tc>
          <w:tcPr>
            <w:tcW w:w="335" w:type="pct"/>
          </w:tcPr>
          <w:p w14:paraId="15EFA04F"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5.1</w:t>
            </w:r>
          </w:p>
        </w:tc>
        <w:tc>
          <w:tcPr>
            <w:tcW w:w="1108" w:type="pct"/>
          </w:tcPr>
          <w:p w14:paraId="24E5AD66"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Разработка, утверждение и выполнение комплексного плана </w:t>
            </w:r>
          </w:p>
          <w:p w14:paraId="1A39EC76"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по эффективному управлению государственными и муниципальными предприятиями </w:t>
            </w:r>
          </w:p>
          <w:p w14:paraId="3B312C81"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и учреждениями, акционерными обществами с государственным участием, государственными </w:t>
            </w:r>
          </w:p>
          <w:p w14:paraId="68852F32" w14:textId="77777777" w:rsidR="003F26A5" w:rsidRPr="00891093"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и муниц</w:t>
            </w:r>
            <w:r w:rsidRPr="00891093">
              <w:rPr>
                <w:rFonts w:ascii="Times New Roman" w:hAnsi="Times New Roman" w:cs="Times New Roman"/>
                <w:sz w:val="24"/>
                <w:szCs w:val="24"/>
              </w:rPr>
              <w:t xml:space="preserve">ипальными некоммерческими организациями, осуществляющими предпринимательскую деятельность, в котором содержатся в том числе ключевые показатели эффективности деятельности, целевые показатели доли государственного и муниципального участия (сектора) в различных отраслях экономики, программа (план) приватизации государственных унитарных предприятий и пакетов акций </w:t>
            </w:r>
            <w:r w:rsidRPr="00891093">
              <w:rPr>
                <w:rFonts w:ascii="Times New Roman" w:hAnsi="Times New Roman" w:cs="Times New Roman"/>
                <w:sz w:val="24"/>
                <w:szCs w:val="24"/>
              </w:rPr>
              <w:lastRenderedPageBreak/>
              <w:t xml:space="preserve">акционерных обществ, находящихся в собственности субъекта Российской Федерации </w:t>
            </w:r>
          </w:p>
          <w:p w14:paraId="5870854D" w14:textId="77777777" w:rsidR="003F26A5" w:rsidRPr="00891093" w:rsidRDefault="003F26A5" w:rsidP="00367300">
            <w:pPr>
              <w:autoSpaceDE w:val="0"/>
              <w:autoSpaceDN w:val="0"/>
              <w:adjustRightInd w:val="0"/>
              <w:ind w:left="57" w:right="57"/>
              <w:jc w:val="both"/>
              <w:rPr>
                <w:rFonts w:ascii="Times New Roman" w:hAnsi="Times New Roman" w:cs="Times New Roman"/>
                <w:sz w:val="24"/>
                <w:szCs w:val="24"/>
              </w:rPr>
            </w:pPr>
            <w:r w:rsidRPr="00891093">
              <w:rPr>
                <w:rFonts w:ascii="Times New Roman" w:hAnsi="Times New Roman" w:cs="Times New Roman"/>
                <w:sz w:val="24"/>
                <w:szCs w:val="24"/>
              </w:rPr>
              <w:t>и муниципальной собственности,</w:t>
            </w:r>
          </w:p>
          <w:p w14:paraId="6FB6C9A4" w14:textId="77777777" w:rsidR="003F26A5" w:rsidRPr="00891093" w:rsidRDefault="003F26A5" w:rsidP="00891093">
            <w:pPr>
              <w:autoSpaceDE w:val="0"/>
              <w:autoSpaceDN w:val="0"/>
              <w:adjustRightInd w:val="0"/>
              <w:ind w:left="57" w:right="57"/>
              <w:jc w:val="both"/>
              <w:rPr>
                <w:rFonts w:ascii="Times New Roman" w:hAnsi="Times New Roman" w:cs="Times New Roman"/>
                <w:sz w:val="24"/>
                <w:szCs w:val="24"/>
              </w:rPr>
            </w:pPr>
            <w:r w:rsidRPr="00891093">
              <w:rPr>
                <w:rFonts w:ascii="Times New Roman" w:hAnsi="Times New Roman" w:cs="Times New Roman"/>
                <w:sz w:val="24"/>
                <w:szCs w:val="24"/>
              </w:rPr>
              <w:t xml:space="preserve">с учетом задачи развития конкуренции, а также меры </w:t>
            </w:r>
          </w:p>
          <w:p w14:paraId="52627D48" w14:textId="77777777" w:rsidR="003F26A5" w:rsidRPr="00FC74FE" w:rsidRDefault="003F26A5" w:rsidP="00891093">
            <w:pPr>
              <w:autoSpaceDE w:val="0"/>
              <w:autoSpaceDN w:val="0"/>
              <w:adjustRightInd w:val="0"/>
              <w:ind w:left="57" w:right="57"/>
              <w:jc w:val="both"/>
              <w:rPr>
                <w:rFonts w:ascii="Times New Roman" w:hAnsi="Times New Roman" w:cs="Times New Roman"/>
                <w:sz w:val="24"/>
                <w:szCs w:val="24"/>
              </w:rPr>
            </w:pPr>
            <w:r w:rsidRPr="00AE06D3">
              <w:rPr>
                <w:rFonts w:ascii="Times New Roman" w:hAnsi="Times New Roman" w:cs="Times New Roman"/>
                <w:sz w:val="24"/>
                <w:szCs w:val="24"/>
              </w:rPr>
              <w:t>по ограничени</w:t>
            </w:r>
            <w:r w:rsidRPr="00FC74FE">
              <w:rPr>
                <w:rFonts w:ascii="Times New Roman" w:hAnsi="Times New Roman" w:cs="Times New Roman"/>
                <w:sz w:val="24"/>
                <w:szCs w:val="24"/>
              </w:rPr>
              <w:t>ю влияния государственных и муниципальных предприятий на условия формирования рыночных отношений</w:t>
            </w:r>
          </w:p>
        </w:tc>
        <w:tc>
          <w:tcPr>
            <w:tcW w:w="723" w:type="pct"/>
            <w:shd w:val="clear" w:color="auto" w:fill="FFFFFF" w:themeFill="background1"/>
          </w:tcPr>
          <w:p w14:paraId="276D11CB" w14:textId="77777777" w:rsidR="003F26A5" w:rsidRPr="009B4FC0" w:rsidRDefault="003F26A5" w:rsidP="00891093">
            <w:pPr>
              <w:ind w:left="57" w:right="57"/>
              <w:contextualSpacing/>
              <w:rPr>
                <w:rFonts w:ascii="Times New Roman" w:hAnsi="Times New Roman" w:cs="Times New Roman"/>
                <w:sz w:val="24"/>
                <w:szCs w:val="24"/>
              </w:rPr>
            </w:pPr>
            <w:r w:rsidRPr="009B4FC0">
              <w:rPr>
                <w:rFonts w:ascii="Times New Roman" w:hAnsi="Times New Roman" w:cs="Times New Roman"/>
                <w:sz w:val="24"/>
                <w:szCs w:val="24"/>
              </w:rPr>
              <w:lastRenderedPageBreak/>
              <w:t xml:space="preserve">Эффективное управление государственными </w:t>
            </w:r>
          </w:p>
          <w:p w14:paraId="1E505C09" w14:textId="77777777" w:rsidR="003F26A5" w:rsidRPr="00367300" w:rsidRDefault="003F26A5" w:rsidP="00891093">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и муниципальными</w:t>
            </w:r>
            <w:r w:rsidR="00371000" w:rsidRPr="00367300">
              <w:rPr>
                <w:rFonts w:ascii="Times New Roman" w:hAnsi="Times New Roman" w:cs="Times New Roman"/>
                <w:sz w:val="24"/>
                <w:szCs w:val="24"/>
              </w:rPr>
              <w:t xml:space="preserve"> </w:t>
            </w:r>
            <w:r w:rsidRPr="00367300">
              <w:rPr>
                <w:rFonts w:ascii="Times New Roman" w:hAnsi="Times New Roman" w:cs="Times New Roman"/>
                <w:sz w:val="24"/>
                <w:szCs w:val="24"/>
              </w:rPr>
              <w:t xml:space="preserve">предприятиями и учреждениями, акционерными обществами </w:t>
            </w:r>
          </w:p>
          <w:p w14:paraId="0BE77D18" w14:textId="77777777" w:rsidR="003F26A5" w:rsidRPr="00367300" w:rsidRDefault="003F26A5" w:rsidP="00891093">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с государственным участием, государственными и муниципальными некоммерческими организациями, осуществляющими предпринимательскую деятельность</w:t>
            </w:r>
          </w:p>
        </w:tc>
        <w:tc>
          <w:tcPr>
            <w:tcW w:w="337" w:type="pct"/>
            <w:shd w:val="clear" w:color="auto" w:fill="FFFFFF" w:themeFill="background1"/>
          </w:tcPr>
          <w:p w14:paraId="4AB6C18F" w14:textId="77777777" w:rsidR="003F26A5" w:rsidRPr="00367300" w:rsidRDefault="003F26A5" w:rsidP="00AE06D3">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2019-2021 годы</w:t>
            </w:r>
          </w:p>
        </w:tc>
        <w:tc>
          <w:tcPr>
            <w:tcW w:w="463" w:type="pct"/>
            <w:shd w:val="clear" w:color="auto" w:fill="FFFFFF" w:themeFill="background1"/>
          </w:tcPr>
          <w:p w14:paraId="602C5B7F" w14:textId="77777777" w:rsidR="003F26A5" w:rsidRPr="00367300" w:rsidRDefault="003F26A5" w:rsidP="00FC74FE">
            <w:pPr>
              <w:ind w:left="57" w:right="57"/>
              <w:rPr>
                <w:rFonts w:ascii="Times New Roman" w:hAnsi="Times New Roman" w:cs="Times New Roman"/>
                <w:sz w:val="24"/>
                <w:szCs w:val="24"/>
              </w:rPr>
            </w:pPr>
            <w:r w:rsidRPr="00367300">
              <w:rPr>
                <w:rFonts w:ascii="Times New Roman" w:hAnsi="Times New Roman" w:cs="Times New Roman"/>
                <w:sz w:val="24"/>
                <w:szCs w:val="24"/>
              </w:rPr>
              <w:t>ОИОГВ НСО;</w:t>
            </w:r>
          </w:p>
          <w:p w14:paraId="20BEFB18" w14:textId="77777777" w:rsidR="003F26A5" w:rsidRPr="00367300" w:rsidRDefault="003F26A5" w:rsidP="009B4FC0">
            <w:pPr>
              <w:ind w:left="57" w:right="57"/>
              <w:rPr>
                <w:rFonts w:ascii="Times New Roman" w:hAnsi="Times New Roman" w:cs="Times New Roman"/>
                <w:sz w:val="24"/>
                <w:szCs w:val="24"/>
              </w:rPr>
            </w:pPr>
            <w:r w:rsidRPr="00367300">
              <w:rPr>
                <w:rFonts w:ascii="Times New Roman" w:hAnsi="Times New Roman" w:cs="Times New Roman"/>
                <w:sz w:val="24"/>
                <w:szCs w:val="24"/>
              </w:rPr>
              <w:t xml:space="preserve">ОИОГВ НСО, осуществляющие права акционера (участника) </w:t>
            </w:r>
          </w:p>
          <w:p w14:paraId="59B38708" w14:textId="77777777" w:rsidR="003F26A5" w:rsidRPr="00367300" w:rsidRDefault="003F26A5">
            <w:pPr>
              <w:ind w:left="57" w:right="57"/>
              <w:rPr>
                <w:rFonts w:ascii="Times New Roman" w:hAnsi="Times New Roman" w:cs="Times New Roman"/>
                <w:sz w:val="24"/>
                <w:szCs w:val="24"/>
              </w:rPr>
            </w:pPr>
            <w:r w:rsidRPr="00367300">
              <w:rPr>
                <w:rFonts w:ascii="Times New Roman" w:hAnsi="Times New Roman" w:cs="Times New Roman"/>
                <w:sz w:val="24"/>
                <w:szCs w:val="24"/>
              </w:rPr>
              <w:t xml:space="preserve">от имени Новосибирской области в хозяйственных обществах, акции (доли) которых находятся </w:t>
            </w:r>
          </w:p>
          <w:p w14:paraId="57502A67" w14:textId="77777777" w:rsidR="003F26A5" w:rsidRPr="00367300" w:rsidRDefault="003F26A5">
            <w:pPr>
              <w:ind w:left="57" w:right="57"/>
              <w:rPr>
                <w:rFonts w:ascii="Times New Roman" w:hAnsi="Times New Roman" w:cs="Times New Roman"/>
                <w:sz w:val="24"/>
                <w:szCs w:val="24"/>
              </w:rPr>
            </w:pPr>
            <w:r w:rsidRPr="00367300">
              <w:rPr>
                <w:rFonts w:ascii="Times New Roman" w:hAnsi="Times New Roman" w:cs="Times New Roman"/>
                <w:sz w:val="24"/>
                <w:szCs w:val="24"/>
              </w:rPr>
              <w:t>в государственной собственности Новосибирской области;</w:t>
            </w:r>
          </w:p>
          <w:p w14:paraId="39778BDB" w14:textId="77777777" w:rsidR="003F26A5" w:rsidRPr="00367300" w:rsidRDefault="003F26A5">
            <w:pPr>
              <w:ind w:left="57" w:right="57"/>
              <w:rPr>
                <w:rFonts w:ascii="Times New Roman" w:hAnsi="Times New Roman" w:cs="Times New Roman"/>
                <w:sz w:val="24"/>
                <w:szCs w:val="24"/>
              </w:rPr>
            </w:pPr>
            <w:r w:rsidRPr="00367300">
              <w:rPr>
                <w:rFonts w:ascii="Times New Roman" w:hAnsi="Times New Roman" w:cs="Times New Roman"/>
                <w:sz w:val="24"/>
                <w:szCs w:val="24"/>
              </w:rPr>
              <w:t>ОМСУ НСО</w:t>
            </w:r>
          </w:p>
        </w:tc>
        <w:tc>
          <w:tcPr>
            <w:tcW w:w="2031" w:type="pct"/>
            <w:shd w:val="clear" w:color="auto" w:fill="FFFFFF" w:themeFill="background1"/>
          </w:tcPr>
          <w:p w14:paraId="3A3D339D"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Во исполнение Закона Новосибирской области от 06.07.2018 № 271-ОЗ «Об управлении и распоряжении государственной собственностью Новосибирской области» распоряжением Правительства Новосибирской области от 03.09.2019 № 362-рп утверждена Концепция управления и распоряжения государственной собственностью Новосибирской области на 2019-2024 годы, которая определяет основные цели, принципы, направления, задачи и мероприятия по реализации государственной политики в сфере управления и распоряжения государственной собственностью Новосибирской области на период c 2019 по 2024 годы. Концепция разработана с целью создания условий для обеспечения эффективного управления и распоряжения государственной собственностью Новосибирской области, обеспечения ее доходности и сохранности.</w:t>
            </w:r>
          </w:p>
          <w:p w14:paraId="58F1ECD1"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Концепция представляет собой комплексную систему мероприятий, направленных на оптимизацию структуры государственной собственности Новосибирской области, повышение эффективности использования государственного имущества Новосибирской области, закрепленного за государственными учреждениями Новосибирской области, государственными унитарными предприятиями Новосибирской области и областными исполнительными органами государственной власти Новосибирской области, повышение эффективности управления пакетами акций (долями) хозяйственных обществ и земельными ресурсами, находящимися в государственной собственности Новосибирской области, </w:t>
            </w:r>
            <w:r w:rsidRPr="00367300">
              <w:rPr>
                <w:rFonts w:ascii="Times New Roman" w:hAnsi="Times New Roman" w:cs="Times New Roman"/>
                <w:sz w:val="24"/>
                <w:szCs w:val="24"/>
              </w:rPr>
              <w:lastRenderedPageBreak/>
              <w:t>а также вовлечение объектов государственной собственности Новосибирской области в коммерческий оборот.</w:t>
            </w:r>
          </w:p>
          <w:p w14:paraId="54170583" w14:textId="77777777" w:rsidR="003F26A5" w:rsidRPr="00367300" w:rsidRDefault="003F26A5">
            <w:pPr>
              <w:ind w:left="57" w:right="57" w:firstLine="329"/>
              <w:jc w:val="both"/>
              <w:rPr>
                <w:rFonts w:ascii="Times New Roman" w:hAnsi="Times New Roman" w:cs="Times New Roman"/>
                <w:bCs/>
                <w:sz w:val="24"/>
                <w:szCs w:val="24"/>
              </w:rPr>
            </w:pPr>
            <w:r w:rsidRPr="00367300">
              <w:rPr>
                <w:rFonts w:ascii="Times New Roman" w:hAnsi="Times New Roman" w:cs="Times New Roman"/>
                <w:bCs/>
                <w:sz w:val="24"/>
                <w:szCs w:val="24"/>
              </w:rPr>
              <w:t>Концепцией предусмотрено расширение практики внедрения документов стратегического планирования деятельности хозяйственных обществ с долей участия в уставном капитале Новосибирской области (включая систему ключевых показателей эффективности деятельности, программы инновационного развития, бизнес-планов и стратегий развития).</w:t>
            </w:r>
          </w:p>
          <w:p w14:paraId="123B4889" w14:textId="77777777" w:rsidR="003F26A5" w:rsidRPr="00367300" w:rsidRDefault="003F26A5">
            <w:pPr>
              <w:ind w:left="57" w:right="57" w:firstLine="329"/>
              <w:jc w:val="both"/>
              <w:rPr>
                <w:rFonts w:ascii="Times New Roman" w:hAnsi="Times New Roman" w:cs="Times New Roman"/>
                <w:bCs/>
                <w:sz w:val="24"/>
                <w:szCs w:val="24"/>
              </w:rPr>
            </w:pPr>
            <w:r w:rsidRPr="00367300">
              <w:rPr>
                <w:rFonts w:ascii="Times New Roman" w:hAnsi="Times New Roman" w:cs="Times New Roman"/>
                <w:bCs/>
                <w:sz w:val="24"/>
                <w:szCs w:val="24"/>
              </w:rPr>
              <w:t>В рамках реализации Закона Новосибирской области от 06.07.2018 № 271-ОЗ и Концепции распоряжением Правительства Новосибирской области от 02.04.2019 № 123-рп решен вопрос о разграничении полномочий и передачи прав акционера в части управления деятельностью хозяйственных обществ, акции (доли) в уставных капиталах которых находятся в государственной собственности Новосибирской области, между департаментом имущества и земельных отношений Новосибирской области и областными исполнительными органами государственной власти Новосибирской области с одновременным усилением роли и ответственности института отраслевого управления.</w:t>
            </w:r>
          </w:p>
          <w:p w14:paraId="075A705D" w14:textId="77777777" w:rsidR="003F26A5" w:rsidRPr="00367300" w:rsidRDefault="003F26A5">
            <w:pPr>
              <w:ind w:left="57" w:right="57" w:firstLine="329"/>
              <w:jc w:val="both"/>
              <w:rPr>
                <w:rFonts w:ascii="Times New Roman" w:hAnsi="Times New Roman" w:cs="Times New Roman"/>
                <w:bCs/>
                <w:sz w:val="24"/>
                <w:szCs w:val="24"/>
              </w:rPr>
            </w:pPr>
            <w:r w:rsidRPr="00367300">
              <w:rPr>
                <w:rFonts w:ascii="Times New Roman" w:hAnsi="Times New Roman" w:cs="Times New Roman"/>
                <w:bCs/>
                <w:sz w:val="24"/>
                <w:szCs w:val="24"/>
              </w:rPr>
              <w:t xml:space="preserve">В отчетном периоде Наблюдательным советом АО «Академпарк» утверждено «Положение о ключевых показателях эффективности деятельности Акционерного общества «Технопарк Новосибирского Академгородка» (протокол № 10 (98) от 17.06.2019). Данным положением в том числе определяется состав (перечень) ключевых показателей эффективности деятельности АО «Академпарк». Предоставление отчетности по указанным ключевым показателям осуществляется в </w:t>
            </w:r>
            <w:r w:rsidRPr="00367300">
              <w:rPr>
                <w:rFonts w:ascii="Times New Roman" w:hAnsi="Times New Roman" w:cs="Times New Roman"/>
                <w:bCs/>
                <w:sz w:val="24"/>
                <w:szCs w:val="24"/>
              </w:rPr>
              <w:lastRenderedPageBreak/>
              <w:t>период с марта по июнь 2020 года в соответствии с пунктом 9.3 Устава Акционерного общества «Технопарк Новосибирского Академгородка».</w:t>
            </w:r>
          </w:p>
          <w:p w14:paraId="339542ED"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Решением Совета депутатов города Новосибирска от 05.12.2018 № 702 «О прогнозном плане приватизации муниципального имущества на 2019 - 2021 годы» в Прогнозный план приватизации муниципального имущества на 2019 - 2021 годы были включены акции ПАО «Ростелеком» (муниципальная доля в уставном капитале 0,00002 %), ХК ПАО «НЭВЗ – Союз» (муниципальная доля в уставном капитале 0,004 %), АО «Сибирьгазсервис» (муниципальная доля в уставном капитале 2,13 %). В 2019 году акции ПАО «Ростелеком» и ХК ПАО «НЭВЗ – Союз» проданы на торгах. Продажа акций АО «Сибирьгазсервис» планируется к приватизации в течение планового периода.</w:t>
            </w:r>
          </w:p>
          <w:p w14:paraId="00355F35"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В городе Новосибирске в целях эффективного управления муниципальными унитарными предприятиями и муниципальными учреждениями в 2019 году ликвидировано в результате реорганизации 1 муниципальное учреждение и 3 муниципальных унитарных предприятия, в том числе: 1 – в результате банкротства.</w:t>
            </w:r>
          </w:p>
          <w:p w14:paraId="1A923751" w14:textId="77777777" w:rsidR="003F26A5" w:rsidRPr="00367300" w:rsidRDefault="003F26A5">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 xml:space="preserve">Администрацией города Бердска утверждены постановление от 09.07.2014 № 2488 «О контроле финансово-хозяйственной деятельности муниципальных предприятий и учреждений; от 30.12.2016 № 3962 «О создании комиссии по рассмотрению вопросов эффективной деятельности муниципальных учреждений и предприятий города Бердска» постановление от 10.01.2019 № 2 «Об утверждении Порядка составления и утверждения отчета о результатах деятельности муниципального учреждения города Бердска и об </w:t>
            </w:r>
            <w:r w:rsidRPr="00367300">
              <w:rPr>
                <w:rFonts w:ascii="Times New Roman" w:hAnsi="Times New Roman" w:cs="Times New Roman"/>
                <w:sz w:val="24"/>
                <w:szCs w:val="24"/>
              </w:rPr>
              <w:lastRenderedPageBreak/>
              <w:t>использовании закрепленного з</w:t>
            </w:r>
            <w:r w:rsidR="00FB1272" w:rsidRPr="00367300">
              <w:rPr>
                <w:rFonts w:ascii="Times New Roman" w:hAnsi="Times New Roman" w:cs="Times New Roman"/>
                <w:sz w:val="24"/>
                <w:szCs w:val="24"/>
              </w:rPr>
              <w:t>а ним муниципального имущества».</w:t>
            </w:r>
          </w:p>
        </w:tc>
      </w:tr>
      <w:tr w:rsidR="003F26A5" w:rsidRPr="00367300" w14:paraId="660707B6" w14:textId="77777777" w:rsidTr="003F26A5">
        <w:trPr>
          <w:gridAfter w:val="1"/>
          <w:wAfter w:w="3" w:type="pct"/>
        </w:trPr>
        <w:tc>
          <w:tcPr>
            <w:tcW w:w="335" w:type="pct"/>
          </w:tcPr>
          <w:p w14:paraId="7EA5E552"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5.2</w:t>
            </w:r>
          </w:p>
        </w:tc>
        <w:tc>
          <w:tcPr>
            <w:tcW w:w="1108" w:type="pct"/>
          </w:tcPr>
          <w:p w14:paraId="3D5B73A6" w14:textId="77777777" w:rsidR="003F26A5" w:rsidRPr="00367300" w:rsidRDefault="003F26A5" w:rsidP="00367300">
            <w:pPr>
              <w:autoSpaceDE w:val="0"/>
              <w:autoSpaceDN w:val="0"/>
              <w:adjustRightInd w:val="0"/>
              <w:ind w:left="57" w:right="57"/>
              <w:jc w:val="both"/>
              <w:rPr>
                <w:rFonts w:ascii="Times New Roman" w:hAnsi="Times New Roman" w:cs="Times New Roman"/>
                <w:bCs/>
                <w:sz w:val="24"/>
                <w:szCs w:val="24"/>
              </w:rPr>
            </w:pPr>
            <w:r w:rsidRPr="00367300">
              <w:rPr>
                <w:rFonts w:ascii="Times New Roman" w:hAnsi="Times New Roman" w:cs="Times New Roman"/>
                <w:sz w:val="24"/>
                <w:szCs w:val="24"/>
              </w:rPr>
              <w:t>Организация и проведение продажи государственного имущества Новосибирской области, включенного в прогнозный план приватизации государственного имущества Новосибирской области в электронной форме</w:t>
            </w:r>
          </w:p>
        </w:tc>
        <w:tc>
          <w:tcPr>
            <w:tcW w:w="723" w:type="pct"/>
            <w:shd w:val="clear" w:color="auto" w:fill="FFFFFF" w:themeFill="background1"/>
          </w:tcPr>
          <w:p w14:paraId="787080B1" w14:textId="77777777" w:rsidR="003F26A5" w:rsidRPr="00367300" w:rsidRDefault="003F26A5" w:rsidP="00367300">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 xml:space="preserve">Доля проданного имущества, включенного в прогнозный план приватизации государственного имущества Новосибирской области </w:t>
            </w:r>
          </w:p>
          <w:p w14:paraId="0F05FAE4" w14:textId="77777777" w:rsidR="003F26A5" w:rsidRPr="00891093" w:rsidRDefault="003F26A5" w:rsidP="00367300">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до 100%</w:t>
            </w:r>
          </w:p>
        </w:tc>
        <w:tc>
          <w:tcPr>
            <w:tcW w:w="337" w:type="pct"/>
            <w:shd w:val="clear" w:color="auto" w:fill="FFFFFF" w:themeFill="background1"/>
          </w:tcPr>
          <w:p w14:paraId="7376C894" w14:textId="77777777" w:rsidR="003F26A5" w:rsidRPr="00891093" w:rsidRDefault="003F26A5" w:rsidP="00367300">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2019-2022 годы</w:t>
            </w:r>
          </w:p>
        </w:tc>
        <w:tc>
          <w:tcPr>
            <w:tcW w:w="463" w:type="pct"/>
            <w:shd w:val="clear" w:color="auto" w:fill="FFFFFF" w:themeFill="background1"/>
          </w:tcPr>
          <w:p w14:paraId="2EF9C81C" w14:textId="77777777" w:rsidR="003F26A5" w:rsidRPr="00891093" w:rsidRDefault="003F26A5" w:rsidP="00891093">
            <w:pPr>
              <w:autoSpaceDE w:val="0"/>
              <w:autoSpaceDN w:val="0"/>
              <w:adjustRightInd w:val="0"/>
              <w:ind w:left="57" w:right="57"/>
              <w:rPr>
                <w:rFonts w:ascii="Times New Roman" w:hAnsi="Times New Roman" w:cs="Times New Roman"/>
                <w:sz w:val="24"/>
                <w:szCs w:val="24"/>
              </w:rPr>
            </w:pPr>
            <w:r w:rsidRPr="00891093">
              <w:rPr>
                <w:rFonts w:ascii="Times New Roman" w:hAnsi="Times New Roman" w:cs="Times New Roman"/>
                <w:sz w:val="24"/>
                <w:szCs w:val="24"/>
              </w:rPr>
              <w:t>ДИиЗО НСО</w:t>
            </w:r>
          </w:p>
        </w:tc>
        <w:tc>
          <w:tcPr>
            <w:tcW w:w="2031" w:type="pct"/>
            <w:shd w:val="clear" w:color="auto" w:fill="FFFFFF" w:themeFill="background1"/>
          </w:tcPr>
          <w:p w14:paraId="3F7E94D7" w14:textId="77777777" w:rsidR="003F26A5" w:rsidRPr="00FC74FE" w:rsidRDefault="003F26A5" w:rsidP="00891093">
            <w:pPr>
              <w:ind w:left="57" w:right="57" w:firstLine="329"/>
              <w:jc w:val="both"/>
              <w:rPr>
                <w:rFonts w:ascii="Times New Roman" w:hAnsi="Times New Roman" w:cs="Times New Roman"/>
                <w:sz w:val="24"/>
                <w:szCs w:val="24"/>
              </w:rPr>
            </w:pPr>
            <w:r w:rsidRPr="00AE06D3">
              <w:rPr>
                <w:rFonts w:ascii="Times New Roman" w:hAnsi="Times New Roman" w:cs="Times New Roman"/>
                <w:sz w:val="24"/>
                <w:szCs w:val="24"/>
              </w:rPr>
              <w:t>В 2019 году департаментом имущества и земельных отношений Новосибирской области проведена работа по приведению законодательства Новосибирской области о приватизации в соответствие с федеральным законодательством. В частност</w:t>
            </w:r>
            <w:r w:rsidRPr="00FC74FE">
              <w:rPr>
                <w:rFonts w:ascii="Times New Roman" w:hAnsi="Times New Roman" w:cs="Times New Roman"/>
                <w:sz w:val="24"/>
                <w:szCs w:val="24"/>
              </w:rPr>
              <w:t>и, уточнены полномочия департамента по вопросу самостоятельного осуществления им функций по продаже государственного имущества, а также продажи государственного имущества, подлежащего приватизации, исключительно в электронной форме.</w:t>
            </w:r>
          </w:p>
          <w:p w14:paraId="7620DE8F" w14:textId="77777777" w:rsidR="003F26A5" w:rsidRPr="00367300" w:rsidRDefault="003F26A5" w:rsidP="00891093">
            <w:pPr>
              <w:ind w:left="57" w:right="57" w:firstLine="329"/>
              <w:jc w:val="both"/>
              <w:rPr>
                <w:rFonts w:ascii="Times New Roman" w:hAnsi="Times New Roman" w:cs="Times New Roman"/>
                <w:sz w:val="24"/>
                <w:szCs w:val="24"/>
              </w:rPr>
            </w:pPr>
            <w:r w:rsidRPr="009B4FC0">
              <w:rPr>
                <w:rFonts w:ascii="Times New Roman" w:hAnsi="Times New Roman" w:cs="Times New Roman"/>
                <w:sz w:val="24"/>
                <w:szCs w:val="24"/>
              </w:rPr>
              <w:t>Во исполнение Закона Но</w:t>
            </w:r>
            <w:r w:rsidRPr="00367300">
              <w:rPr>
                <w:rFonts w:ascii="Times New Roman" w:hAnsi="Times New Roman" w:cs="Times New Roman"/>
                <w:sz w:val="24"/>
                <w:szCs w:val="24"/>
              </w:rPr>
              <w:t>восибирской области от 20.05.2004 № 181-ОЗ «О приватизации государственного имущества Новосибирской области» в редакции от 09.10.2019 департаментом имущества и земельных отношений Новосибирской области как продавцом организованы и проведены 13 торгов в электронной форме по продаже государственного имущества Новосибирской области, включенного в прогнозный план приватизации государственного имущества Новосибирской области на 2019 год.</w:t>
            </w:r>
          </w:p>
        </w:tc>
      </w:tr>
      <w:tr w:rsidR="003F26A5" w:rsidRPr="00367300" w14:paraId="39DBF4B7" w14:textId="77777777" w:rsidTr="003F26A5">
        <w:trPr>
          <w:gridAfter w:val="1"/>
          <w:wAfter w:w="3" w:type="pct"/>
        </w:trPr>
        <w:tc>
          <w:tcPr>
            <w:tcW w:w="335" w:type="pct"/>
          </w:tcPr>
          <w:p w14:paraId="36BFC362"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5.3</w:t>
            </w:r>
          </w:p>
        </w:tc>
        <w:tc>
          <w:tcPr>
            <w:tcW w:w="1108" w:type="pct"/>
          </w:tcPr>
          <w:p w14:paraId="75B76083"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Организация и проведение публичных торгов или иных конкурентных процедур </w:t>
            </w:r>
          </w:p>
          <w:p w14:paraId="16FE8099"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при реализации имущества хозяйствующими субъектами, </w:t>
            </w:r>
          </w:p>
          <w:p w14:paraId="3C981C90"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доля участия субъекта Российской Федерации или муниципального образования в которых составляет 50 и более процентов</w:t>
            </w:r>
          </w:p>
        </w:tc>
        <w:tc>
          <w:tcPr>
            <w:tcW w:w="723" w:type="pct"/>
            <w:shd w:val="clear" w:color="auto" w:fill="FFFFFF" w:themeFill="background1"/>
          </w:tcPr>
          <w:p w14:paraId="328C95E2" w14:textId="77777777" w:rsidR="003F26A5" w:rsidRPr="00891093" w:rsidRDefault="003F26A5" w:rsidP="00367300">
            <w:pPr>
              <w:autoSpaceDE w:val="0"/>
              <w:autoSpaceDN w:val="0"/>
              <w:adjustRightInd w:val="0"/>
              <w:ind w:left="57" w:right="57"/>
              <w:rPr>
                <w:rFonts w:ascii="Times New Roman" w:hAnsi="Times New Roman" w:cs="Times New Roman"/>
                <w:bCs/>
                <w:sz w:val="24"/>
                <w:szCs w:val="24"/>
              </w:rPr>
            </w:pPr>
            <w:r w:rsidRPr="00367300">
              <w:rPr>
                <w:rFonts w:ascii="Times New Roman" w:hAnsi="Times New Roman" w:cs="Times New Roman"/>
                <w:sz w:val="24"/>
                <w:szCs w:val="24"/>
              </w:rPr>
              <w:t>Доля имущества, реализованного на условиях конкурсных п</w:t>
            </w:r>
            <w:r w:rsidRPr="00891093">
              <w:rPr>
                <w:rFonts w:ascii="Times New Roman" w:hAnsi="Times New Roman" w:cs="Times New Roman"/>
                <w:sz w:val="24"/>
                <w:szCs w:val="24"/>
              </w:rPr>
              <w:t xml:space="preserve">роцедур до 100% </w:t>
            </w:r>
          </w:p>
        </w:tc>
        <w:tc>
          <w:tcPr>
            <w:tcW w:w="337" w:type="pct"/>
            <w:shd w:val="clear" w:color="auto" w:fill="FFFFFF" w:themeFill="background1"/>
          </w:tcPr>
          <w:p w14:paraId="565EC336"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2019-2022 годы</w:t>
            </w:r>
          </w:p>
        </w:tc>
        <w:tc>
          <w:tcPr>
            <w:tcW w:w="463" w:type="pct"/>
            <w:shd w:val="clear" w:color="auto" w:fill="FFFFFF" w:themeFill="background1"/>
          </w:tcPr>
          <w:p w14:paraId="0C73CCBB" w14:textId="77777777" w:rsidR="003F26A5" w:rsidRPr="00AE06D3" w:rsidRDefault="003F26A5" w:rsidP="00891093">
            <w:pPr>
              <w:ind w:left="57" w:right="57"/>
              <w:rPr>
                <w:rFonts w:ascii="Times New Roman" w:hAnsi="Times New Roman" w:cs="Times New Roman"/>
                <w:sz w:val="24"/>
                <w:szCs w:val="24"/>
              </w:rPr>
            </w:pPr>
            <w:r w:rsidRPr="00AE06D3">
              <w:rPr>
                <w:rFonts w:ascii="Times New Roman" w:hAnsi="Times New Roman" w:cs="Times New Roman"/>
                <w:sz w:val="24"/>
                <w:szCs w:val="24"/>
              </w:rPr>
              <w:t xml:space="preserve">ОИОГВ НСО, осуществляющие права акционера (участника) </w:t>
            </w:r>
          </w:p>
          <w:p w14:paraId="5181DACE" w14:textId="77777777" w:rsidR="003F26A5" w:rsidRPr="00FC74FE" w:rsidRDefault="003F26A5" w:rsidP="00891093">
            <w:pPr>
              <w:ind w:left="57" w:right="57"/>
              <w:rPr>
                <w:rFonts w:ascii="Times New Roman" w:hAnsi="Times New Roman" w:cs="Times New Roman"/>
                <w:sz w:val="24"/>
                <w:szCs w:val="24"/>
              </w:rPr>
            </w:pPr>
            <w:r w:rsidRPr="00FC74FE">
              <w:rPr>
                <w:rFonts w:ascii="Times New Roman" w:hAnsi="Times New Roman" w:cs="Times New Roman"/>
                <w:sz w:val="24"/>
                <w:szCs w:val="24"/>
              </w:rPr>
              <w:t>от имени Новосибирской области в хозяйствен</w:t>
            </w:r>
            <w:r w:rsidRPr="00FC74FE">
              <w:rPr>
                <w:rFonts w:ascii="Times New Roman" w:hAnsi="Times New Roman" w:cs="Times New Roman"/>
                <w:sz w:val="24"/>
                <w:szCs w:val="24"/>
              </w:rPr>
              <w:lastRenderedPageBreak/>
              <w:t xml:space="preserve">ных обществах, акции (доли) которых находятся </w:t>
            </w:r>
          </w:p>
          <w:p w14:paraId="7DB3E580" w14:textId="77777777" w:rsidR="003F26A5" w:rsidRPr="009B4FC0" w:rsidRDefault="003F26A5" w:rsidP="00891093">
            <w:pPr>
              <w:ind w:left="57" w:right="57"/>
              <w:rPr>
                <w:rFonts w:ascii="Times New Roman" w:hAnsi="Times New Roman" w:cs="Times New Roman"/>
                <w:sz w:val="24"/>
                <w:szCs w:val="24"/>
              </w:rPr>
            </w:pPr>
            <w:r w:rsidRPr="009B4FC0">
              <w:rPr>
                <w:rFonts w:ascii="Times New Roman" w:hAnsi="Times New Roman" w:cs="Times New Roman"/>
                <w:sz w:val="24"/>
                <w:szCs w:val="24"/>
              </w:rPr>
              <w:t>в государственной собственности Новосибирской области,</w:t>
            </w:r>
          </w:p>
          <w:p w14:paraId="79786971" w14:textId="77777777" w:rsidR="003F26A5" w:rsidRPr="00367300" w:rsidRDefault="003F26A5" w:rsidP="00AE06D3">
            <w:pPr>
              <w:ind w:left="57" w:right="57"/>
              <w:rPr>
                <w:rFonts w:ascii="Times New Roman" w:hAnsi="Times New Roman" w:cs="Times New Roman"/>
                <w:sz w:val="24"/>
                <w:szCs w:val="24"/>
              </w:rPr>
            </w:pPr>
            <w:r w:rsidRPr="00367300">
              <w:rPr>
                <w:rFonts w:ascii="Times New Roman" w:hAnsi="Times New Roman" w:cs="Times New Roman"/>
                <w:sz w:val="24"/>
                <w:szCs w:val="24"/>
              </w:rPr>
              <w:t>ОМСУ НСО</w:t>
            </w:r>
          </w:p>
        </w:tc>
        <w:tc>
          <w:tcPr>
            <w:tcW w:w="2031" w:type="pct"/>
            <w:shd w:val="clear" w:color="auto" w:fill="FFFFFF" w:themeFill="background1"/>
          </w:tcPr>
          <w:p w14:paraId="1B71FD54" w14:textId="77777777" w:rsidR="003F26A5" w:rsidRPr="00367300" w:rsidRDefault="003F26A5" w:rsidP="00FC74FE">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lastRenderedPageBreak/>
              <w:t>Департамент имущества и земельных отношений Новосибирской области при выдаче согласований на реализацию недвижимого имущества хозяйствующим субъектам и государственным унитарным предприятиям Новосибирской области устанавливает обязательное условие – реализация его на торгах.</w:t>
            </w:r>
          </w:p>
          <w:p w14:paraId="7F103AEE" w14:textId="77777777" w:rsidR="003F26A5" w:rsidRPr="00367300" w:rsidRDefault="003F26A5" w:rsidP="009B4FC0">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t>Реализация имущества АО «РНИЦ НСО» в отчетном периоде не осуществлялась.</w:t>
            </w:r>
          </w:p>
          <w:p w14:paraId="2CB1BE3D" w14:textId="77777777" w:rsidR="003F26A5" w:rsidRPr="00367300" w:rsidRDefault="003F26A5">
            <w:pPr>
              <w:ind w:left="57" w:right="57" w:firstLine="329"/>
              <w:jc w:val="both"/>
              <w:rPr>
                <w:rFonts w:ascii="Times New Roman" w:hAnsi="Times New Roman" w:cs="Times New Roman"/>
                <w:sz w:val="24"/>
                <w:szCs w:val="24"/>
              </w:rPr>
            </w:pPr>
          </w:p>
        </w:tc>
      </w:tr>
      <w:tr w:rsidR="003F26A5" w:rsidRPr="00367300" w14:paraId="1112D526" w14:textId="77777777" w:rsidTr="003F26A5">
        <w:trPr>
          <w:gridAfter w:val="1"/>
          <w:wAfter w:w="3" w:type="pct"/>
        </w:trPr>
        <w:tc>
          <w:tcPr>
            <w:tcW w:w="335" w:type="pct"/>
          </w:tcPr>
          <w:p w14:paraId="4647E00E"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5.4</w:t>
            </w:r>
          </w:p>
        </w:tc>
        <w:tc>
          <w:tcPr>
            <w:tcW w:w="1108" w:type="pct"/>
          </w:tcPr>
          <w:p w14:paraId="4E6B4F2E" w14:textId="77777777" w:rsidR="003F26A5" w:rsidRPr="00367300" w:rsidRDefault="003F26A5" w:rsidP="00367300">
            <w:pPr>
              <w:autoSpaceDE w:val="0"/>
              <w:autoSpaceDN w:val="0"/>
              <w:adjustRightInd w:val="0"/>
              <w:ind w:left="57" w:right="57"/>
              <w:jc w:val="both"/>
              <w:rPr>
                <w:rFonts w:ascii="Times New Roman" w:hAnsi="Times New Roman" w:cs="Times New Roman"/>
                <w:bCs/>
                <w:sz w:val="24"/>
                <w:szCs w:val="24"/>
              </w:rPr>
            </w:pPr>
            <w:r w:rsidRPr="00367300">
              <w:rPr>
                <w:rFonts w:ascii="Times New Roman" w:hAnsi="Times New Roman" w:cs="Times New Roman"/>
                <w:sz w:val="24"/>
                <w:szCs w:val="24"/>
              </w:rPr>
              <w:t>Создание условий, согласно которым хозяйствующие субъекты, доля участия субъекта Российской Федерации или муниципального образования в которых составляет 50 и более процентов, при допуске к участию в закупках для обеспечения государственных и муниципальных нужд принимают участие в указанных закупках на равных условиях (с проведением конкурентных процедур) с иными хозяйствующими субъектами</w:t>
            </w:r>
          </w:p>
        </w:tc>
        <w:tc>
          <w:tcPr>
            <w:tcW w:w="723" w:type="pct"/>
            <w:shd w:val="clear" w:color="auto" w:fill="FFFFFF" w:themeFill="background1"/>
          </w:tcPr>
          <w:p w14:paraId="05C9663D" w14:textId="77777777" w:rsidR="003F26A5" w:rsidRPr="00367300" w:rsidRDefault="003F26A5" w:rsidP="00367300">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 xml:space="preserve">Осуществление закупок для обеспечения государственных и муниципальных нужд осуществляется в соответствии с положениями Федерального закона от 05.04.2013 № 44-ФЗ «О контрактной системе в сфере закупок товаров, работ, услуг для </w:t>
            </w:r>
            <w:r w:rsidRPr="00367300">
              <w:rPr>
                <w:rFonts w:ascii="Times New Roman" w:hAnsi="Times New Roman" w:cs="Times New Roman"/>
                <w:sz w:val="24"/>
                <w:szCs w:val="24"/>
              </w:rPr>
              <w:lastRenderedPageBreak/>
              <w:t xml:space="preserve">обеспечения государственных </w:t>
            </w:r>
          </w:p>
          <w:p w14:paraId="1A63F36D" w14:textId="77777777" w:rsidR="003F26A5" w:rsidRPr="00367300" w:rsidRDefault="003F26A5" w:rsidP="00367300">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 xml:space="preserve">и муниципальных нужд» </w:t>
            </w:r>
          </w:p>
          <w:p w14:paraId="077E5818" w14:textId="77777777" w:rsidR="003F26A5" w:rsidRPr="00891093" w:rsidRDefault="003F26A5" w:rsidP="00367300">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t>до 100%</w:t>
            </w:r>
          </w:p>
        </w:tc>
        <w:tc>
          <w:tcPr>
            <w:tcW w:w="337" w:type="pct"/>
            <w:shd w:val="clear" w:color="auto" w:fill="FFFFFF" w:themeFill="background1"/>
          </w:tcPr>
          <w:p w14:paraId="15064CBD" w14:textId="77777777" w:rsidR="003F26A5" w:rsidRPr="00891093" w:rsidRDefault="003F26A5" w:rsidP="00891093">
            <w:pPr>
              <w:ind w:left="57" w:right="57"/>
              <w:contextualSpacing/>
              <w:rPr>
                <w:rFonts w:ascii="Times New Roman" w:hAnsi="Times New Roman" w:cs="Times New Roman"/>
                <w:bCs/>
                <w:sz w:val="24"/>
                <w:szCs w:val="24"/>
              </w:rPr>
            </w:pPr>
            <w:r w:rsidRPr="00891093">
              <w:rPr>
                <w:rFonts w:ascii="Times New Roman" w:hAnsi="Times New Roman" w:cs="Times New Roman"/>
                <w:sz w:val="24"/>
                <w:szCs w:val="24"/>
              </w:rPr>
              <w:lastRenderedPageBreak/>
              <w:t>2019-2022 годы</w:t>
            </w:r>
          </w:p>
        </w:tc>
        <w:tc>
          <w:tcPr>
            <w:tcW w:w="463" w:type="pct"/>
            <w:shd w:val="clear" w:color="auto" w:fill="FFFFFF" w:themeFill="background1"/>
          </w:tcPr>
          <w:p w14:paraId="2DBAB518" w14:textId="77777777" w:rsidR="003F26A5" w:rsidRPr="00AE06D3" w:rsidRDefault="003F26A5" w:rsidP="00891093">
            <w:pPr>
              <w:ind w:left="57" w:right="57"/>
              <w:rPr>
                <w:rFonts w:ascii="Times New Roman" w:hAnsi="Times New Roman" w:cs="Times New Roman"/>
                <w:sz w:val="24"/>
                <w:szCs w:val="24"/>
              </w:rPr>
            </w:pPr>
            <w:r w:rsidRPr="00891093">
              <w:rPr>
                <w:rFonts w:ascii="Times New Roman" w:hAnsi="Times New Roman" w:cs="Times New Roman"/>
                <w:sz w:val="24"/>
                <w:szCs w:val="24"/>
              </w:rPr>
              <w:t>ОИОГВ НСО, осуществ</w:t>
            </w:r>
            <w:r w:rsidRPr="00AE06D3">
              <w:rPr>
                <w:rFonts w:ascii="Times New Roman" w:hAnsi="Times New Roman" w:cs="Times New Roman"/>
                <w:sz w:val="24"/>
                <w:szCs w:val="24"/>
              </w:rPr>
              <w:t xml:space="preserve">ляющие права акционера (участника) </w:t>
            </w:r>
          </w:p>
          <w:p w14:paraId="6EC229AA" w14:textId="77777777" w:rsidR="003F26A5" w:rsidRPr="00FC74FE" w:rsidRDefault="003F26A5" w:rsidP="00891093">
            <w:pPr>
              <w:ind w:left="57" w:right="57"/>
              <w:rPr>
                <w:rFonts w:ascii="Times New Roman" w:hAnsi="Times New Roman" w:cs="Times New Roman"/>
                <w:sz w:val="24"/>
                <w:szCs w:val="24"/>
              </w:rPr>
            </w:pPr>
            <w:r w:rsidRPr="00FC74FE">
              <w:rPr>
                <w:rFonts w:ascii="Times New Roman" w:hAnsi="Times New Roman" w:cs="Times New Roman"/>
                <w:sz w:val="24"/>
                <w:szCs w:val="24"/>
              </w:rPr>
              <w:t xml:space="preserve">от имени Новосибирской области в хозяйственных обществах, акции (доли) которых находятся </w:t>
            </w:r>
          </w:p>
          <w:p w14:paraId="29C557B2" w14:textId="77777777" w:rsidR="003F26A5" w:rsidRPr="00FC74FE" w:rsidRDefault="003F26A5" w:rsidP="00891093">
            <w:pPr>
              <w:ind w:left="57" w:right="57"/>
              <w:rPr>
                <w:rFonts w:ascii="Times New Roman" w:hAnsi="Times New Roman" w:cs="Times New Roman"/>
                <w:sz w:val="24"/>
                <w:szCs w:val="24"/>
              </w:rPr>
            </w:pPr>
            <w:r w:rsidRPr="00FC74FE">
              <w:rPr>
                <w:rFonts w:ascii="Times New Roman" w:hAnsi="Times New Roman" w:cs="Times New Roman"/>
                <w:sz w:val="24"/>
                <w:szCs w:val="24"/>
              </w:rPr>
              <w:lastRenderedPageBreak/>
              <w:t>в государственной собственности Новосибирской области;</w:t>
            </w:r>
          </w:p>
          <w:p w14:paraId="12C201BD" w14:textId="77777777" w:rsidR="003F26A5" w:rsidRPr="009B4FC0" w:rsidRDefault="003F26A5" w:rsidP="00891093">
            <w:pPr>
              <w:ind w:left="57" w:right="57"/>
              <w:rPr>
                <w:rFonts w:ascii="Times New Roman" w:hAnsi="Times New Roman" w:cs="Times New Roman"/>
                <w:sz w:val="24"/>
                <w:szCs w:val="24"/>
              </w:rPr>
            </w:pPr>
            <w:r w:rsidRPr="009B4FC0">
              <w:rPr>
                <w:rFonts w:ascii="Times New Roman" w:hAnsi="Times New Roman" w:cs="Times New Roman"/>
                <w:sz w:val="24"/>
                <w:szCs w:val="24"/>
              </w:rPr>
              <w:t>ОМСУ НСО</w:t>
            </w:r>
          </w:p>
        </w:tc>
        <w:tc>
          <w:tcPr>
            <w:tcW w:w="2031" w:type="pct"/>
            <w:shd w:val="clear" w:color="auto" w:fill="FFFFFF" w:themeFill="background1"/>
          </w:tcPr>
          <w:p w14:paraId="37C95A5F" w14:textId="77777777" w:rsidR="003F26A5" w:rsidRPr="00367300" w:rsidRDefault="003F26A5" w:rsidP="00AE06D3">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lastRenderedPageBreak/>
              <w:t>Осуществление закупок для обеспечения государственных и муниципальных нужд осуществляется в соответствии с положениями Федерального закона от 05.04.2013 г. № 44-ФЗ «О контрактной системе в сфере закупок товаров, работ, услуг для обеспечения государственных и муниципальных нужд». В соответствии с данным законом хозяйствующие субъекты, доля участия субъекта Российской Федерации или муниципального образования в которых составляет 50 и более процентов, участвуют в закупках для обеспечения государственных и муниципальных нужд на равных условиях (с проведением конкурентных процедур) с иными хозяйствующими субъектами. Создание дополнительных условий не требуется.</w:t>
            </w:r>
          </w:p>
          <w:p w14:paraId="429CB685" w14:textId="77777777" w:rsidR="003F26A5" w:rsidRPr="00367300" w:rsidRDefault="003F26A5" w:rsidP="00AE06D3">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lastRenderedPageBreak/>
              <w:t>Участие в закупках АО «РНИЦ НСО» осуществляется в рамках положения о закупках и регламентируется требованиям федеральных законов №44-ФЗ и № 223-ФЗ</w:t>
            </w:r>
            <w:r w:rsidR="003523D7" w:rsidRPr="00367300">
              <w:rPr>
                <w:rFonts w:ascii="Times New Roman" w:hAnsi="Times New Roman" w:cs="Times New Roman"/>
                <w:sz w:val="24"/>
                <w:szCs w:val="24"/>
              </w:rPr>
              <w:t>.</w:t>
            </w:r>
          </w:p>
        </w:tc>
      </w:tr>
      <w:tr w:rsidR="003F26A5" w:rsidRPr="00367300" w14:paraId="7849D8B4" w14:textId="77777777" w:rsidTr="003F26A5">
        <w:trPr>
          <w:gridAfter w:val="1"/>
          <w:wAfter w:w="3" w:type="pct"/>
        </w:trPr>
        <w:tc>
          <w:tcPr>
            <w:tcW w:w="335" w:type="pct"/>
          </w:tcPr>
          <w:p w14:paraId="1A87DB90"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5.5</w:t>
            </w:r>
          </w:p>
        </w:tc>
        <w:tc>
          <w:tcPr>
            <w:tcW w:w="1108" w:type="pct"/>
          </w:tcPr>
          <w:p w14:paraId="68FEE519"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Предоставление земельных участков юридическим лицам </w:t>
            </w:r>
          </w:p>
          <w:p w14:paraId="15A7DC5B"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в аренду без проведения торгов </w:t>
            </w:r>
          </w:p>
          <w:p w14:paraId="63BD5497"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для размещения объектов физической культуры и спорта</w:t>
            </w:r>
          </w:p>
        </w:tc>
        <w:tc>
          <w:tcPr>
            <w:tcW w:w="723" w:type="pct"/>
          </w:tcPr>
          <w:p w14:paraId="71631445" w14:textId="77777777" w:rsidR="003F26A5" w:rsidRPr="00367300" w:rsidRDefault="003F26A5" w:rsidP="00367300">
            <w:pPr>
              <w:ind w:left="57" w:right="57"/>
              <w:contextualSpacing/>
              <w:rPr>
                <w:rFonts w:ascii="Times New Roman" w:hAnsi="Times New Roman" w:cs="Times New Roman"/>
                <w:sz w:val="24"/>
                <w:szCs w:val="24"/>
              </w:rPr>
            </w:pPr>
            <w:r w:rsidRPr="00367300">
              <w:rPr>
                <w:rFonts w:ascii="Times New Roman" w:hAnsi="Times New Roman" w:cs="Times New Roman"/>
                <w:sz w:val="24"/>
                <w:szCs w:val="24"/>
              </w:rPr>
              <w:t>Упрощение доступа инвесторам к земельным ресурсам</w:t>
            </w:r>
          </w:p>
        </w:tc>
        <w:tc>
          <w:tcPr>
            <w:tcW w:w="337" w:type="pct"/>
          </w:tcPr>
          <w:p w14:paraId="010D9F18" w14:textId="77777777" w:rsidR="003F26A5" w:rsidRPr="00891093" w:rsidRDefault="003F26A5" w:rsidP="00891093">
            <w:pPr>
              <w:ind w:left="57" w:right="57"/>
              <w:contextualSpacing/>
              <w:rPr>
                <w:rFonts w:ascii="Times New Roman" w:hAnsi="Times New Roman" w:cs="Times New Roman"/>
                <w:sz w:val="24"/>
                <w:szCs w:val="24"/>
              </w:rPr>
            </w:pPr>
            <w:r w:rsidRPr="00891093">
              <w:rPr>
                <w:rFonts w:ascii="Times New Roman" w:hAnsi="Times New Roman" w:cs="Times New Roman"/>
                <w:sz w:val="24"/>
                <w:szCs w:val="24"/>
              </w:rPr>
              <w:t>2020-2022 годы</w:t>
            </w:r>
          </w:p>
        </w:tc>
        <w:tc>
          <w:tcPr>
            <w:tcW w:w="463" w:type="pct"/>
          </w:tcPr>
          <w:p w14:paraId="029D114C" w14:textId="77777777" w:rsidR="003F26A5" w:rsidRPr="00891093" w:rsidRDefault="003F26A5" w:rsidP="00891093">
            <w:pPr>
              <w:widowControl w:val="0"/>
              <w:autoSpaceDE w:val="0"/>
              <w:autoSpaceDN w:val="0"/>
              <w:ind w:left="57" w:right="57" w:hanging="5"/>
              <w:rPr>
                <w:rFonts w:ascii="Times New Roman" w:eastAsia="Times New Roman" w:hAnsi="Times New Roman" w:cs="Times New Roman"/>
                <w:sz w:val="24"/>
                <w:szCs w:val="24"/>
              </w:rPr>
            </w:pPr>
            <w:r w:rsidRPr="00891093">
              <w:rPr>
                <w:rFonts w:ascii="Times New Roman" w:eastAsia="Times New Roman" w:hAnsi="Times New Roman" w:cs="Times New Roman"/>
                <w:sz w:val="24"/>
                <w:szCs w:val="24"/>
              </w:rPr>
              <w:t>МФКиС НСО,</w:t>
            </w:r>
          </w:p>
          <w:p w14:paraId="5EAD3F37" w14:textId="77777777" w:rsidR="003F26A5" w:rsidRPr="00891093" w:rsidRDefault="003F26A5" w:rsidP="00891093">
            <w:pPr>
              <w:widowControl w:val="0"/>
              <w:autoSpaceDE w:val="0"/>
              <w:autoSpaceDN w:val="0"/>
              <w:ind w:left="57" w:right="57" w:hanging="5"/>
              <w:rPr>
                <w:rFonts w:ascii="Times New Roman" w:eastAsia="Times New Roman" w:hAnsi="Times New Roman" w:cs="Times New Roman"/>
                <w:sz w:val="24"/>
                <w:szCs w:val="24"/>
              </w:rPr>
            </w:pPr>
            <w:r w:rsidRPr="00891093">
              <w:rPr>
                <w:rFonts w:ascii="Times New Roman" w:eastAsia="Times New Roman" w:hAnsi="Times New Roman" w:cs="Times New Roman"/>
                <w:sz w:val="24"/>
                <w:szCs w:val="24"/>
              </w:rPr>
              <w:t>ДИиЗО НСО,</w:t>
            </w:r>
          </w:p>
          <w:p w14:paraId="375F0592" w14:textId="77777777" w:rsidR="003F26A5" w:rsidRPr="00891093" w:rsidRDefault="003F26A5" w:rsidP="00891093">
            <w:pPr>
              <w:autoSpaceDE w:val="0"/>
              <w:autoSpaceDN w:val="0"/>
              <w:adjustRightInd w:val="0"/>
              <w:ind w:left="57" w:right="57" w:hanging="5"/>
              <w:contextualSpacing/>
              <w:rPr>
                <w:rFonts w:ascii="Times New Roman" w:eastAsia="Times New Roman" w:hAnsi="Times New Roman" w:cs="Times New Roman"/>
                <w:sz w:val="24"/>
                <w:szCs w:val="24"/>
              </w:rPr>
            </w:pPr>
            <w:r w:rsidRPr="00891093">
              <w:rPr>
                <w:rFonts w:ascii="Times New Roman" w:eastAsia="Times New Roman" w:hAnsi="Times New Roman" w:cs="Times New Roman"/>
                <w:sz w:val="24"/>
                <w:szCs w:val="24"/>
              </w:rPr>
              <w:t>ОМСУ НСО</w:t>
            </w:r>
          </w:p>
        </w:tc>
        <w:tc>
          <w:tcPr>
            <w:tcW w:w="2031" w:type="pct"/>
          </w:tcPr>
          <w:p w14:paraId="53658270" w14:textId="77777777" w:rsidR="003F26A5" w:rsidRPr="00FC74FE" w:rsidRDefault="003F26A5" w:rsidP="00AE06D3">
            <w:pPr>
              <w:ind w:left="57" w:right="57" w:firstLine="329"/>
              <w:jc w:val="both"/>
              <w:rPr>
                <w:rFonts w:ascii="Times New Roman" w:hAnsi="Times New Roman" w:cs="Times New Roman"/>
                <w:sz w:val="24"/>
                <w:szCs w:val="24"/>
              </w:rPr>
            </w:pPr>
            <w:r w:rsidRPr="00AE06D3">
              <w:rPr>
                <w:rFonts w:ascii="Times New Roman" w:hAnsi="Times New Roman" w:cs="Times New Roman"/>
                <w:sz w:val="24"/>
                <w:szCs w:val="24"/>
              </w:rPr>
              <w:t xml:space="preserve">Срок реализации мероприятия 2020-2022 </w:t>
            </w:r>
            <w:r w:rsidRPr="00FC74FE">
              <w:rPr>
                <w:rFonts w:ascii="Times New Roman" w:hAnsi="Times New Roman" w:cs="Times New Roman"/>
                <w:sz w:val="24"/>
                <w:szCs w:val="24"/>
              </w:rPr>
              <w:t>годы</w:t>
            </w:r>
          </w:p>
        </w:tc>
      </w:tr>
      <w:tr w:rsidR="003F26A5" w:rsidRPr="00367300" w14:paraId="03544586" w14:textId="77777777" w:rsidTr="003F26A5">
        <w:tc>
          <w:tcPr>
            <w:tcW w:w="5000" w:type="pct"/>
            <w:gridSpan w:val="7"/>
            <w:shd w:val="clear" w:color="auto" w:fill="auto"/>
          </w:tcPr>
          <w:p w14:paraId="440B5F4F" w14:textId="77777777" w:rsidR="003F26A5" w:rsidRPr="00367300" w:rsidRDefault="003F26A5" w:rsidP="00367300">
            <w:pPr>
              <w:ind w:left="57" w:right="57"/>
              <w:contextualSpacing/>
              <w:rPr>
                <w:rFonts w:ascii="Times New Roman" w:hAnsi="Times New Roman" w:cs="Times New Roman"/>
                <w:b/>
                <w:bCs/>
                <w:sz w:val="24"/>
                <w:szCs w:val="24"/>
              </w:rPr>
            </w:pPr>
            <w:r w:rsidRPr="00367300">
              <w:rPr>
                <w:rFonts w:ascii="Times New Roman" w:hAnsi="Times New Roman" w:cs="Times New Roman"/>
                <w:b/>
                <w:bCs/>
                <w:sz w:val="24"/>
                <w:szCs w:val="24"/>
              </w:rPr>
              <w:t>6. Создание условий для недискриминационного доступа хозяйствующих субъектов на товарные рынки</w:t>
            </w:r>
          </w:p>
        </w:tc>
      </w:tr>
    </w:tbl>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269"/>
        <w:gridCol w:w="2131"/>
        <w:gridCol w:w="993"/>
        <w:gridCol w:w="1364"/>
        <w:gridCol w:w="5987"/>
      </w:tblGrid>
      <w:tr w:rsidR="003F26A5" w:rsidRPr="00367300" w14:paraId="03B4D5D7" w14:textId="77777777" w:rsidTr="00ED2DB5">
        <w:tc>
          <w:tcPr>
            <w:tcW w:w="335" w:type="pct"/>
            <w:shd w:val="clear" w:color="auto" w:fill="FFFFFF" w:themeFill="background1"/>
          </w:tcPr>
          <w:p w14:paraId="52FBE7C4"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6.1</w:t>
            </w:r>
          </w:p>
        </w:tc>
        <w:tc>
          <w:tcPr>
            <w:tcW w:w="1108" w:type="pct"/>
            <w:shd w:val="clear" w:color="auto" w:fill="FFFFFF" w:themeFill="background1"/>
          </w:tcPr>
          <w:p w14:paraId="24F72BFD" w14:textId="77777777" w:rsidR="003F26A5" w:rsidRPr="00367300" w:rsidRDefault="003F26A5" w:rsidP="00367300">
            <w:pPr>
              <w:autoSpaceDE w:val="0"/>
              <w:autoSpaceDN w:val="0"/>
              <w:adjustRightInd w:val="0"/>
              <w:jc w:val="both"/>
              <w:rPr>
                <w:rFonts w:ascii="Times New Roman" w:hAnsi="Times New Roman" w:cs="Times New Roman"/>
                <w:sz w:val="24"/>
                <w:szCs w:val="24"/>
              </w:rPr>
            </w:pPr>
            <w:r w:rsidRPr="00367300">
              <w:rPr>
                <w:rFonts w:ascii="Times New Roman" w:hAnsi="Times New Roman" w:cs="Times New Roman"/>
                <w:sz w:val="24"/>
                <w:szCs w:val="24"/>
              </w:rPr>
              <w:t xml:space="preserve">Предоставление хозяйствующим субъектам мер государственной </w:t>
            </w:r>
          </w:p>
          <w:p w14:paraId="395F54F7" w14:textId="77777777" w:rsidR="003F26A5" w:rsidRPr="00367300" w:rsidRDefault="003F26A5" w:rsidP="00367300">
            <w:pPr>
              <w:autoSpaceDE w:val="0"/>
              <w:autoSpaceDN w:val="0"/>
              <w:adjustRightInd w:val="0"/>
              <w:jc w:val="both"/>
              <w:rPr>
                <w:rFonts w:ascii="Times New Roman" w:hAnsi="Times New Roman" w:cs="Times New Roman"/>
                <w:sz w:val="24"/>
                <w:szCs w:val="24"/>
              </w:rPr>
            </w:pPr>
            <w:r w:rsidRPr="00367300">
              <w:rPr>
                <w:rFonts w:ascii="Times New Roman" w:hAnsi="Times New Roman" w:cs="Times New Roman"/>
                <w:sz w:val="24"/>
                <w:szCs w:val="24"/>
              </w:rPr>
              <w:t xml:space="preserve">и муниципальной поддержки </w:t>
            </w:r>
          </w:p>
          <w:p w14:paraId="194B4938" w14:textId="77777777" w:rsidR="003F26A5" w:rsidRPr="00367300" w:rsidRDefault="003F26A5" w:rsidP="00367300">
            <w:pPr>
              <w:autoSpaceDE w:val="0"/>
              <w:autoSpaceDN w:val="0"/>
              <w:adjustRightInd w:val="0"/>
              <w:jc w:val="both"/>
              <w:rPr>
                <w:rFonts w:ascii="Times New Roman" w:hAnsi="Times New Roman" w:cs="Times New Roman"/>
                <w:sz w:val="24"/>
                <w:szCs w:val="24"/>
              </w:rPr>
            </w:pPr>
            <w:r w:rsidRPr="00367300">
              <w:rPr>
                <w:rFonts w:ascii="Times New Roman" w:hAnsi="Times New Roman" w:cs="Times New Roman"/>
                <w:sz w:val="24"/>
                <w:szCs w:val="24"/>
              </w:rPr>
              <w:t>на равных условиях</w:t>
            </w:r>
          </w:p>
        </w:tc>
        <w:tc>
          <w:tcPr>
            <w:tcW w:w="723" w:type="pct"/>
            <w:shd w:val="clear" w:color="auto" w:fill="FFFFFF" w:themeFill="background1"/>
          </w:tcPr>
          <w:p w14:paraId="7844B9BD"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 xml:space="preserve">Создание прозрачных </w:t>
            </w:r>
          </w:p>
          <w:p w14:paraId="7F96840A"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и недискриминационных условий доступа на товарные рынки региона хозяйствующим субъектам</w:t>
            </w:r>
          </w:p>
        </w:tc>
        <w:tc>
          <w:tcPr>
            <w:tcW w:w="337" w:type="pct"/>
            <w:shd w:val="clear" w:color="auto" w:fill="FFFFFF" w:themeFill="background1"/>
          </w:tcPr>
          <w:p w14:paraId="4C54618D"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Постоянно</w:t>
            </w:r>
          </w:p>
        </w:tc>
        <w:tc>
          <w:tcPr>
            <w:tcW w:w="463" w:type="pct"/>
            <w:shd w:val="clear" w:color="auto" w:fill="FFFFFF" w:themeFill="background1"/>
          </w:tcPr>
          <w:p w14:paraId="5C2F4A0B" w14:textId="77777777" w:rsidR="003F26A5" w:rsidRPr="00AE06D3" w:rsidRDefault="003F26A5" w:rsidP="00891093">
            <w:pPr>
              <w:contextualSpacing/>
              <w:rPr>
                <w:rFonts w:ascii="Times New Roman" w:hAnsi="Times New Roman" w:cs="Times New Roman"/>
                <w:sz w:val="24"/>
                <w:szCs w:val="24"/>
              </w:rPr>
            </w:pPr>
            <w:r w:rsidRPr="00AE06D3">
              <w:rPr>
                <w:rFonts w:ascii="Times New Roman" w:hAnsi="Times New Roman" w:cs="Times New Roman"/>
                <w:sz w:val="24"/>
                <w:szCs w:val="24"/>
              </w:rPr>
              <w:t>ОИОГВ НСО,</w:t>
            </w:r>
          </w:p>
          <w:p w14:paraId="1D387073" w14:textId="77777777" w:rsidR="003F26A5" w:rsidRPr="00FC74FE" w:rsidRDefault="003F26A5" w:rsidP="00AE06D3">
            <w:pPr>
              <w:contextualSpacing/>
              <w:rPr>
                <w:rFonts w:ascii="Times New Roman" w:hAnsi="Times New Roman" w:cs="Times New Roman"/>
                <w:sz w:val="24"/>
                <w:szCs w:val="24"/>
              </w:rPr>
            </w:pPr>
            <w:r w:rsidRPr="00FC74FE">
              <w:rPr>
                <w:rFonts w:ascii="Times New Roman" w:hAnsi="Times New Roman" w:cs="Times New Roman"/>
                <w:sz w:val="24"/>
                <w:szCs w:val="24"/>
              </w:rPr>
              <w:t>ОМСУ НСО</w:t>
            </w:r>
          </w:p>
        </w:tc>
        <w:tc>
          <w:tcPr>
            <w:tcW w:w="2031" w:type="pct"/>
            <w:shd w:val="clear" w:color="auto" w:fill="FFFFFF" w:themeFill="background1"/>
          </w:tcPr>
          <w:p w14:paraId="193EA733" w14:textId="77777777" w:rsidR="003F26A5" w:rsidRPr="00367300" w:rsidRDefault="003F26A5" w:rsidP="00FC74FE">
            <w:pPr>
              <w:ind w:left="-75" w:right="57" w:firstLine="340"/>
              <w:jc w:val="both"/>
              <w:rPr>
                <w:rFonts w:ascii="Times New Roman" w:hAnsi="Times New Roman" w:cs="Times New Roman"/>
                <w:sz w:val="24"/>
                <w:szCs w:val="24"/>
              </w:rPr>
            </w:pPr>
            <w:r w:rsidRPr="009B4FC0">
              <w:rPr>
                <w:rFonts w:ascii="Times New Roman" w:hAnsi="Times New Roman" w:cs="Times New Roman"/>
                <w:sz w:val="24"/>
                <w:szCs w:val="24"/>
              </w:rPr>
              <w:t>В отчетном периоде осуществлялось предоставление хозяйствующим субъектам мер государственной поддержки в рамках реализации государственной программы Новосибирско</w:t>
            </w:r>
            <w:r w:rsidRPr="00367300">
              <w:rPr>
                <w:rFonts w:ascii="Times New Roman" w:hAnsi="Times New Roman" w:cs="Times New Roman"/>
                <w:sz w:val="24"/>
                <w:szCs w:val="24"/>
              </w:rPr>
              <w:t>й области «Стимулирование инвестиционной и инновационной активности в Новосибирской области», утвержденной постановлением Правительства Новосибирской области от 01.04.2015 № 126-п.</w:t>
            </w:r>
          </w:p>
          <w:p w14:paraId="13A10494" w14:textId="77777777" w:rsidR="003F26A5" w:rsidRPr="00367300" w:rsidRDefault="003F26A5" w:rsidP="009B4FC0">
            <w:pPr>
              <w:ind w:left="-75"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В целях содействия повышению эффективности реализации инвестиционных проектов на территории Новосибирской области инвесторам, прошедшим конкурсный отбор, была предоставлена государственная поддержка. По итогам 2019 года 23 инвестора воспользовались налоговыми льготами на сумму 133 млн. рублей. Перечислено субсидий в 2019 году 11 инвесторам на сумму 273,9 млн. рублей. </w:t>
            </w:r>
          </w:p>
          <w:p w14:paraId="23396C52" w14:textId="77777777" w:rsidR="003F26A5" w:rsidRPr="00367300" w:rsidRDefault="003F26A5" w:rsidP="009B4FC0">
            <w:pPr>
              <w:ind w:left="-75" w:right="57" w:firstLine="340"/>
              <w:jc w:val="both"/>
              <w:rPr>
                <w:rFonts w:ascii="Times New Roman" w:hAnsi="Times New Roman" w:cs="Times New Roman"/>
                <w:sz w:val="24"/>
                <w:szCs w:val="24"/>
              </w:rPr>
            </w:pPr>
            <w:r w:rsidRPr="00367300">
              <w:rPr>
                <w:rFonts w:ascii="Times New Roman" w:hAnsi="Times New Roman" w:cs="Times New Roman"/>
                <w:sz w:val="24"/>
                <w:szCs w:val="24"/>
              </w:rPr>
              <w:lastRenderedPageBreak/>
              <w:t>В 2019 году на заседаниях комиссии по проведению конкурса инвестиционных проектов, был рассмотрен 31 проект с совокупным объемом инвестиций более 40 млрд. рублей, в том числе 11 новых инвестиционных проектов.</w:t>
            </w:r>
          </w:p>
          <w:p w14:paraId="6CFD555C" w14:textId="77777777" w:rsidR="003F26A5" w:rsidRPr="00367300" w:rsidRDefault="003F26A5">
            <w:pPr>
              <w:ind w:left="-75" w:right="57" w:firstLine="340"/>
              <w:jc w:val="both"/>
              <w:rPr>
                <w:rFonts w:ascii="Times New Roman" w:hAnsi="Times New Roman" w:cs="Times New Roman"/>
                <w:sz w:val="24"/>
                <w:szCs w:val="24"/>
              </w:rPr>
            </w:pPr>
            <w:r w:rsidRPr="00367300">
              <w:rPr>
                <w:rFonts w:ascii="Times New Roman" w:hAnsi="Times New Roman" w:cs="Times New Roman"/>
                <w:sz w:val="24"/>
                <w:szCs w:val="24"/>
              </w:rPr>
              <w:t>Государственная поддержка в виде субсидий осуществлялась в том числе бизнес-инкубаторам и управляющим компаниям технопарков на возмещение затрат, связанных с предоставлением услуг субъектам инновационной деятельности; - субъектам инновационной деятельности на подготовку, осуществление трансфера и коммерциализацию технологий, включая выпуск опытной партии продукции, ее сертификацию, модернизацию производства и прочие мероприятия.</w:t>
            </w:r>
          </w:p>
          <w:p w14:paraId="4DC0A6E1" w14:textId="77777777" w:rsidR="003F26A5" w:rsidRPr="00367300" w:rsidRDefault="003F26A5">
            <w:pPr>
              <w:ind w:left="-75" w:right="57" w:firstLine="340"/>
              <w:jc w:val="both"/>
              <w:rPr>
                <w:rFonts w:ascii="Times New Roman" w:hAnsi="Times New Roman" w:cs="Times New Roman"/>
                <w:sz w:val="24"/>
                <w:szCs w:val="24"/>
              </w:rPr>
            </w:pPr>
            <w:r w:rsidRPr="00367300">
              <w:rPr>
                <w:rFonts w:ascii="Times New Roman" w:hAnsi="Times New Roman" w:cs="Times New Roman"/>
                <w:sz w:val="24"/>
                <w:szCs w:val="24"/>
              </w:rPr>
              <w:t>Предоставление государственной поддержки в виде снижения ставки налога на прибыль ИТ-организациям Новосибирской области осуществляется в соответствии с требованиями Закона Новосибирской области от 16.10.2003 № 142-ОЗ «О налогах и особенностях налогообложения отдельных категорий налогоплательщиков в Новосибирской области».</w:t>
            </w:r>
          </w:p>
          <w:p w14:paraId="72CED456" w14:textId="77777777" w:rsidR="003F26A5" w:rsidRPr="00367300" w:rsidRDefault="003F26A5">
            <w:pPr>
              <w:ind w:left="-75" w:right="57" w:firstLine="340"/>
              <w:jc w:val="both"/>
              <w:rPr>
                <w:rFonts w:ascii="Times New Roman" w:hAnsi="Times New Roman" w:cs="Times New Roman"/>
                <w:sz w:val="24"/>
                <w:szCs w:val="24"/>
              </w:rPr>
            </w:pPr>
            <w:r w:rsidRPr="00367300">
              <w:rPr>
                <w:rFonts w:ascii="Times New Roman" w:hAnsi="Times New Roman" w:cs="Times New Roman"/>
                <w:sz w:val="24"/>
                <w:szCs w:val="24"/>
              </w:rPr>
              <w:t>В соответствии с условиями проведения конкурсов на оказание имущественной и финансовой муниципальной поддержки СМиСП имеют равный доступ к участию в данных видах поддержки. Вся информация об условиях проведения размещается в соответствии с условиями проведения и участия в данных конкурсах на официальных ресурсах муниципальных образований.</w:t>
            </w:r>
          </w:p>
        </w:tc>
      </w:tr>
    </w:tbl>
    <w:tbl>
      <w:tblPr>
        <w:tblStyle w:val="af8"/>
        <w:tblW w:w="5059" w:type="pct"/>
        <w:tblLayout w:type="fixed"/>
        <w:tblLook w:val="04A0" w:firstRow="1" w:lastRow="0" w:firstColumn="1" w:lastColumn="0" w:noHBand="0" w:noVBand="1"/>
      </w:tblPr>
      <w:tblGrid>
        <w:gridCol w:w="987"/>
        <w:gridCol w:w="3265"/>
        <w:gridCol w:w="2130"/>
        <w:gridCol w:w="993"/>
        <w:gridCol w:w="1364"/>
        <w:gridCol w:w="5984"/>
        <w:gridCol w:w="9"/>
      </w:tblGrid>
      <w:tr w:rsidR="003F26A5" w:rsidRPr="00367300" w14:paraId="38B65117" w14:textId="77777777" w:rsidTr="003F26A5">
        <w:trPr>
          <w:gridAfter w:val="1"/>
          <w:wAfter w:w="3" w:type="pct"/>
        </w:trPr>
        <w:tc>
          <w:tcPr>
            <w:tcW w:w="335" w:type="pct"/>
          </w:tcPr>
          <w:p w14:paraId="4B7C507A"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6.2</w:t>
            </w:r>
          </w:p>
        </w:tc>
        <w:tc>
          <w:tcPr>
            <w:tcW w:w="1108" w:type="pct"/>
          </w:tcPr>
          <w:p w14:paraId="7B283B13"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Размещение на сайте Правительства Новосибирской области в </w:t>
            </w:r>
            <w:r w:rsidRPr="00367300">
              <w:rPr>
                <w:rFonts w:ascii="Times New Roman" w:hAnsi="Times New Roman" w:cs="Times New Roman"/>
                <w:sz w:val="24"/>
                <w:szCs w:val="24"/>
              </w:rPr>
              <w:lastRenderedPageBreak/>
              <w:t>разделе «Бизнесу» информации о мерах государственной поддержки организаций по сферам деятельности, а также субъектов МСП</w:t>
            </w:r>
          </w:p>
        </w:tc>
        <w:tc>
          <w:tcPr>
            <w:tcW w:w="723" w:type="pct"/>
          </w:tcPr>
          <w:p w14:paraId="516F312D" w14:textId="77777777" w:rsidR="003F26A5" w:rsidRPr="00367300" w:rsidRDefault="003F26A5" w:rsidP="00367300">
            <w:pPr>
              <w:contextualSpacing/>
              <w:rPr>
                <w:rFonts w:ascii="Times New Roman" w:hAnsi="Times New Roman" w:cs="Times New Roman"/>
                <w:sz w:val="24"/>
                <w:szCs w:val="24"/>
              </w:rPr>
            </w:pPr>
            <w:r w:rsidRPr="00367300">
              <w:rPr>
                <w:rFonts w:ascii="Times New Roman" w:hAnsi="Times New Roman" w:cs="Times New Roman"/>
                <w:sz w:val="24"/>
                <w:szCs w:val="24"/>
              </w:rPr>
              <w:lastRenderedPageBreak/>
              <w:t xml:space="preserve">Информационная открытость о мерах государственной </w:t>
            </w:r>
            <w:r w:rsidRPr="00367300">
              <w:rPr>
                <w:rFonts w:ascii="Times New Roman" w:hAnsi="Times New Roman" w:cs="Times New Roman"/>
                <w:sz w:val="24"/>
                <w:szCs w:val="24"/>
              </w:rPr>
              <w:lastRenderedPageBreak/>
              <w:t xml:space="preserve">поддержки организаций </w:t>
            </w:r>
          </w:p>
          <w:p w14:paraId="31BE6D21" w14:textId="77777777" w:rsidR="003F26A5" w:rsidRPr="00367300" w:rsidRDefault="003F26A5" w:rsidP="00367300">
            <w:pPr>
              <w:contextualSpacing/>
              <w:rPr>
                <w:rFonts w:ascii="Times New Roman" w:hAnsi="Times New Roman" w:cs="Times New Roman"/>
                <w:sz w:val="24"/>
                <w:szCs w:val="24"/>
              </w:rPr>
            </w:pPr>
            <w:r w:rsidRPr="00367300">
              <w:rPr>
                <w:rFonts w:ascii="Times New Roman" w:hAnsi="Times New Roman" w:cs="Times New Roman"/>
                <w:sz w:val="24"/>
                <w:szCs w:val="24"/>
              </w:rPr>
              <w:t xml:space="preserve">по сферам деятельности, </w:t>
            </w:r>
          </w:p>
          <w:p w14:paraId="716D6666"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а также субъектов МСП</w:t>
            </w:r>
          </w:p>
        </w:tc>
        <w:tc>
          <w:tcPr>
            <w:tcW w:w="337" w:type="pct"/>
          </w:tcPr>
          <w:p w14:paraId="0CFE47FA"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lastRenderedPageBreak/>
              <w:t>Постоянно</w:t>
            </w:r>
          </w:p>
        </w:tc>
        <w:tc>
          <w:tcPr>
            <w:tcW w:w="463" w:type="pct"/>
          </w:tcPr>
          <w:p w14:paraId="121BEB1C" w14:textId="77777777" w:rsidR="003F26A5" w:rsidRPr="00891093" w:rsidRDefault="003F26A5" w:rsidP="00891093">
            <w:pPr>
              <w:shd w:val="clear" w:color="auto" w:fill="FFFFFF"/>
              <w:rPr>
                <w:rFonts w:ascii="Times New Roman" w:hAnsi="Times New Roman" w:cs="Times New Roman"/>
                <w:sz w:val="24"/>
                <w:szCs w:val="24"/>
              </w:rPr>
            </w:pPr>
            <w:r w:rsidRPr="00891093">
              <w:rPr>
                <w:rFonts w:ascii="Times New Roman" w:hAnsi="Times New Roman" w:cs="Times New Roman"/>
                <w:sz w:val="24"/>
                <w:szCs w:val="24"/>
              </w:rPr>
              <w:t xml:space="preserve">Минэкономразвития НСО, </w:t>
            </w:r>
            <w:r w:rsidRPr="00891093">
              <w:rPr>
                <w:rFonts w:ascii="Times New Roman" w:hAnsi="Times New Roman" w:cs="Times New Roman"/>
                <w:sz w:val="24"/>
                <w:szCs w:val="24"/>
              </w:rPr>
              <w:lastRenderedPageBreak/>
              <w:t>Минпромторг НСО,</w:t>
            </w:r>
          </w:p>
          <w:p w14:paraId="541747DE" w14:textId="77777777" w:rsidR="003F26A5" w:rsidRPr="00891093" w:rsidRDefault="003F26A5" w:rsidP="00891093">
            <w:pPr>
              <w:shd w:val="clear" w:color="auto" w:fill="FFFFFF"/>
              <w:rPr>
                <w:rFonts w:ascii="Times New Roman" w:hAnsi="Times New Roman" w:cs="Times New Roman"/>
                <w:sz w:val="24"/>
                <w:szCs w:val="24"/>
              </w:rPr>
            </w:pPr>
            <w:r w:rsidRPr="00891093">
              <w:rPr>
                <w:rFonts w:ascii="Times New Roman" w:hAnsi="Times New Roman" w:cs="Times New Roman"/>
                <w:sz w:val="24"/>
                <w:szCs w:val="24"/>
              </w:rPr>
              <w:t>Минобразования НСО,</w:t>
            </w:r>
          </w:p>
          <w:p w14:paraId="1C2D006B" w14:textId="77777777" w:rsidR="003F26A5" w:rsidRPr="00367300" w:rsidRDefault="00E3307E" w:rsidP="00AE06D3">
            <w:pPr>
              <w:shd w:val="clear" w:color="auto" w:fill="FFFFFF"/>
              <w:rPr>
                <w:rFonts w:ascii="Times New Roman" w:hAnsi="Times New Roman" w:cs="Times New Roman"/>
                <w:sz w:val="24"/>
                <w:szCs w:val="24"/>
              </w:rPr>
            </w:pPr>
            <w:hyperlink r:id="rId110" w:history="1">
              <w:r w:rsidR="003F26A5" w:rsidRPr="00367300">
                <w:rPr>
                  <w:rFonts w:ascii="Times New Roman" w:hAnsi="Times New Roman" w:cs="Times New Roman"/>
                  <w:sz w:val="24"/>
                  <w:szCs w:val="24"/>
                </w:rPr>
                <w:t>Миннауки НСО</w:t>
              </w:r>
            </w:hyperlink>
            <w:r w:rsidR="003F26A5" w:rsidRPr="00367300">
              <w:rPr>
                <w:rFonts w:ascii="Times New Roman" w:hAnsi="Times New Roman" w:cs="Times New Roman"/>
                <w:sz w:val="24"/>
                <w:szCs w:val="24"/>
              </w:rPr>
              <w:t>,</w:t>
            </w:r>
          </w:p>
          <w:p w14:paraId="0575CA83" w14:textId="77777777" w:rsidR="003F26A5" w:rsidRPr="00367300" w:rsidRDefault="003F26A5" w:rsidP="00FC74FE">
            <w:pPr>
              <w:shd w:val="clear" w:color="auto" w:fill="FFFFFF"/>
              <w:rPr>
                <w:rFonts w:ascii="Times New Roman" w:hAnsi="Times New Roman" w:cs="Times New Roman"/>
                <w:sz w:val="24"/>
                <w:szCs w:val="24"/>
              </w:rPr>
            </w:pPr>
            <w:r w:rsidRPr="00367300">
              <w:rPr>
                <w:rFonts w:ascii="Times New Roman" w:hAnsi="Times New Roman" w:cs="Times New Roman"/>
                <w:sz w:val="24"/>
                <w:szCs w:val="24"/>
              </w:rPr>
              <w:t>Минсельхоз НСО</w:t>
            </w:r>
          </w:p>
        </w:tc>
        <w:tc>
          <w:tcPr>
            <w:tcW w:w="2031" w:type="pct"/>
          </w:tcPr>
          <w:p w14:paraId="12E6BB90" w14:textId="77777777" w:rsidR="003F26A5" w:rsidRPr="00367300" w:rsidRDefault="003F26A5" w:rsidP="009B4FC0">
            <w:pPr>
              <w:ind w:left="57" w:right="57" w:firstLine="329"/>
              <w:jc w:val="both"/>
              <w:rPr>
                <w:rFonts w:ascii="Times New Roman" w:hAnsi="Times New Roman" w:cs="Times New Roman"/>
                <w:sz w:val="24"/>
                <w:szCs w:val="24"/>
              </w:rPr>
            </w:pPr>
            <w:r w:rsidRPr="00367300">
              <w:rPr>
                <w:rFonts w:ascii="Times New Roman" w:hAnsi="Times New Roman" w:cs="Times New Roman"/>
                <w:sz w:val="24"/>
                <w:szCs w:val="24"/>
              </w:rPr>
              <w:lastRenderedPageBreak/>
              <w:t xml:space="preserve">На сайте Правительства Новосибирской области в разделе «Бизнесу» в течение 2019 года размещалась актуальная информация о мерах государственной </w:t>
            </w:r>
            <w:r w:rsidRPr="00367300">
              <w:rPr>
                <w:rFonts w:ascii="Times New Roman" w:hAnsi="Times New Roman" w:cs="Times New Roman"/>
                <w:sz w:val="24"/>
                <w:szCs w:val="24"/>
              </w:rPr>
              <w:lastRenderedPageBreak/>
              <w:t>поддержки субъектов МСП (</w:t>
            </w:r>
            <w:hyperlink r:id="rId111" w:history="1">
              <w:r w:rsidRPr="00367300">
                <w:rPr>
                  <w:rFonts w:ascii="Times New Roman" w:hAnsi="Times New Roman" w:cs="Times New Roman"/>
                  <w:sz w:val="24"/>
                  <w:szCs w:val="24"/>
                </w:rPr>
                <w:t>http://www.nso.ru/page/11356</w:t>
              </w:r>
            </w:hyperlink>
            <w:r w:rsidRPr="00367300">
              <w:rPr>
                <w:rFonts w:ascii="Times New Roman" w:hAnsi="Times New Roman" w:cs="Times New Roman"/>
                <w:sz w:val="24"/>
                <w:szCs w:val="24"/>
              </w:rPr>
              <w:t>).</w:t>
            </w:r>
          </w:p>
        </w:tc>
      </w:tr>
      <w:tr w:rsidR="003F26A5" w:rsidRPr="00367300" w14:paraId="6899E319" w14:textId="77777777" w:rsidTr="003F26A5">
        <w:tc>
          <w:tcPr>
            <w:tcW w:w="5000" w:type="pct"/>
            <w:gridSpan w:val="7"/>
            <w:shd w:val="clear" w:color="auto" w:fill="auto"/>
          </w:tcPr>
          <w:p w14:paraId="4551A7A9" w14:textId="77777777" w:rsidR="003F26A5" w:rsidRPr="00367300" w:rsidRDefault="003F26A5" w:rsidP="00367300">
            <w:pPr>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lastRenderedPageBreak/>
              <w:t>7. Обеспечение и сохранение целевого использования государственных (муниципальных) объектов</w:t>
            </w:r>
            <w:r w:rsidR="00ED2DB5" w:rsidRPr="00367300">
              <w:rPr>
                <w:rFonts w:ascii="Times New Roman" w:hAnsi="Times New Roman" w:cs="Times New Roman"/>
                <w:b/>
                <w:bCs/>
                <w:sz w:val="24"/>
                <w:szCs w:val="24"/>
              </w:rPr>
              <w:t xml:space="preserve"> </w:t>
            </w:r>
            <w:r w:rsidRPr="00367300">
              <w:rPr>
                <w:rFonts w:ascii="Times New Roman" w:hAnsi="Times New Roman" w:cs="Times New Roman"/>
                <w:b/>
                <w:bCs/>
                <w:sz w:val="24"/>
                <w:szCs w:val="24"/>
              </w:rPr>
              <w:t>недвижимого имущества в социальной сфере</w:t>
            </w:r>
          </w:p>
        </w:tc>
      </w:tr>
      <w:tr w:rsidR="003F26A5" w:rsidRPr="00367300" w14:paraId="73639E2F" w14:textId="77777777" w:rsidTr="003F26A5">
        <w:trPr>
          <w:gridAfter w:val="1"/>
          <w:wAfter w:w="3" w:type="pct"/>
        </w:trPr>
        <w:tc>
          <w:tcPr>
            <w:tcW w:w="335" w:type="pct"/>
          </w:tcPr>
          <w:p w14:paraId="72AA14B7"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7.1</w:t>
            </w:r>
          </w:p>
        </w:tc>
        <w:tc>
          <w:tcPr>
            <w:tcW w:w="1108" w:type="pct"/>
          </w:tcPr>
          <w:p w14:paraId="01E99A22"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bCs/>
                <w:sz w:val="24"/>
                <w:szCs w:val="24"/>
              </w:rPr>
              <w:t xml:space="preserve">Формирование перечня государственных и муниципальных объектов недвижимого имущества, включая не используемые по назначению, в отношении которых планируется заключение соглашений с применением механизмов государственно-частного партнерства </w:t>
            </w:r>
          </w:p>
          <w:p w14:paraId="79CAC252"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bCs/>
                <w:sz w:val="24"/>
                <w:szCs w:val="24"/>
              </w:rPr>
              <w:t>и муниципально-частного партнерства</w:t>
            </w:r>
          </w:p>
          <w:p w14:paraId="728DB7ED" w14:textId="77777777" w:rsidR="003F26A5" w:rsidRPr="00891093" w:rsidRDefault="003F26A5" w:rsidP="00367300">
            <w:pPr>
              <w:autoSpaceDE w:val="0"/>
              <w:autoSpaceDN w:val="0"/>
              <w:adjustRightInd w:val="0"/>
              <w:ind w:left="57" w:right="57"/>
              <w:jc w:val="both"/>
              <w:rPr>
                <w:rFonts w:ascii="Times New Roman" w:hAnsi="Times New Roman" w:cs="Times New Roman"/>
                <w:bCs/>
                <w:sz w:val="24"/>
                <w:szCs w:val="24"/>
              </w:rPr>
            </w:pPr>
            <w:r w:rsidRPr="00367300">
              <w:rPr>
                <w:rFonts w:ascii="Times New Roman" w:hAnsi="Times New Roman" w:cs="Times New Roman"/>
                <w:bCs/>
                <w:sz w:val="24"/>
                <w:szCs w:val="24"/>
              </w:rPr>
              <w:t>в сфере дошкольного образования, детского отдыха и оздоровления, здравоохранения, социа</w:t>
            </w:r>
            <w:r w:rsidRPr="00891093">
              <w:rPr>
                <w:rFonts w:ascii="Times New Roman" w:hAnsi="Times New Roman" w:cs="Times New Roman"/>
                <w:bCs/>
                <w:sz w:val="24"/>
                <w:szCs w:val="24"/>
              </w:rPr>
              <w:t>льного обслуживания</w:t>
            </w:r>
          </w:p>
        </w:tc>
        <w:tc>
          <w:tcPr>
            <w:tcW w:w="723" w:type="pct"/>
          </w:tcPr>
          <w:p w14:paraId="41D604D8"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Перечень объектов, находящихся в собственности Новосибирской области, в отношении которых планируется заключение соглашений с применением механизмов государственно-частного партнерства</w:t>
            </w:r>
          </w:p>
        </w:tc>
        <w:tc>
          <w:tcPr>
            <w:tcW w:w="337" w:type="pct"/>
          </w:tcPr>
          <w:p w14:paraId="4A84B526"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Ежегодно</w:t>
            </w:r>
          </w:p>
        </w:tc>
        <w:tc>
          <w:tcPr>
            <w:tcW w:w="463" w:type="pct"/>
          </w:tcPr>
          <w:p w14:paraId="6026551C"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Минэкономразвития НСО,</w:t>
            </w:r>
          </w:p>
          <w:p w14:paraId="399BF900" w14:textId="77777777" w:rsidR="003F26A5" w:rsidRPr="00AE06D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Минобразования НСО</w:t>
            </w:r>
            <w:r w:rsidRPr="00AE06D3">
              <w:rPr>
                <w:rFonts w:ascii="Times New Roman" w:hAnsi="Times New Roman" w:cs="Times New Roman"/>
                <w:bCs/>
                <w:sz w:val="24"/>
                <w:szCs w:val="24"/>
              </w:rPr>
              <w:t>,</w:t>
            </w:r>
          </w:p>
          <w:p w14:paraId="2FAC4912" w14:textId="77777777" w:rsidR="003F26A5" w:rsidRPr="00FC74FE" w:rsidRDefault="003F26A5" w:rsidP="00AE06D3">
            <w:pPr>
              <w:contextualSpacing/>
              <w:rPr>
                <w:rFonts w:ascii="Times New Roman" w:hAnsi="Times New Roman" w:cs="Times New Roman"/>
                <w:bCs/>
                <w:sz w:val="24"/>
                <w:szCs w:val="24"/>
              </w:rPr>
            </w:pPr>
            <w:r w:rsidRPr="00FC74FE">
              <w:rPr>
                <w:rFonts w:ascii="Times New Roman" w:hAnsi="Times New Roman" w:cs="Times New Roman"/>
                <w:bCs/>
                <w:sz w:val="24"/>
                <w:szCs w:val="24"/>
              </w:rPr>
              <w:t>Минздрав НСО,</w:t>
            </w:r>
          </w:p>
          <w:p w14:paraId="7F7C09BB" w14:textId="77777777" w:rsidR="003F26A5" w:rsidRPr="00367300" w:rsidRDefault="00E3307E" w:rsidP="00FC74FE">
            <w:pPr>
              <w:contextualSpacing/>
              <w:rPr>
                <w:rFonts w:ascii="Times New Roman" w:hAnsi="Times New Roman" w:cs="Times New Roman"/>
                <w:bCs/>
                <w:sz w:val="24"/>
                <w:szCs w:val="24"/>
              </w:rPr>
            </w:pPr>
            <w:hyperlink r:id="rId112" w:history="1">
              <w:r w:rsidR="003F26A5" w:rsidRPr="00367300">
                <w:rPr>
                  <w:rFonts w:ascii="Times New Roman" w:eastAsia="Times New Roman" w:hAnsi="Times New Roman" w:cs="Times New Roman"/>
                  <w:sz w:val="24"/>
                  <w:szCs w:val="24"/>
                </w:rPr>
                <w:t>Минтруд</w:t>
              </w:r>
            </w:hyperlink>
            <w:r w:rsidR="003F26A5" w:rsidRPr="00367300">
              <w:rPr>
                <w:rFonts w:ascii="Times New Roman" w:eastAsia="Times New Roman" w:hAnsi="Times New Roman" w:cs="Times New Roman"/>
                <w:sz w:val="24"/>
                <w:szCs w:val="24"/>
              </w:rPr>
              <w:t xml:space="preserve">а и соцравития НСО, </w:t>
            </w:r>
            <w:r w:rsidR="003F26A5" w:rsidRPr="00367300">
              <w:rPr>
                <w:rFonts w:ascii="Times New Roman" w:hAnsi="Times New Roman" w:cs="Times New Roman"/>
                <w:bCs/>
                <w:sz w:val="24"/>
                <w:szCs w:val="24"/>
              </w:rPr>
              <w:t>ОМСУ НСО</w:t>
            </w:r>
          </w:p>
        </w:tc>
        <w:tc>
          <w:tcPr>
            <w:tcW w:w="2031" w:type="pct"/>
          </w:tcPr>
          <w:p w14:paraId="548E551A" w14:textId="77777777" w:rsidR="003F26A5" w:rsidRPr="00891093" w:rsidRDefault="003F26A5" w:rsidP="009B4FC0">
            <w:pPr>
              <w:ind w:left="57" w:right="57" w:firstLine="329"/>
              <w:jc w:val="both"/>
              <w:rPr>
                <w:rFonts w:ascii="Times New Roman" w:hAnsi="Times New Roman" w:cs="Times New Roman"/>
                <w:color w:val="000000"/>
                <w:sz w:val="24"/>
                <w:szCs w:val="24"/>
              </w:rPr>
            </w:pPr>
            <w:r w:rsidRPr="00367300">
              <w:rPr>
                <w:rFonts w:ascii="Times New Roman" w:hAnsi="Times New Roman" w:cs="Times New Roman"/>
                <w:sz w:val="24"/>
                <w:szCs w:val="24"/>
              </w:rPr>
              <w:t>В 2019 году перечень объектов, право собственности на которые принадлежит или будет принадлежать Новосибирской области, в отношении которых планируется заключение концессионных соглашений, был утвержден распоряжением Правительства Новосибирской области от 05.02.2019 № 32-рп «Об утверждении перечня объектов, право собственности на которые принадлежит или будет принадлежать Новосибирской области, в отношении которых планируется заключение концессионных соглашений». В указанном Перечне содержалась информация о 2 объектах в сфере здравоохранения и 1 объекте в сфере социального обслуживания граждан, в отношении которых планировалось заключение концессионных соглашений.</w:t>
            </w:r>
            <w:r w:rsidRPr="00891093">
              <w:rPr>
                <w:rFonts w:ascii="Times New Roman" w:eastAsiaTheme="minorHAnsi" w:hAnsi="Times New Roman" w:cs="Times New Roman"/>
                <w:b/>
                <w:sz w:val="24"/>
                <w:szCs w:val="24"/>
              </w:rPr>
              <w:t xml:space="preserve"> </w:t>
            </w:r>
          </w:p>
        </w:tc>
      </w:tr>
      <w:tr w:rsidR="003F26A5" w:rsidRPr="00367300" w14:paraId="18305F18" w14:textId="77777777" w:rsidTr="003F26A5">
        <w:trPr>
          <w:trHeight w:val="283"/>
        </w:trPr>
        <w:tc>
          <w:tcPr>
            <w:tcW w:w="5000" w:type="pct"/>
            <w:gridSpan w:val="7"/>
            <w:shd w:val="clear" w:color="auto" w:fill="auto"/>
          </w:tcPr>
          <w:p w14:paraId="4FB865D0" w14:textId="77777777" w:rsidR="003F26A5" w:rsidRPr="00367300" w:rsidRDefault="003F26A5" w:rsidP="00367300">
            <w:pPr>
              <w:autoSpaceDE w:val="0"/>
              <w:autoSpaceDN w:val="0"/>
              <w:adjustRightInd w:val="0"/>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t>8. Содействие развитию практики применения механизмов государственно-частного и муниципально-частного партнерства, в том числе практики заключения концессионных соглашений, в социальной сфере</w:t>
            </w:r>
            <w:r w:rsidR="00ED2DB5" w:rsidRPr="00367300">
              <w:rPr>
                <w:rFonts w:ascii="Times New Roman" w:hAnsi="Times New Roman" w:cs="Times New Roman"/>
                <w:b/>
                <w:bCs/>
                <w:sz w:val="24"/>
                <w:szCs w:val="24"/>
              </w:rPr>
              <w:t xml:space="preserve"> </w:t>
            </w:r>
            <w:r w:rsidRPr="00367300">
              <w:rPr>
                <w:rFonts w:ascii="Times New Roman" w:hAnsi="Times New Roman" w:cs="Times New Roman"/>
                <w:b/>
                <w:bCs/>
                <w:sz w:val="24"/>
                <w:szCs w:val="24"/>
              </w:rPr>
              <w:t xml:space="preserve">(детский отдых и оздоровление, спорт, здравоохранение, социальное обслуживание, дошкольное образование, культура, развитие сетей подвижной радиотелефонной связи в сельской местности, малонаселенных </w:t>
            </w:r>
          </w:p>
          <w:p w14:paraId="7026B666" w14:textId="77777777" w:rsidR="003F26A5" w:rsidRPr="00891093" w:rsidRDefault="003F26A5" w:rsidP="00367300">
            <w:pPr>
              <w:autoSpaceDE w:val="0"/>
              <w:autoSpaceDN w:val="0"/>
              <w:adjustRightInd w:val="0"/>
              <w:ind w:left="57"/>
              <w:contextualSpacing/>
              <w:rPr>
                <w:rFonts w:ascii="Times New Roman" w:hAnsi="Times New Roman" w:cs="Times New Roman"/>
                <w:b/>
                <w:bCs/>
                <w:sz w:val="24"/>
                <w:szCs w:val="24"/>
              </w:rPr>
            </w:pPr>
            <w:r w:rsidRPr="00891093">
              <w:rPr>
                <w:rFonts w:ascii="Times New Roman" w:hAnsi="Times New Roman" w:cs="Times New Roman"/>
                <w:b/>
                <w:bCs/>
                <w:sz w:val="24"/>
                <w:szCs w:val="24"/>
              </w:rPr>
              <w:t>и труднодоступных районах)</w:t>
            </w:r>
          </w:p>
        </w:tc>
      </w:tr>
      <w:tr w:rsidR="003F26A5" w:rsidRPr="00367300" w14:paraId="79A3B97D" w14:textId="77777777" w:rsidTr="003F26A5">
        <w:trPr>
          <w:gridAfter w:val="1"/>
          <w:wAfter w:w="3" w:type="pct"/>
          <w:trHeight w:val="557"/>
        </w:trPr>
        <w:tc>
          <w:tcPr>
            <w:tcW w:w="335" w:type="pct"/>
          </w:tcPr>
          <w:p w14:paraId="12BCCEE6"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8.1</w:t>
            </w:r>
          </w:p>
        </w:tc>
        <w:tc>
          <w:tcPr>
            <w:tcW w:w="1108" w:type="pct"/>
          </w:tcPr>
          <w:p w14:paraId="705A035A"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Актуализация региональной </w:t>
            </w:r>
          </w:p>
          <w:p w14:paraId="483F7D92" w14:textId="77777777" w:rsidR="003F26A5" w:rsidRPr="00891093"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и муниципальной нормативной правовой базы, регулирующей </w:t>
            </w:r>
            <w:r w:rsidRPr="00367300">
              <w:rPr>
                <w:rFonts w:ascii="Times New Roman" w:hAnsi="Times New Roman" w:cs="Times New Roman"/>
                <w:bCs/>
                <w:sz w:val="24"/>
                <w:szCs w:val="24"/>
              </w:rPr>
              <w:t>применение механизмов государственно-частного партнерства и муниципально-частного партнерства</w:t>
            </w:r>
          </w:p>
        </w:tc>
        <w:tc>
          <w:tcPr>
            <w:tcW w:w="723" w:type="pct"/>
          </w:tcPr>
          <w:p w14:paraId="46C116D7" w14:textId="77777777" w:rsidR="003F26A5" w:rsidRPr="00891093" w:rsidRDefault="003F26A5" w:rsidP="00367300">
            <w:pPr>
              <w:autoSpaceDE w:val="0"/>
              <w:autoSpaceDN w:val="0"/>
              <w:adjustRightInd w:val="0"/>
              <w:rPr>
                <w:rFonts w:ascii="Times New Roman" w:hAnsi="Times New Roman" w:cs="Times New Roman"/>
                <w:bCs/>
                <w:sz w:val="24"/>
                <w:szCs w:val="24"/>
              </w:rPr>
            </w:pPr>
            <w:r w:rsidRPr="00891093">
              <w:rPr>
                <w:rFonts w:ascii="Times New Roman" w:hAnsi="Times New Roman" w:cs="Times New Roman"/>
                <w:sz w:val="24"/>
                <w:szCs w:val="24"/>
              </w:rPr>
              <w:t xml:space="preserve">Совершенствование </w:t>
            </w:r>
            <w:r w:rsidRPr="00891093">
              <w:rPr>
                <w:rFonts w:ascii="Times New Roman" w:hAnsi="Times New Roman" w:cs="Times New Roman"/>
                <w:bCs/>
                <w:sz w:val="24"/>
                <w:szCs w:val="24"/>
              </w:rPr>
              <w:t xml:space="preserve">механизмов государственно-частного партнерства </w:t>
            </w:r>
          </w:p>
          <w:p w14:paraId="789616E9" w14:textId="77777777" w:rsidR="003F26A5" w:rsidRPr="00891093" w:rsidRDefault="003F26A5" w:rsidP="00891093">
            <w:pPr>
              <w:autoSpaceDE w:val="0"/>
              <w:autoSpaceDN w:val="0"/>
              <w:adjustRightInd w:val="0"/>
              <w:rPr>
                <w:rFonts w:ascii="Times New Roman" w:hAnsi="Times New Roman" w:cs="Times New Roman"/>
                <w:bCs/>
                <w:sz w:val="24"/>
                <w:szCs w:val="24"/>
              </w:rPr>
            </w:pPr>
            <w:r w:rsidRPr="00891093">
              <w:rPr>
                <w:rFonts w:ascii="Times New Roman" w:hAnsi="Times New Roman" w:cs="Times New Roman"/>
                <w:bCs/>
                <w:sz w:val="24"/>
                <w:szCs w:val="24"/>
              </w:rPr>
              <w:t xml:space="preserve">и муниципально-частного партнерства, в том числе </w:t>
            </w:r>
          </w:p>
          <w:p w14:paraId="30F9DC8F" w14:textId="77777777" w:rsidR="003F26A5" w:rsidRPr="00FC74FE" w:rsidRDefault="003F26A5" w:rsidP="00891093">
            <w:pPr>
              <w:autoSpaceDE w:val="0"/>
              <w:autoSpaceDN w:val="0"/>
              <w:adjustRightInd w:val="0"/>
              <w:rPr>
                <w:rFonts w:ascii="Times New Roman" w:hAnsi="Times New Roman" w:cs="Times New Roman"/>
                <w:sz w:val="24"/>
                <w:szCs w:val="24"/>
              </w:rPr>
            </w:pPr>
            <w:r w:rsidRPr="00AE06D3">
              <w:rPr>
                <w:rFonts w:ascii="Times New Roman" w:hAnsi="Times New Roman" w:cs="Times New Roman"/>
                <w:bCs/>
                <w:sz w:val="24"/>
                <w:szCs w:val="24"/>
              </w:rPr>
              <w:t xml:space="preserve">в части </w:t>
            </w:r>
            <w:r w:rsidRPr="00FC74FE">
              <w:rPr>
                <w:rFonts w:ascii="Times New Roman" w:hAnsi="Times New Roman" w:cs="Times New Roman"/>
                <w:sz w:val="24"/>
                <w:szCs w:val="24"/>
              </w:rPr>
              <w:t>подготовки, заключения, исполнения и прекращения концессионных соглашений</w:t>
            </w:r>
          </w:p>
        </w:tc>
        <w:tc>
          <w:tcPr>
            <w:tcW w:w="337" w:type="pct"/>
          </w:tcPr>
          <w:p w14:paraId="7C8F33C9" w14:textId="77777777" w:rsidR="003F26A5" w:rsidRPr="00367300" w:rsidRDefault="003F26A5" w:rsidP="00891093">
            <w:pPr>
              <w:contextualSpacing/>
              <w:rPr>
                <w:rFonts w:ascii="Times New Roman" w:hAnsi="Times New Roman" w:cs="Times New Roman"/>
                <w:bCs/>
                <w:sz w:val="24"/>
                <w:szCs w:val="24"/>
              </w:rPr>
            </w:pPr>
            <w:r w:rsidRPr="009B4FC0">
              <w:rPr>
                <w:rFonts w:ascii="Times New Roman" w:hAnsi="Times New Roman" w:cs="Times New Roman"/>
                <w:bCs/>
                <w:sz w:val="24"/>
                <w:szCs w:val="24"/>
              </w:rPr>
              <w:t>20</w:t>
            </w:r>
            <w:r w:rsidRPr="00367300">
              <w:rPr>
                <w:rFonts w:ascii="Times New Roman" w:hAnsi="Times New Roman" w:cs="Times New Roman"/>
                <w:bCs/>
                <w:sz w:val="24"/>
                <w:szCs w:val="24"/>
              </w:rPr>
              <w:t xml:space="preserve">19-2021 годы </w:t>
            </w:r>
          </w:p>
        </w:tc>
        <w:tc>
          <w:tcPr>
            <w:tcW w:w="463" w:type="pct"/>
          </w:tcPr>
          <w:p w14:paraId="1CC29E0F" w14:textId="77777777" w:rsidR="003F26A5" w:rsidRPr="00367300" w:rsidRDefault="003F26A5" w:rsidP="00891093">
            <w:pPr>
              <w:contextualSpacing/>
              <w:rPr>
                <w:rFonts w:ascii="Times New Roman" w:hAnsi="Times New Roman" w:cs="Times New Roman"/>
                <w:bCs/>
                <w:sz w:val="24"/>
                <w:szCs w:val="24"/>
              </w:rPr>
            </w:pPr>
            <w:r w:rsidRPr="00367300">
              <w:rPr>
                <w:rFonts w:ascii="Times New Roman" w:hAnsi="Times New Roman" w:cs="Times New Roman"/>
                <w:bCs/>
                <w:sz w:val="24"/>
                <w:szCs w:val="24"/>
              </w:rPr>
              <w:t>Минэкономразвития НСО, ОМСУ НСО</w:t>
            </w:r>
          </w:p>
        </w:tc>
        <w:tc>
          <w:tcPr>
            <w:tcW w:w="2031" w:type="pct"/>
          </w:tcPr>
          <w:p w14:paraId="7136589F" w14:textId="77777777" w:rsidR="003F26A5" w:rsidRPr="00367300" w:rsidRDefault="003F26A5" w:rsidP="00AE06D3">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В 2019 году была актуализирована нормативная правовая база, регулирующая применение механизмов ГЧП И МЧП.</w:t>
            </w:r>
          </w:p>
          <w:p w14:paraId="4CF2CE49" w14:textId="77777777" w:rsidR="003F26A5" w:rsidRPr="00367300" w:rsidRDefault="003F26A5" w:rsidP="00FC74FE">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Приняты следующие нормативные правовые акты:</w:t>
            </w:r>
          </w:p>
          <w:p w14:paraId="19E0B08C" w14:textId="77777777" w:rsidR="003F26A5" w:rsidRPr="00367300" w:rsidRDefault="003F26A5" w:rsidP="009B4FC0">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постановление Правительства Новосибирской области от 02.07.2019 № 257-п «О внесении изменений в постановление Правительства Новосибирской области от 01.04.2015 № 126-п»;</w:t>
            </w:r>
          </w:p>
          <w:p w14:paraId="5BE19F28" w14:textId="77777777" w:rsidR="003F26A5" w:rsidRPr="00E77388" w:rsidRDefault="003F26A5">
            <w:pPr>
              <w:ind w:left="57" w:right="57" w:firstLine="340"/>
              <w:jc w:val="both"/>
              <w:rPr>
                <w:rFonts w:ascii="Times New Roman" w:hAnsi="Times New Roman" w:cs="Times New Roman"/>
                <w:bCs/>
                <w:sz w:val="24"/>
                <w:szCs w:val="24"/>
              </w:rPr>
            </w:pPr>
            <w:r w:rsidRPr="00367300">
              <w:rPr>
                <w:rFonts w:ascii="Times New Roman" w:eastAsiaTheme="minorHAnsi" w:hAnsi="Times New Roman" w:cs="Times New Roman"/>
                <w:sz w:val="24"/>
                <w:szCs w:val="24"/>
              </w:rPr>
              <w:t>распоряжение Правительства Новосибирской области от 05.02.2019 № 32-рп «Об утверждении перечня объектов, право собственности на которые принадлежит или будет принадлежать Новосибирской области, в отношении которых планируется заключение концессионных соглашений».</w:t>
            </w:r>
          </w:p>
        </w:tc>
      </w:tr>
      <w:tr w:rsidR="003F26A5" w:rsidRPr="00367300" w14:paraId="61BDB12D" w14:textId="77777777" w:rsidTr="003F26A5">
        <w:trPr>
          <w:gridAfter w:val="1"/>
          <w:wAfter w:w="3" w:type="pct"/>
          <w:trHeight w:val="283"/>
        </w:trPr>
        <w:tc>
          <w:tcPr>
            <w:tcW w:w="335" w:type="pct"/>
          </w:tcPr>
          <w:p w14:paraId="190FE932" w14:textId="77777777" w:rsidR="003F26A5" w:rsidRPr="00367300" w:rsidRDefault="003F26A5" w:rsidP="00367300">
            <w:pPr>
              <w:contextualSpacing/>
              <w:rPr>
                <w:rFonts w:ascii="Times New Roman" w:hAnsi="Times New Roman" w:cs="Times New Roman"/>
                <w:bCs/>
                <w:sz w:val="24"/>
                <w:szCs w:val="24"/>
                <w:highlight w:val="yellow"/>
              </w:rPr>
            </w:pPr>
            <w:r w:rsidRPr="00367300">
              <w:rPr>
                <w:rFonts w:ascii="Times New Roman" w:hAnsi="Times New Roman" w:cs="Times New Roman"/>
                <w:bCs/>
                <w:sz w:val="24"/>
                <w:szCs w:val="24"/>
              </w:rPr>
              <w:t>8.2</w:t>
            </w:r>
          </w:p>
        </w:tc>
        <w:tc>
          <w:tcPr>
            <w:tcW w:w="1108" w:type="pct"/>
          </w:tcPr>
          <w:p w14:paraId="1271F583" w14:textId="77777777" w:rsidR="003F26A5" w:rsidRPr="00367300" w:rsidRDefault="003F26A5" w:rsidP="00367300">
            <w:pPr>
              <w:ind w:left="57" w:right="57"/>
              <w:contextualSpacing/>
              <w:jc w:val="both"/>
              <w:rPr>
                <w:rFonts w:ascii="Times New Roman" w:hAnsi="Times New Roman" w:cs="Times New Roman"/>
                <w:bCs/>
                <w:sz w:val="24"/>
                <w:szCs w:val="24"/>
                <w:highlight w:val="yellow"/>
              </w:rPr>
            </w:pPr>
            <w:r w:rsidRPr="00367300">
              <w:rPr>
                <w:rFonts w:ascii="Times New Roman" w:hAnsi="Times New Roman" w:cs="Times New Roman"/>
                <w:bCs/>
                <w:sz w:val="24"/>
                <w:szCs w:val="24"/>
              </w:rPr>
              <w:t>Организация и проведение образовательных семинаров, подготовка методических материалов</w:t>
            </w:r>
          </w:p>
        </w:tc>
        <w:tc>
          <w:tcPr>
            <w:tcW w:w="723" w:type="pct"/>
          </w:tcPr>
          <w:p w14:paraId="38E46DF8" w14:textId="77777777" w:rsidR="003F26A5" w:rsidRPr="00891093" w:rsidRDefault="003F26A5" w:rsidP="00367300">
            <w:pPr>
              <w:contextualSpacing/>
              <w:rPr>
                <w:rFonts w:ascii="Times New Roman" w:hAnsi="Times New Roman" w:cs="Times New Roman"/>
                <w:bCs/>
                <w:sz w:val="24"/>
                <w:szCs w:val="24"/>
                <w:highlight w:val="yellow"/>
              </w:rPr>
            </w:pPr>
            <w:r w:rsidRPr="00367300">
              <w:rPr>
                <w:rFonts w:ascii="Times New Roman" w:eastAsia="Times New Roman" w:hAnsi="Times New Roman" w:cs="Times New Roman"/>
                <w:sz w:val="24"/>
                <w:szCs w:val="24"/>
              </w:rPr>
              <w:t xml:space="preserve">Повышение информированности о применении </w:t>
            </w:r>
            <w:r w:rsidRPr="00891093">
              <w:rPr>
                <w:rFonts w:ascii="Times New Roman" w:hAnsi="Times New Roman" w:cs="Times New Roman"/>
                <w:bCs/>
                <w:sz w:val="24"/>
                <w:szCs w:val="24"/>
              </w:rPr>
              <w:t>механизмов государственно-частного и муниципально-частного партнерства</w:t>
            </w:r>
          </w:p>
        </w:tc>
        <w:tc>
          <w:tcPr>
            <w:tcW w:w="337" w:type="pct"/>
          </w:tcPr>
          <w:p w14:paraId="2E5B9298" w14:textId="77777777" w:rsidR="003F26A5" w:rsidRPr="00891093" w:rsidRDefault="003F26A5" w:rsidP="00367300">
            <w:pPr>
              <w:contextualSpacing/>
              <w:rPr>
                <w:rFonts w:ascii="Times New Roman" w:hAnsi="Times New Roman" w:cs="Times New Roman"/>
                <w:bCs/>
                <w:sz w:val="24"/>
                <w:szCs w:val="24"/>
              </w:rPr>
            </w:pPr>
            <w:r w:rsidRPr="00891093">
              <w:rPr>
                <w:rFonts w:ascii="Times New Roman" w:hAnsi="Times New Roman" w:cs="Times New Roman"/>
                <w:bCs/>
                <w:sz w:val="24"/>
                <w:szCs w:val="24"/>
              </w:rPr>
              <w:t>2020-2021 годы</w:t>
            </w:r>
          </w:p>
        </w:tc>
        <w:tc>
          <w:tcPr>
            <w:tcW w:w="463" w:type="pct"/>
          </w:tcPr>
          <w:p w14:paraId="0A13A059"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Минэкономразвития НСО</w:t>
            </w:r>
          </w:p>
        </w:tc>
        <w:tc>
          <w:tcPr>
            <w:tcW w:w="2031" w:type="pct"/>
          </w:tcPr>
          <w:p w14:paraId="2DFB229E" w14:textId="77777777" w:rsidR="003F26A5" w:rsidRPr="00AE06D3" w:rsidRDefault="003F26A5" w:rsidP="00891093">
            <w:pPr>
              <w:ind w:left="57" w:right="57" w:firstLine="340"/>
              <w:jc w:val="both"/>
              <w:rPr>
                <w:rFonts w:ascii="Times New Roman" w:eastAsiaTheme="minorHAnsi" w:hAnsi="Times New Roman" w:cs="Times New Roman"/>
                <w:sz w:val="24"/>
                <w:szCs w:val="24"/>
              </w:rPr>
            </w:pPr>
            <w:r w:rsidRPr="00AE06D3">
              <w:rPr>
                <w:rFonts w:ascii="Times New Roman" w:eastAsiaTheme="minorHAnsi" w:hAnsi="Times New Roman" w:cs="Times New Roman"/>
                <w:sz w:val="24"/>
                <w:szCs w:val="24"/>
              </w:rPr>
              <w:t>Срок реализации мероприятия – 2020-2021 годы.</w:t>
            </w:r>
          </w:p>
          <w:p w14:paraId="166BC84A" w14:textId="77777777" w:rsidR="003F26A5" w:rsidRPr="00367300" w:rsidRDefault="003F26A5" w:rsidP="00891093">
            <w:pPr>
              <w:ind w:left="57" w:right="57" w:firstLine="340"/>
              <w:jc w:val="both"/>
              <w:rPr>
                <w:rFonts w:ascii="Times New Roman" w:eastAsiaTheme="minorHAnsi" w:hAnsi="Times New Roman" w:cs="Times New Roman"/>
                <w:sz w:val="24"/>
                <w:szCs w:val="24"/>
              </w:rPr>
            </w:pPr>
            <w:r w:rsidRPr="00FC74FE">
              <w:rPr>
                <w:rFonts w:ascii="Times New Roman" w:eastAsiaTheme="minorHAnsi" w:hAnsi="Times New Roman" w:cs="Times New Roman"/>
                <w:sz w:val="24"/>
                <w:szCs w:val="24"/>
              </w:rPr>
              <w:t>20-21 сентября 2019 года в санатории «Рассвет» города Бердска проведена выездная стратегическая сессия НПК</w:t>
            </w:r>
            <w:r w:rsidRPr="009B4FC0">
              <w:rPr>
                <w:rFonts w:ascii="Times New Roman" w:eastAsiaTheme="minorHAnsi" w:hAnsi="Times New Roman" w:cs="Times New Roman"/>
                <w:sz w:val="24"/>
                <w:szCs w:val="24"/>
              </w:rPr>
              <w:t xml:space="preserve"> «Сибирский наукополис» с участием представителей Минэкономразвития России, Минздрава России, управления Федеральной службы по техническому и экспортному контролю Российской Федерации по Сибирскому федеральному округу, компаний «Ernst&amp;Young», АО НПК «Катре</w:t>
            </w:r>
            <w:r w:rsidRPr="00367300">
              <w:rPr>
                <w:rFonts w:ascii="Times New Roman" w:eastAsiaTheme="minorHAnsi" w:hAnsi="Times New Roman" w:cs="Times New Roman"/>
                <w:sz w:val="24"/>
                <w:szCs w:val="24"/>
              </w:rPr>
              <w:t>н», Сибирского филиала ПАО «Мегафон», предприятий и специализированных организаций Кластера, региональных институтов развития, высших учебных заведений, научного и бизнес-сообщества. На мероприятии рассматривались вопросы продвижения товаров и услуг Кластера на российском и зарубежных рынках, привлечения инвестиций в проекты НПК «Сибирский наукополис».</w:t>
            </w:r>
          </w:p>
          <w:p w14:paraId="3FEF7DE6" w14:textId="77777777" w:rsidR="003F26A5" w:rsidRPr="00367300" w:rsidRDefault="003F26A5" w:rsidP="00891093">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lastRenderedPageBreak/>
              <w:t>Минэкономразвития НСО совместно с Центром кластерного развития Новосибирской области (структурное подразделение ГКУ НСО «ЦРР») проведены семинары для высокотехнологических компаний: 14 мая «Инновационная косметология Сибири» в рамках выставки «Сибирская неделя красоты»; 26 июня семинар по вопросам привлечения финансирования частными высокотехнологическими компаниями Новосибирской области «Программы и инструменты финансирования высокотехнологических компаний», который состоялся в Правительстве Новосибирской области.</w:t>
            </w:r>
          </w:p>
        </w:tc>
      </w:tr>
      <w:tr w:rsidR="003F26A5" w:rsidRPr="00367300" w14:paraId="7EAEBA93" w14:textId="77777777" w:rsidTr="003F26A5">
        <w:trPr>
          <w:gridAfter w:val="1"/>
          <w:wAfter w:w="3" w:type="pct"/>
          <w:trHeight w:val="283"/>
        </w:trPr>
        <w:tc>
          <w:tcPr>
            <w:tcW w:w="335" w:type="pct"/>
          </w:tcPr>
          <w:p w14:paraId="4542F645"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8.3</w:t>
            </w:r>
          </w:p>
        </w:tc>
        <w:tc>
          <w:tcPr>
            <w:tcW w:w="1108" w:type="pct"/>
          </w:tcPr>
          <w:p w14:paraId="34EE96A0"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bCs/>
                <w:sz w:val="24"/>
                <w:szCs w:val="24"/>
              </w:rPr>
              <w:t xml:space="preserve">Заключение соглашений </w:t>
            </w:r>
          </w:p>
          <w:p w14:paraId="40153EA2"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bCs/>
                <w:sz w:val="24"/>
                <w:szCs w:val="24"/>
              </w:rPr>
              <w:t>с применением механизмов государственно-частного партнерства и муниципально-частного партнерства в сфере дошкольного образования, детского отдыха и оздоровления, здравоохранения, социального обслуживания</w:t>
            </w:r>
          </w:p>
        </w:tc>
        <w:tc>
          <w:tcPr>
            <w:tcW w:w="723" w:type="pct"/>
          </w:tcPr>
          <w:p w14:paraId="0A10A3C6"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 xml:space="preserve">Реестр соглашений </w:t>
            </w:r>
          </w:p>
          <w:p w14:paraId="3B678B04"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о государственно-частном партнерстве и муниципально-частном партнерстве, концессионных соглашений</w:t>
            </w:r>
          </w:p>
        </w:tc>
        <w:tc>
          <w:tcPr>
            <w:tcW w:w="337" w:type="pct"/>
          </w:tcPr>
          <w:p w14:paraId="0E4CF91D"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Ежегодно</w:t>
            </w:r>
          </w:p>
        </w:tc>
        <w:tc>
          <w:tcPr>
            <w:tcW w:w="463" w:type="pct"/>
          </w:tcPr>
          <w:p w14:paraId="39FD8D26"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Минэкономразвития НСО, ОМСУ НСО</w:t>
            </w:r>
          </w:p>
        </w:tc>
        <w:tc>
          <w:tcPr>
            <w:tcW w:w="2031" w:type="pct"/>
          </w:tcPr>
          <w:p w14:paraId="4F1CCCCF" w14:textId="77777777" w:rsidR="003F26A5" w:rsidRPr="00AE06D3" w:rsidRDefault="003F26A5" w:rsidP="00891093">
            <w:pPr>
              <w:ind w:left="57" w:right="57" w:firstLine="340"/>
              <w:jc w:val="both"/>
              <w:rPr>
                <w:rFonts w:ascii="Times New Roman" w:eastAsiaTheme="minorHAnsi" w:hAnsi="Times New Roman" w:cs="Times New Roman"/>
                <w:sz w:val="24"/>
                <w:szCs w:val="24"/>
              </w:rPr>
            </w:pPr>
            <w:r w:rsidRPr="00891093">
              <w:rPr>
                <w:rFonts w:ascii="Times New Roman" w:eastAsiaTheme="minorHAnsi" w:hAnsi="Times New Roman" w:cs="Times New Roman"/>
                <w:sz w:val="24"/>
                <w:szCs w:val="24"/>
              </w:rPr>
              <w:t>По состоянию н</w:t>
            </w:r>
            <w:r w:rsidRPr="00AE06D3">
              <w:rPr>
                <w:rFonts w:ascii="Times New Roman" w:eastAsiaTheme="minorHAnsi" w:hAnsi="Times New Roman" w:cs="Times New Roman"/>
                <w:sz w:val="24"/>
                <w:szCs w:val="24"/>
              </w:rPr>
              <w:t>а 01.01.2020 в реестре проектов ГЧП 60 реализуемых проектов, в том числе:</w:t>
            </w:r>
          </w:p>
          <w:p w14:paraId="1EEA1185" w14:textId="77777777" w:rsidR="003F26A5" w:rsidRPr="00FC74FE" w:rsidRDefault="003F26A5" w:rsidP="00AE06D3">
            <w:pPr>
              <w:ind w:left="57" w:right="57" w:firstLine="340"/>
              <w:jc w:val="both"/>
              <w:rPr>
                <w:rFonts w:ascii="Times New Roman" w:eastAsiaTheme="minorHAnsi" w:hAnsi="Times New Roman" w:cs="Times New Roman"/>
                <w:sz w:val="24"/>
                <w:szCs w:val="24"/>
              </w:rPr>
            </w:pPr>
            <w:r w:rsidRPr="00FC74FE">
              <w:rPr>
                <w:rFonts w:ascii="Times New Roman" w:eastAsiaTheme="minorHAnsi" w:hAnsi="Times New Roman" w:cs="Times New Roman"/>
                <w:sz w:val="24"/>
                <w:szCs w:val="24"/>
              </w:rPr>
              <w:t>в сфере физической культуры и спорта – 10 проектов;</w:t>
            </w:r>
          </w:p>
          <w:p w14:paraId="14AED983" w14:textId="77777777" w:rsidR="003F26A5" w:rsidRPr="00FC74FE" w:rsidRDefault="003F26A5" w:rsidP="00FC74FE">
            <w:pPr>
              <w:ind w:left="57" w:right="57" w:firstLine="340"/>
              <w:jc w:val="both"/>
              <w:rPr>
                <w:rFonts w:ascii="Times New Roman" w:eastAsiaTheme="minorHAnsi" w:hAnsi="Times New Roman" w:cs="Times New Roman"/>
                <w:sz w:val="24"/>
                <w:szCs w:val="24"/>
              </w:rPr>
            </w:pPr>
            <w:r w:rsidRPr="00FC74FE">
              <w:rPr>
                <w:rFonts w:ascii="Times New Roman" w:eastAsiaTheme="minorHAnsi" w:hAnsi="Times New Roman" w:cs="Times New Roman"/>
                <w:sz w:val="24"/>
                <w:szCs w:val="24"/>
              </w:rPr>
              <w:t xml:space="preserve">в сфере социального обслуживания граждан – 7 проектов; </w:t>
            </w:r>
          </w:p>
          <w:p w14:paraId="12DB20ED" w14:textId="77777777" w:rsidR="003F26A5" w:rsidRPr="009B4FC0" w:rsidRDefault="003F26A5" w:rsidP="009B4FC0">
            <w:pPr>
              <w:ind w:left="57" w:right="57" w:firstLine="340"/>
              <w:jc w:val="both"/>
              <w:rPr>
                <w:rFonts w:ascii="Times New Roman" w:eastAsiaTheme="minorHAnsi" w:hAnsi="Times New Roman" w:cs="Times New Roman"/>
                <w:sz w:val="24"/>
                <w:szCs w:val="24"/>
              </w:rPr>
            </w:pPr>
            <w:r w:rsidRPr="009B4FC0">
              <w:rPr>
                <w:rFonts w:ascii="Times New Roman" w:eastAsiaTheme="minorHAnsi" w:hAnsi="Times New Roman" w:cs="Times New Roman"/>
                <w:sz w:val="24"/>
                <w:szCs w:val="24"/>
              </w:rPr>
              <w:t>в сфере здравоохранения – 5 проектов;</w:t>
            </w:r>
          </w:p>
          <w:p w14:paraId="7B8AEF9F"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в сфере туризма – 3 проекта;</w:t>
            </w:r>
          </w:p>
          <w:p w14:paraId="1C17AA90"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в сфере культуры – 2 проекта;</w:t>
            </w:r>
          </w:p>
          <w:p w14:paraId="52F71D45"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в сфере дошкольного образования – 2 проекта.</w:t>
            </w:r>
          </w:p>
          <w:p w14:paraId="6D2ABA6D"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В городе Новосибирске заключено в 2019 году 1 концессионное соглашение № 20 от 28.06.2019 в отношении муниципального имущества (бани), расположенного по адресу г. Новосибирск, ул. Клубная, 37; ул. Переездная, 63.</w:t>
            </w:r>
          </w:p>
          <w:p w14:paraId="1B3EEA0D"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7. Концессионное соглашение № 16 в отношении спортивного комплекса с плавательным бассейном по адресу г. Новосибирск ул. Зорге. Срок действия: 13.07.2018-13.07.2030.</w:t>
            </w:r>
          </w:p>
          <w:p w14:paraId="57A5B157"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 xml:space="preserve">8. Концессионное соглашение № 17 в отношении центра профессиональной подготовки и развития специальных навыков у хоккеистов «Космос». по адресу </w:t>
            </w:r>
            <w:r w:rsidRPr="00367300">
              <w:rPr>
                <w:rFonts w:ascii="Times New Roman" w:eastAsiaTheme="minorHAnsi" w:hAnsi="Times New Roman" w:cs="Times New Roman"/>
                <w:sz w:val="24"/>
                <w:szCs w:val="24"/>
              </w:rPr>
              <w:lastRenderedPageBreak/>
              <w:t>г. Новосибирск ул. Б. Хмельницкого, 27. Срок действия: 12.09.2018-12.09.2048.</w:t>
            </w:r>
          </w:p>
          <w:p w14:paraId="0A912E6D"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9. Концессионное соглашение № 18 в отношении нежилого помещения (бани). по адресу г. Новосибирск ул. Вересаева, 2б; ул. 25 лет Октября, Срок действия: 04.10.2018-04.10.2053.</w:t>
            </w:r>
          </w:p>
        </w:tc>
      </w:tr>
      <w:tr w:rsidR="003F26A5" w:rsidRPr="00367300" w14:paraId="65C5C880" w14:textId="77777777" w:rsidTr="003F26A5">
        <w:trPr>
          <w:trHeight w:val="283"/>
        </w:trPr>
        <w:tc>
          <w:tcPr>
            <w:tcW w:w="5000" w:type="pct"/>
            <w:gridSpan w:val="7"/>
          </w:tcPr>
          <w:p w14:paraId="10389556" w14:textId="77777777" w:rsidR="003F26A5" w:rsidRPr="00367300" w:rsidRDefault="003F26A5" w:rsidP="00367300">
            <w:pPr>
              <w:autoSpaceDE w:val="0"/>
              <w:autoSpaceDN w:val="0"/>
              <w:adjustRightInd w:val="0"/>
              <w:rPr>
                <w:rFonts w:ascii="Times New Roman" w:hAnsi="Times New Roman" w:cs="Times New Roman"/>
                <w:b/>
                <w:sz w:val="24"/>
                <w:szCs w:val="24"/>
              </w:rPr>
            </w:pPr>
            <w:r w:rsidRPr="00367300">
              <w:rPr>
                <w:rFonts w:ascii="Times New Roman" w:hAnsi="Times New Roman" w:cs="Times New Roman"/>
                <w:b/>
                <w:sz w:val="24"/>
                <w:szCs w:val="24"/>
              </w:rPr>
              <w:lastRenderedPageBreak/>
              <w:t>9. Содействие развитию негосударственных (немуниципальных) социально ориентированных некоммерческих организаций и «социального предпринимательства»</w:t>
            </w:r>
          </w:p>
        </w:tc>
      </w:tr>
      <w:tr w:rsidR="003F26A5" w:rsidRPr="00367300" w14:paraId="3F322DA5" w14:textId="77777777" w:rsidTr="003F26A5">
        <w:trPr>
          <w:gridAfter w:val="1"/>
          <w:wAfter w:w="3" w:type="pct"/>
          <w:trHeight w:val="283"/>
        </w:trPr>
        <w:tc>
          <w:tcPr>
            <w:tcW w:w="335" w:type="pct"/>
          </w:tcPr>
          <w:p w14:paraId="6FA9C28B"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9.1</w:t>
            </w:r>
          </w:p>
        </w:tc>
        <w:tc>
          <w:tcPr>
            <w:tcW w:w="1108" w:type="pct"/>
          </w:tcPr>
          <w:p w14:paraId="5E994BD9"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eastAsia="Times New Roman" w:hAnsi="Times New Roman" w:cs="Times New Roman"/>
                <w:sz w:val="24"/>
                <w:szCs w:val="24"/>
              </w:rPr>
              <w:t>Проведение анализа нормативных правовых актов Новосибирской области о предоставлении субсидий и компенсаций СОНКО на предмет соответствия федеральному законодательству с последующим внесением изменений в случае необходимости</w:t>
            </w:r>
          </w:p>
        </w:tc>
        <w:tc>
          <w:tcPr>
            <w:tcW w:w="723" w:type="pct"/>
          </w:tcPr>
          <w:p w14:paraId="39FFBFB0" w14:textId="77777777" w:rsidR="003F26A5" w:rsidRPr="00891093" w:rsidRDefault="003F26A5" w:rsidP="00367300">
            <w:pPr>
              <w:contextualSpacing/>
              <w:rPr>
                <w:rFonts w:ascii="Times New Roman" w:hAnsi="Times New Roman" w:cs="Times New Roman"/>
                <w:bCs/>
                <w:sz w:val="24"/>
                <w:szCs w:val="24"/>
              </w:rPr>
            </w:pPr>
            <w:r w:rsidRPr="00367300">
              <w:rPr>
                <w:rFonts w:ascii="Times New Roman" w:eastAsia="Times New Roman" w:hAnsi="Times New Roman" w:cs="Times New Roman"/>
                <w:sz w:val="24"/>
                <w:szCs w:val="24"/>
              </w:rPr>
              <w:t>Снижение административных барьеров</w:t>
            </w:r>
          </w:p>
        </w:tc>
        <w:tc>
          <w:tcPr>
            <w:tcW w:w="337" w:type="pct"/>
          </w:tcPr>
          <w:p w14:paraId="2369A672" w14:textId="77777777" w:rsidR="003F26A5" w:rsidRPr="00891093" w:rsidRDefault="003F26A5" w:rsidP="00367300">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Pr>
          <w:p w14:paraId="27231F49" w14:textId="77777777" w:rsidR="003F26A5" w:rsidRPr="00367300" w:rsidRDefault="00E3307E" w:rsidP="00891093">
            <w:pPr>
              <w:contextualSpacing/>
              <w:rPr>
                <w:rFonts w:ascii="Times New Roman" w:hAnsi="Times New Roman" w:cs="Times New Roman"/>
                <w:bCs/>
                <w:sz w:val="24"/>
                <w:szCs w:val="24"/>
              </w:rPr>
            </w:pPr>
            <w:hyperlink r:id="rId113" w:history="1">
              <w:r w:rsidR="003F26A5" w:rsidRPr="00367300">
                <w:rPr>
                  <w:rFonts w:ascii="Times New Roman" w:eastAsia="Times New Roman" w:hAnsi="Times New Roman" w:cs="Times New Roman"/>
                  <w:sz w:val="24"/>
                  <w:szCs w:val="24"/>
                </w:rPr>
                <w:t>Минтруд</w:t>
              </w:r>
            </w:hyperlink>
            <w:r w:rsidR="003F26A5" w:rsidRPr="00367300">
              <w:rPr>
                <w:rFonts w:ascii="Times New Roman" w:eastAsia="Times New Roman" w:hAnsi="Times New Roman" w:cs="Times New Roman"/>
                <w:sz w:val="24"/>
                <w:szCs w:val="24"/>
              </w:rPr>
              <w:t>а и соцразвития НСО</w:t>
            </w:r>
          </w:p>
        </w:tc>
        <w:tc>
          <w:tcPr>
            <w:tcW w:w="2031" w:type="pct"/>
          </w:tcPr>
          <w:p w14:paraId="0973EC05" w14:textId="77777777" w:rsidR="003F26A5" w:rsidRPr="00367300" w:rsidRDefault="003F26A5" w:rsidP="00891093">
            <w:pPr>
              <w:ind w:left="57" w:right="57" w:firstLine="340"/>
              <w:jc w:val="both"/>
              <w:rPr>
                <w:rFonts w:ascii="Times New Roman" w:hAnsi="Times New Roman" w:cs="Times New Roman"/>
                <w:sz w:val="24"/>
                <w:szCs w:val="24"/>
              </w:rPr>
            </w:pPr>
            <w:r w:rsidRPr="00367300">
              <w:rPr>
                <w:rFonts w:ascii="Times New Roman" w:eastAsiaTheme="minorHAnsi" w:hAnsi="Times New Roman" w:cs="Times New Roman"/>
                <w:sz w:val="24"/>
                <w:szCs w:val="24"/>
              </w:rPr>
              <w:t>Проведен анализ нормативных правовых актов Новосибирской области о предоставлении субсидий и компенсаций СОНКО на предмет соответствия федеральному законодательству. Потребность внесения изменений в действующий порядок предоставления субсидий не выявлена.</w:t>
            </w:r>
          </w:p>
        </w:tc>
      </w:tr>
      <w:tr w:rsidR="003F26A5" w:rsidRPr="00367300" w14:paraId="2F54655F" w14:textId="77777777" w:rsidTr="003F26A5">
        <w:trPr>
          <w:gridAfter w:val="1"/>
          <w:wAfter w:w="3" w:type="pct"/>
          <w:trHeight w:val="283"/>
        </w:trPr>
        <w:tc>
          <w:tcPr>
            <w:tcW w:w="335" w:type="pct"/>
          </w:tcPr>
          <w:p w14:paraId="030DE4C4"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9.2</w:t>
            </w:r>
          </w:p>
        </w:tc>
        <w:tc>
          <w:tcPr>
            <w:tcW w:w="1108" w:type="pct"/>
          </w:tcPr>
          <w:p w14:paraId="470DF42A"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eastAsia="Times New Roman" w:hAnsi="Times New Roman" w:cs="Times New Roman"/>
                <w:sz w:val="24"/>
                <w:szCs w:val="24"/>
              </w:rPr>
              <w:t xml:space="preserve">Освещение эффективных практик предоставления СОНКО социальных услуг населению </w:t>
            </w:r>
          </w:p>
        </w:tc>
        <w:tc>
          <w:tcPr>
            <w:tcW w:w="723" w:type="pct"/>
          </w:tcPr>
          <w:p w14:paraId="7D5CDB9A" w14:textId="77777777" w:rsidR="003F26A5" w:rsidRPr="00891093" w:rsidRDefault="003F26A5" w:rsidP="00367300">
            <w:pPr>
              <w:contextualSpacing/>
              <w:rPr>
                <w:rFonts w:ascii="Times New Roman" w:hAnsi="Times New Roman" w:cs="Times New Roman"/>
                <w:bCs/>
                <w:sz w:val="24"/>
                <w:szCs w:val="24"/>
              </w:rPr>
            </w:pPr>
            <w:r w:rsidRPr="00367300">
              <w:rPr>
                <w:rFonts w:ascii="Times New Roman" w:eastAsia="Times New Roman" w:hAnsi="Times New Roman" w:cs="Times New Roman"/>
                <w:sz w:val="24"/>
                <w:szCs w:val="24"/>
              </w:rPr>
              <w:t xml:space="preserve">Повышение информированности населения о социальных услугах, предоставляемых </w:t>
            </w:r>
            <w:r w:rsidRPr="00367300">
              <w:rPr>
                <w:rFonts w:ascii="Times New Roman" w:hAnsi="Times New Roman" w:cs="Times New Roman"/>
                <w:sz w:val="24"/>
                <w:szCs w:val="24"/>
              </w:rPr>
              <w:t>СОНКО</w:t>
            </w:r>
          </w:p>
        </w:tc>
        <w:tc>
          <w:tcPr>
            <w:tcW w:w="337" w:type="pct"/>
          </w:tcPr>
          <w:p w14:paraId="6E61ACD0" w14:textId="77777777" w:rsidR="003F26A5" w:rsidRPr="00891093" w:rsidRDefault="003F26A5" w:rsidP="00367300">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Pr>
          <w:p w14:paraId="342F89CB" w14:textId="77777777" w:rsidR="003F26A5" w:rsidRPr="00367300" w:rsidRDefault="00E3307E" w:rsidP="00891093">
            <w:pPr>
              <w:contextualSpacing/>
              <w:rPr>
                <w:rFonts w:ascii="Times New Roman" w:hAnsi="Times New Roman" w:cs="Times New Roman"/>
                <w:bCs/>
                <w:sz w:val="24"/>
                <w:szCs w:val="24"/>
              </w:rPr>
            </w:pPr>
            <w:hyperlink r:id="rId114" w:history="1">
              <w:r w:rsidR="003F26A5" w:rsidRPr="00367300">
                <w:rPr>
                  <w:rFonts w:ascii="Times New Roman" w:eastAsia="Times New Roman" w:hAnsi="Times New Roman" w:cs="Times New Roman"/>
                  <w:sz w:val="24"/>
                  <w:szCs w:val="24"/>
                </w:rPr>
                <w:t>Минтруд</w:t>
              </w:r>
            </w:hyperlink>
            <w:r w:rsidR="003F26A5" w:rsidRPr="00367300">
              <w:rPr>
                <w:rFonts w:ascii="Times New Roman" w:eastAsia="Times New Roman" w:hAnsi="Times New Roman" w:cs="Times New Roman"/>
                <w:sz w:val="24"/>
                <w:szCs w:val="24"/>
              </w:rPr>
              <w:t>а и соцразвития НСО</w:t>
            </w:r>
          </w:p>
        </w:tc>
        <w:tc>
          <w:tcPr>
            <w:tcW w:w="2031" w:type="pct"/>
          </w:tcPr>
          <w:p w14:paraId="1EC60FAF" w14:textId="77777777" w:rsidR="003F26A5" w:rsidRPr="00891093" w:rsidRDefault="003F26A5" w:rsidP="00891093">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 xml:space="preserve">Освещение эффективных практик предоставления СОНКО социальных услуг населению осуществляется посредством размещения информации на официальном сайте министерства труда и социального развития Новосибирской области (пресс-релизы), публичных выступлений представителей министерства, представления материалов в печатные СМИ. К примеру, в 2019 году выпущен информационно-аналитический журнал «Социальная защита в России» № 2 с выступлением министра труда и социального развития Новосибирской области по теме: «Новосибирская область традиционно отличается сильным некоммерческим сектором в социальной сфере». По итогам круглого стола, проводимого в рамках Первого </w:t>
            </w:r>
            <w:r w:rsidRPr="00367300">
              <w:rPr>
                <w:rFonts w:ascii="Times New Roman" w:eastAsiaTheme="minorHAnsi" w:hAnsi="Times New Roman" w:cs="Times New Roman"/>
                <w:sz w:val="24"/>
                <w:szCs w:val="24"/>
              </w:rPr>
              <w:lastRenderedPageBreak/>
              <w:t>съезда социальных работников Сибири «Со</w:t>
            </w:r>
            <w:r w:rsidRPr="00891093">
              <w:rPr>
                <w:rFonts w:ascii="Times New Roman" w:eastAsiaTheme="minorHAnsi" w:hAnsi="Times New Roman" w:cs="Times New Roman"/>
                <w:sz w:val="24"/>
                <w:szCs w:val="24"/>
              </w:rPr>
              <w:t>циальные работники Сибири – основа социального благополучия населения региона» (г. Кемерово), подготовлен сборник с лучшими практиками, в который вошел материал Новосибирской области «Социально ориентированные НКО, социальный бизнес, государственные службы = партнеры или соперники.</w:t>
            </w:r>
          </w:p>
        </w:tc>
      </w:tr>
      <w:tr w:rsidR="003F26A5" w:rsidRPr="00367300" w14:paraId="13A45D23" w14:textId="77777777" w:rsidTr="003F26A5">
        <w:trPr>
          <w:gridAfter w:val="1"/>
          <w:wAfter w:w="3" w:type="pct"/>
          <w:trHeight w:val="283"/>
        </w:trPr>
        <w:tc>
          <w:tcPr>
            <w:tcW w:w="335" w:type="pct"/>
          </w:tcPr>
          <w:p w14:paraId="53C1BB36"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9.3</w:t>
            </w:r>
          </w:p>
        </w:tc>
        <w:tc>
          <w:tcPr>
            <w:tcW w:w="1108" w:type="pct"/>
          </w:tcPr>
          <w:p w14:paraId="4A37EE51"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Организация взаимодействия </w:t>
            </w:r>
            <w:hyperlink r:id="rId115" w:history="1">
              <w:r w:rsidRPr="00367300">
                <w:rPr>
                  <w:rFonts w:ascii="Times New Roman" w:eastAsia="Times New Roman" w:hAnsi="Times New Roman" w:cs="Times New Roman"/>
                  <w:sz w:val="24"/>
                  <w:szCs w:val="24"/>
                </w:rPr>
                <w:t>Минтруд</w:t>
              </w:r>
            </w:hyperlink>
            <w:r w:rsidRPr="00367300">
              <w:rPr>
                <w:rFonts w:ascii="Times New Roman" w:eastAsia="Times New Roman" w:hAnsi="Times New Roman" w:cs="Times New Roman"/>
                <w:sz w:val="24"/>
                <w:szCs w:val="24"/>
              </w:rPr>
              <w:t>а и соцразвития НСО</w:t>
            </w:r>
            <w:r w:rsidRPr="00367300">
              <w:rPr>
                <w:rFonts w:ascii="Times New Roman" w:hAnsi="Times New Roman" w:cs="Times New Roman"/>
                <w:sz w:val="24"/>
                <w:szCs w:val="24"/>
              </w:rPr>
              <w:t xml:space="preserve">, подведомственных ему государственных учреждений </w:t>
            </w:r>
          </w:p>
          <w:p w14:paraId="5EBE8240"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с организаторами добровольческой (волонтерской) деятельности и добровольческими (волонтерскими) организациями</w:t>
            </w:r>
          </w:p>
        </w:tc>
        <w:tc>
          <w:tcPr>
            <w:tcW w:w="723" w:type="pct"/>
          </w:tcPr>
          <w:p w14:paraId="4D97AF82" w14:textId="77777777" w:rsidR="003F26A5" w:rsidRPr="00367300" w:rsidRDefault="003F26A5" w:rsidP="00367300">
            <w:pPr>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Расширение спектра, качества и объема социальных услуг.</w:t>
            </w:r>
          </w:p>
          <w:p w14:paraId="4F34FB65"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eastAsia="Times New Roman" w:hAnsi="Times New Roman" w:cs="Times New Roman"/>
                <w:sz w:val="24"/>
                <w:szCs w:val="24"/>
              </w:rPr>
              <w:t>Повышение качества жизни клиентов государственных учреждений</w:t>
            </w:r>
          </w:p>
        </w:tc>
        <w:tc>
          <w:tcPr>
            <w:tcW w:w="337" w:type="pct"/>
          </w:tcPr>
          <w:p w14:paraId="3E9D447B"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Pr>
          <w:p w14:paraId="32590704" w14:textId="77777777" w:rsidR="003F26A5" w:rsidRPr="00367300" w:rsidRDefault="00E3307E" w:rsidP="00891093">
            <w:pPr>
              <w:contextualSpacing/>
              <w:rPr>
                <w:rFonts w:ascii="Times New Roman" w:hAnsi="Times New Roman" w:cs="Times New Roman"/>
                <w:bCs/>
                <w:sz w:val="24"/>
                <w:szCs w:val="24"/>
              </w:rPr>
            </w:pPr>
            <w:hyperlink r:id="rId116" w:history="1">
              <w:r w:rsidR="003F26A5" w:rsidRPr="00367300">
                <w:rPr>
                  <w:rFonts w:ascii="Times New Roman" w:eastAsia="Times New Roman" w:hAnsi="Times New Roman" w:cs="Times New Roman"/>
                  <w:sz w:val="24"/>
                  <w:szCs w:val="24"/>
                </w:rPr>
                <w:t>Минтруд</w:t>
              </w:r>
            </w:hyperlink>
            <w:r w:rsidR="003F26A5" w:rsidRPr="00367300">
              <w:rPr>
                <w:rFonts w:ascii="Times New Roman" w:eastAsia="Times New Roman" w:hAnsi="Times New Roman" w:cs="Times New Roman"/>
                <w:sz w:val="24"/>
                <w:szCs w:val="24"/>
              </w:rPr>
              <w:t>а и соцразвития НСО</w:t>
            </w:r>
          </w:p>
        </w:tc>
        <w:tc>
          <w:tcPr>
            <w:tcW w:w="2031" w:type="pct"/>
          </w:tcPr>
          <w:p w14:paraId="1C6EE040" w14:textId="77777777" w:rsidR="003F26A5" w:rsidRPr="00367300" w:rsidRDefault="003F26A5" w:rsidP="00891093">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Приказом министерства от 11.03.2019 № 214 (ред. от 05.04.2019) утвержден порядок взаимодействия министерства и подведомственных ему государственных учреждений с организаторами добровольческой (волонтёрской) деятельности и добровольческими (волонтёрскими) организациями по предоставлению следующих видов работ (услуг):</w:t>
            </w:r>
          </w:p>
          <w:p w14:paraId="649DA8C7" w14:textId="77777777" w:rsidR="003F26A5" w:rsidRPr="00891093" w:rsidRDefault="003F26A5" w:rsidP="00AE06D3">
            <w:pPr>
              <w:ind w:left="57" w:right="57" w:firstLine="340"/>
              <w:jc w:val="both"/>
              <w:rPr>
                <w:rFonts w:ascii="Times New Roman" w:eastAsiaTheme="minorHAnsi" w:hAnsi="Times New Roman" w:cs="Times New Roman"/>
                <w:sz w:val="24"/>
                <w:szCs w:val="24"/>
              </w:rPr>
            </w:pPr>
            <w:r w:rsidRPr="00891093">
              <w:rPr>
                <w:rFonts w:ascii="Times New Roman" w:eastAsiaTheme="minorHAnsi" w:hAnsi="Times New Roman" w:cs="Times New Roman"/>
                <w:sz w:val="24"/>
                <w:szCs w:val="24"/>
              </w:rPr>
              <w:t>содействие в оказании социальных услуг в стационарной форме социального обслуживания;</w:t>
            </w:r>
          </w:p>
          <w:p w14:paraId="0F60B69C" w14:textId="77777777" w:rsidR="003F26A5" w:rsidRPr="00891093" w:rsidRDefault="003F26A5" w:rsidP="00FC74FE">
            <w:pPr>
              <w:ind w:left="57" w:right="57" w:firstLine="340"/>
              <w:jc w:val="both"/>
              <w:rPr>
                <w:rFonts w:ascii="Times New Roman" w:eastAsiaTheme="minorHAnsi" w:hAnsi="Times New Roman" w:cs="Times New Roman"/>
                <w:sz w:val="24"/>
                <w:szCs w:val="24"/>
              </w:rPr>
            </w:pPr>
            <w:r w:rsidRPr="00891093">
              <w:rPr>
                <w:rFonts w:ascii="Times New Roman" w:eastAsiaTheme="minorHAnsi" w:hAnsi="Times New Roman" w:cs="Times New Roman"/>
                <w:sz w:val="24"/>
                <w:szCs w:val="24"/>
              </w:rPr>
              <w:t>социальная поддержка и защита граждан, включая улучшение материального положения малообеспеченных, социальную реабилитацию безработных, инвалидов и иных лиц,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14:paraId="0C4A29C2" w14:textId="77777777" w:rsidR="003F26A5" w:rsidRPr="00891093" w:rsidRDefault="003F26A5" w:rsidP="009B4FC0">
            <w:pPr>
              <w:ind w:left="57" w:right="57" w:firstLine="340"/>
              <w:jc w:val="both"/>
              <w:rPr>
                <w:rFonts w:ascii="Times New Roman" w:eastAsiaTheme="minorHAnsi" w:hAnsi="Times New Roman" w:cs="Times New Roman"/>
                <w:sz w:val="24"/>
                <w:szCs w:val="24"/>
              </w:rPr>
            </w:pPr>
            <w:r w:rsidRPr="00891093">
              <w:rPr>
                <w:rFonts w:ascii="Times New Roman" w:eastAsiaTheme="minorHAnsi" w:hAnsi="Times New Roman" w:cs="Times New Roman"/>
                <w:sz w:val="24"/>
                <w:szCs w:val="24"/>
              </w:rPr>
              <w:t>содействие укреплению престижа и роли семьи в обществе;</w:t>
            </w:r>
          </w:p>
          <w:p w14:paraId="1430BBF7" w14:textId="77777777" w:rsidR="003F26A5" w:rsidRPr="00AE06D3" w:rsidRDefault="003F26A5">
            <w:pPr>
              <w:ind w:left="57" w:right="57" w:firstLine="340"/>
              <w:jc w:val="both"/>
              <w:rPr>
                <w:rFonts w:ascii="Times New Roman" w:eastAsiaTheme="minorHAnsi" w:hAnsi="Times New Roman" w:cs="Times New Roman"/>
                <w:sz w:val="24"/>
                <w:szCs w:val="24"/>
              </w:rPr>
            </w:pPr>
            <w:r w:rsidRPr="00AE06D3">
              <w:rPr>
                <w:rFonts w:ascii="Times New Roman" w:eastAsiaTheme="minorHAnsi" w:hAnsi="Times New Roman" w:cs="Times New Roman"/>
                <w:sz w:val="24"/>
                <w:szCs w:val="24"/>
              </w:rPr>
              <w:t>содействие защите материнства, детства и отцовства;</w:t>
            </w:r>
          </w:p>
          <w:p w14:paraId="2CA7A6F5" w14:textId="77777777" w:rsidR="003F26A5" w:rsidRPr="009B4FC0" w:rsidRDefault="003F26A5">
            <w:pPr>
              <w:ind w:left="57" w:right="57" w:firstLine="340"/>
              <w:jc w:val="both"/>
              <w:rPr>
                <w:rFonts w:ascii="Times New Roman" w:eastAsiaTheme="minorHAnsi" w:hAnsi="Times New Roman" w:cs="Times New Roman"/>
                <w:sz w:val="24"/>
                <w:szCs w:val="24"/>
              </w:rPr>
            </w:pPr>
            <w:r w:rsidRPr="00FC74FE">
              <w:rPr>
                <w:rFonts w:ascii="Times New Roman" w:eastAsiaTheme="minorHAnsi" w:hAnsi="Times New Roman" w:cs="Times New Roman"/>
                <w:sz w:val="24"/>
                <w:szCs w:val="24"/>
              </w:rPr>
              <w:t>с</w:t>
            </w:r>
            <w:r w:rsidRPr="009B4FC0">
              <w:rPr>
                <w:rFonts w:ascii="Times New Roman" w:eastAsiaTheme="minorHAnsi" w:hAnsi="Times New Roman" w:cs="Times New Roman"/>
                <w:sz w:val="24"/>
                <w:szCs w:val="24"/>
              </w:rPr>
              <w:t>одействие профилактики безнадзорности и правонарушений несовершеннолетних;</w:t>
            </w:r>
          </w:p>
          <w:p w14:paraId="36BCCFA2"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социальная реабилитация детей-сирот, детей, оставшихся без попечения родителей, лиц из числа детей-сирот и детей, оставшихся без попечения родителей, детей, находящихся в трудной жизненной ситуации;</w:t>
            </w:r>
          </w:p>
          <w:p w14:paraId="04765066"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lastRenderedPageBreak/>
              <w:t>пропаганда здорового образа жизни;</w:t>
            </w:r>
          </w:p>
          <w:p w14:paraId="49F704AA"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оказание помощи пострадавшим в результате стихийных бедствий, экологических, промышленных или иных катастроф, социальных, национальных, религиозных конфликтов, жертвам репрессий, беженцам и вынужденным переселенцам;</w:t>
            </w:r>
          </w:p>
          <w:p w14:paraId="247ABCA9"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содействие деятельности по производству и (или) распространению социальной рекламы по направлениям деятельности министерства.</w:t>
            </w:r>
          </w:p>
        </w:tc>
      </w:tr>
      <w:tr w:rsidR="003F26A5" w:rsidRPr="00367300" w14:paraId="709B11CC" w14:textId="77777777" w:rsidTr="003F26A5">
        <w:trPr>
          <w:gridAfter w:val="1"/>
          <w:wAfter w:w="3" w:type="pct"/>
          <w:trHeight w:val="283"/>
        </w:trPr>
        <w:tc>
          <w:tcPr>
            <w:tcW w:w="335" w:type="pct"/>
          </w:tcPr>
          <w:p w14:paraId="2395D4F8"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9.4</w:t>
            </w:r>
          </w:p>
        </w:tc>
        <w:tc>
          <w:tcPr>
            <w:tcW w:w="1108" w:type="pct"/>
          </w:tcPr>
          <w:p w14:paraId="4617EBFC"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Организация работы по включению негосударственных организаций </w:t>
            </w:r>
          </w:p>
          <w:p w14:paraId="1EC4FDBD"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в реестр поставщиков социальных услуг Новосибирской области</w:t>
            </w:r>
          </w:p>
        </w:tc>
        <w:tc>
          <w:tcPr>
            <w:tcW w:w="723" w:type="pct"/>
          </w:tcPr>
          <w:p w14:paraId="0646F150" w14:textId="77777777" w:rsidR="003F26A5" w:rsidRPr="00367300" w:rsidRDefault="003F26A5" w:rsidP="00367300">
            <w:pPr>
              <w:rPr>
                <w:rFonts w:ascii="Times New Roman" w:hAnsi="Times New Roman" w:cs="Times New Roman"/>
                <w:sz w:val="24"/>
                <w:szCs w:val="24"/>
              </w:rPr>
            </w:pPr>
            <w:r w:rsidRPr="00367300">
              <w:rPr>
                <w:rFonts w:ascii="Times New Roman" w:hAnsi="Times New Roman" w:cs="Times New Roman"/>
                <w:sz w:val="24"/>
                <w:szCs w:val="24"/>
              </w:rPr>
              <w:t xml:space="preserve">Развитие сектора негосударственных организаций, оказывающих услуги по социальному обслуживанию населения, </w:t>
            </w:r>
          </w:p>
          <w:p w14:paraId="6AA43FA2" w14:textId="77777777" w:rsidR="003F26A5" w:rsidRPr="00891093" w:rsidRDefault="003F26A5" w:rsidP="00891093">
            <w:pPr>
              <w:rPr>
                <w:rFonts w:ascii="Times New Roman" w:hAnsi="Times New Roman" w:cs="Times New Roman"/>
                <w:sz w:val="24"/>
                <w:szCs w:val="24"/>
              </w:rPr>
            </w:pPr>
            <w:r w:rsidRPr="00891093">
              <w:rPr>
                <w:rFonts w:ascii="Times New Roman" w:hAnsi="Times New Roman" w:cs="Times New Roman"/>
                <w:sz w:val="24"/>
                <w:szCs w:val="24"/>
              </w:rPr>
              <w:t xml:space="preserve">в рамках реализации Федерального закона </w:t>
            </w:r>
          </w:p>
          <w:p w14:paraId="3A2A252F" w14:textId="77777777" w:rsidR="003F26A5" w:rsidRPr="00891093" w:rsidRDefault="003F26A5" w:rsidP="00891093">
            <w:pPr>
              <w:rPr>
                <w:rFonts w:ascii="Times New Roman" w:hAnsi="Times New Roman" w:cs="Times New Roman"/>
                <w:sz w:val="24"/>
                <w:szCs w:val="24"/>
              </w:rPr>
            </w:pPr>
            <w:r w:rsidRPr="00891093">
              <w:rPr>
                <w:rFonts w:ascii="Times New Roman" w:hAnsi="Times New Roman" w:cs="Times New Roman"/>
                <w:sz w:val="24"/>
                <w:szCs w:val="24"/>
              </w:rPr>
              <w:t xml:space="preserve">от 28.12.2013 № 442-ФЗ </w:t>
            </w:r>
          </w:p>
          <w:p w14:paraId="7DE15529" w14:textId="77777777" w:rsidR="003F26A5" w:rsidRPr="00891093" w:rsidRDefault="003F26A5" w:rsidP="00891093">
            <w:pPr>
              <w:rPr>
                <w:rFonts w:ascii="Times New Roman" w:hAnsi="Times New Roman" w:cs="Times New Roman"/>
                <w:sz w:val="24"/>
                <w:szCs w:val="24"/>
              </w:rPr>
            </w:pPr>
            <w:r w:rsidRPr="00891093">
              <w:rPr>
                <w:rFonts w:ascii="Times New Roman" w:hAnsi="Times New Roman" w:cs="Times New Roman"/>
                <w:sz w:val="24"/>
                <w:szCs w:val="24"/>
              </w:rPr>
              <w:t xml:space="preserve">«Об основах социального обслуживания граждан </w:t>
            </w:r>
          </w:p>
          <w:p w14:paraId="488D04F9" w14:textId="77777777" w:rsidR="003F26A5" w:rsidRPr="00AE06D3" w:rsidRDefault="003F26A5" w:rsidP="00891093">
            <w:pPr>
              <w:rPr>
                <w:rFonts w:ascii="Times New Roman" w:eastAsia="Times New Roman" w:hAnsi="Times New Roman" w:cs="Times New Roman"/>
                <w:sz w:val="24"/>
                <w:szCs w:val="24"/>
              </w:rPr>
            </w:pPr>
            <w:r w:rsidRPr="00891093">
              <w:rPr>
                <w:rFonts w:ascii="Times New Roman" w:hAnsi="Times New Roman" w:cs="Times New Roman"/>
                <w:sz w:val="24"/>
                <w:szCs w:val="24"/>
              </w:rPr>
              <w:t>в Российской Федерации»</w:t>
            </w:r>
          </w:p>
        </w:tc>
        <w:tc>
          <w:tcPr>
            <w:tcW w:w="337" w:type="pct"/>
          </w:tcPr>
          <w:p w14:paraId="6504A0B1" w14:textId="77777777" w:rsidR="003F26A5" w:rsidRPr="00367300" w:rsidRDefault="003F26A5" w:rsidP="00AE06D3">
            <w:pPr>
              <w:contextualSpacing/>
              <w:rPr>
                <w:rFonts w:ascii="Times New Roman" w:hAnsi="Times New Roman" w:cs="Times New Roman"/>
                <w:bCs/>
                <w:sz w:val="24"/>
                <w:szCs w:val="24"/>
              </w:rPr>
            </w:pPr>
            <w:r w:rsidRPr="00FC74FE">
              <w:rPr>
                <w:rFonts w:ascii="Times New Roman" w:hAnsi="Times New Roman" w:cs="Times New Roman"/>
                <w:sz w:val="24"/>
                <w:szCs w:val="24"/>
              </w:rPr>
              <w:t>201</w:t>
            </w:r>
            <w:r w:rsidRPr="009B4FC0">
              <w:rPr>
                <w:rFonts w:ascii="Times New Roman" w:hAnsi="Times New Roman" w:cs="Times New Roman"/>
                <w:sz w:val="24"/>
                <w:szCs w:val="24"/>
              </w:rPr>
              <w:t>9-2021 годы</w:t>
            </w:r>
          </w:p>
        </w:tc>
        <w:tc>
          <w:tcPr>
            <w:tcW w:w="463" w:type="pct"/>
          </w:tcPr>
          <w:p w14:paraId="7D959724" w14:textId="77777777" w:rsidR="003F26A5" w:rsidRPr="00367300" w:rsidRDefault="00E3307E" w:rsidP="00FC74FE">
            <w:pPr>
              <w:contextualSpacing/>
              <w:rPr>
                <w:rFonts w:ascii="Times New Roman" w:eastAsia="Times New Roman" w:hAnsi="Times New Roman" w:cs="Times New Roman"/>
                <w:sz w:val="24"/>
                <w:szCs w:val="24"/>
              </w:rPr>
            </w:pPr>
            <w:hyperlink r:id="rId117" w:history="1">
              <w:r w:rsidR="003F26A5" w:rsidRPr="00367300">
                <w:rPr>
                  <w:rFonts w:ascii="Times New Roman" w:eastAsia="Times New Roman" w:hAnsi="Times New Roman" w:cs="Times New Roman"/>
                  <w:sz w:val="24"/>
                  <w:szCs w:val="24"/>
                </w:rPr>
                <w:t>Минтруд</w:t>
              </w:r>
            </w:hyperlink>
            <w:r w:rsidR="003F26A5" w:rsidRPr="00367300">
              <w:rPr>
                <w:rFonts w:ascii="Times New Roman" w:eastAsia="Times New Roman" w:hAnsi="Times New Roman" w:cs="Times New Roman"/>
                <w:sz w:val="24"/>
                <w:szCs w:val="24"/>
              </w:rPr>
              <w:t>а и соцразвития НСО</w:t>
            </w:r>
          </w:p>
        </w:tc>
        <w:tc>
          <w:tcPr>
            <w:tcW w:w="2031" w:type="pct"/>
          </w:tcPr>
          <w:p w14:paraId="6ED42F0B" w14:textId="77777777" w:rsidR="003F26A5" w:rsidRPr="00367300" w:rsidRDefault="003F26A5" w:rsidP="009B4FC0">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В соответствии с федеральным законом от 28.12.2013 № 442-ФЗ «Об основах социального обслуживания граждан в Российской Федерации» министерством ведется реестр поставщиков социальных услуг (постановление Правительства Новосибирской области от 20.10.2014 № 420-п «Об утверждении порядка формирования и ведения реестра поставщиков социальных услуг»).</w:t>
            </w:r>
          </w:p>
          <w:p w14:paraId="5D1DB9A6" w14:textId="77777777" w:rsidR="003F26A5" w:rsidRPr="00891093"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 xml:space="preserve">В Новосибирской области барьеры для вступления СОНКО в реестр </w:t>
            </w:r>
            <w:r w:rsidRPr="00891093">
              <w:rPr>
                <w:rFonts w:ascii="Times New Roman" w:eastAsiaTheme="minorHAnsi" w:hAnsi="Times New Roman" w:cs="Times New Roman"/>
                <w:sz w:val="24"/>
                <w:szCs w:val="24"/>
              </w:rPr>
              <w:t>поставщиков социальных услуг отсутствуют. Любая фактически действующая организация (индивидуальный предприниматель) вправе войти в реестр поставщиков социальных услуг. Отдельных требований для включения в реестр поставщиков социальных услуг об исполнении организацией (индивидуальным предпринимателем) профессиональных стандартов, к штатному расписанию, к сроку работы, к содержанию устава вышеуказанным постановлением не установлено.</w:t>
            </w:r>
          </w:p>
          <w:p w14:paraId="5867EA7F" w14:textId="77777777" w:rsidR="003F26A5" w:rsidRPr="00891093" w:rsidRDefault="003F26A5">
            <w:pPr>
              <w:ind w:left="57" w:right="57" w:firstLine="340"/>
              <w:jc w:val="both"/>
              <w:rPr>
                <w:rFonts w:ascii="Times New Roman" w:eastAsiaTheme="minorHAnsi" w:hAnsi="Times New Roman" w:cs="Times New Roman"/>
                <w:sz w:val="24"/>
                <w:szCs w:val="24"/>
              </w:rPr>
            </w:pPr>
            <w:r w:rsidRPr="00891093">
              <w:rPr>
                <w:rFonts w:ascii="Times New Roman" w:eastAsiaTheme="minorHAnsi" w:hAnsi="Times New Roman" w:cs="Times New Roman"/>
                <w:sz w:val="24"/>
                <w:szCs w:val="24"/>
              </w:rPr>
              <w:t>Специалистами министерства труда и социального развития Новосибирской области оказывается методическая помощь в разъяснении порядка включения СОНКО в реестр поставщиков социальных услуг.</w:t>
            </w:r>
          </w:p>
          <w:p w14:paraId="259BF822" w14:textId="77777777" w:rsidR="003F26A5" w:rsidRPr="009B4FC0" w:rsidRDefault="003F26A5">
            <w:pPr>
              <w:ind w:left="57" w:right="57" w:firstLine="340"/>
              <w:jc w:val="both"/>
              <w:rPr>
                <w:rFonts w:ascii="Times New Roman" w:eastAsiaTheme="minorHAnsi" w:hAnsi="Times New Roman" w:cs="Times New Roman"/>
                <w:sz w:val="24"/>
                <w:szCs w:val="24"/>
              </w:rPr>
            </w:pPr>
            <w:r w:rsidRPr="00AE06D3">
              <w:rPr>
                <w:rFonts w:ascii="Times New Roman" w:eastAsiaTheme="minorHAnsi" w:hAnsi="Times New Roman" w:cs="Times New Roman"/>
                <w:sz w:val="24"/>
                <w:szCs w:val="24"/>
              </w:rPr>
              <w:lastRenderedPageBreak/>
              <w:t xml:space="preserve">По состоянию на 20.12.2019 в реестре зарегистрирована 141 организация, в т.ч. 52 СОНКО, и 1 социально ориентированная коммерческая организация. В соответствии с федеральным </w:t>
            </w:r>
            <w:r w:rsidRPr="00FC74FE">
              <w:rPr>
                <w:rFonts w:ascii="Times New Roman" w:eastAsiaTheme="minorHAnsi" w:hAnsi="Times New Roman" w:cs="Times New Roman"/>
                <w:sz w:val="24"/>
                <w:szCs w:val="24"/>
              </w:rPr>
              <w:t>законом от 28.12.2013 № 442-ФЗ «Об основах социального обслуживания граждан в Российской Федерации» министерством ведется реестр поставщиков социальных услуг (постановление Правительства Новосибирской области от 20.10.2014 № 420-п «Об утверждении порядка ф</w:t>
            </w:r>
            <w:r w:rsidRPr="009B4FC0">
              <w:rPr>
                <w:rFonts w:ascii="Times New Roman" w:eastAsiaTheme="minorHAnsi" w:hAnsi="Times New Roman" w:cs="Times New Roman"/>
                <w:sz w:val="24"/>
                <w:szCs w:val="24"/>
              </w:rPr>
              <w:t>ормирования и ведения реестра поставщиков социальных услуг»).</w:t>
            </w:r>
          </w:p>
          <w:p w14:paraId="6B8AFCB3"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В Новосибирской области барьеры для вступления СОНКО в реестр поставщиков социальных услуг отсутствуют. Любая фактически действующая организация (индивидуальный предприниматель) вправе войти в реестр поставщиков социальных услуг. Отдельных требований для включения в реестр поставщиков социальных услуг об исполнении организацией (индивидуальным предпринимателем) профессиональных стандартов, к штатному расписанию, к сроку работы, к содержанию устава вышеуказанным постановлением не установлено.</w:t>
            </w:r>
          </w:p>
          <w:p w14:paraId="4E0D62C0"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Специалистами министерства труда и социального развития Новосибирской области оказывается методическая помощь в разъяснении порядка включения СОНКО в реестр поставщиков социальных услуг.</w:t>
            </w:r>
          </w:p>
          <w:p w14:paraId="7292462D"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По состоянию на 20.12.2019 в реестре зарегистрирована 141 организация, в т.ч. 52 СОНКО и 1 социально ориентированная коммерческая организация.</w:t>
            </w:r>
          </w:p>
        </w:tc>
      </w:tr>
      <w:tr w:rsidR="003F26A5" w:rsidRPr="00367300" w14:paraId="5B5E1D9E" w14:textId="77777777" w:rsidTr="003F26A5">
        <w:trPr>
          <w:trHeight w:val="283"/>
        </w:trPr>
        <w:tc>
          <w:tcPr>
            <w:tcW w:w="5000" w:type="pct"/>
            <w:gridSpan w:val="7"/>
            <w:shd w:val="clear" w:color="auto" w:fill="auto"/>
          </w:tcPr>
          <w:p w14:paraId="0806BD38" w14:textId="77777777" w:rsidR="003F26A5" w:rsidRPr="00367300" w:rsidRDefault="003F26A5" w:rsidP="00367300">
            <w:pPr>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lastRenderedPageBreak/>
              <w:t xml:space="preserve">10. 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 в том числе путем разработки и реализации региональной программы по ускоренному развитию субъектов малого </w:t>
            </w:r>
          </w:p>
          <w:p w14:paraId="0595B56F" w14:textId="77777777" w:rsidR="003F26A5" w:rsidRPr="00367300" w:rsidRDefault="003F26A5" w:rsidP="00367300">
            <w:pPr>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t>и среднего предпринимательства и достижения показателей ее эффективности</w:t>
            </w:r>
          </w:p>
        </w:tc>
      </w:tr>
      <w:tr w:rsidR="003F26A5" w:rsidRPr="00367300" w14:paraId="5CF17E0D" w14:textId="77777777" w:rsidTr="003F26A5">
        <w:trPr>
          <w:gridAfter w:val="1"/>
          <w:wAfter w:w="3" w:type="pct"/>
          <w:trHeight w:val="283"/>
        </w:trPr>
        <w:tc>
          <w:tcPr>
            <w:tcW w:w="335" w:type="pct"/>
          </w:tcPr>
          <w:p w14:paraId="44A31C60"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10.1</w:t>
            </w:r>
          </w:p>
        </w:tc>
        <w:tc>
          <w:tcPr>
            <w:tcW w:w="1108" w:type="pct"/>
          </w:tcPr>
          <w:p w14:paraId="408470E2" w14:textId="77777777" w:rsidR="003F26A5" w:rsidRPr="00367300" w:rsidRDefault="003F26A5" w:rsidP="00367300">
            <w:pPr>
              <w:ind w:left="57" w:right="57"/>
              <w:contextualSpacing/>
              <w:jc w:val="left"/>
              <w:rPr>
                <w:rFonts w:ascii="Times New Roman" w:hAnsi="Times New Roman" w:cs="Times New Roman"/>
                <w:sz w:val="24"/>
                <w:szCs w:val="24"/>
              </w:rPr>
            </w:pPr>
            <w:r w:rsidRPr="00367300">
              <w:rPr>
                <w:rFonts w:ascii="Times New Roman" w:hAnsi="Times New Roman" w:cs="Times New Roman"/>
                <w:sz w:val="24"/>
                <w:szCs w:val="24"/>
              </w:rPr>
              <w:t xml:space="preserve">Поддержка и проведение конкурсов среди субъектов малого и среднего предпринимательства (СМиСП) </w:t>
            </w:r>
          </w:p>
          <w:p w14:paraId="33EB580F" w14:textId="77777777" w:rsidR="003F26A5" w:rsidRPr="00367300" w:rsidRDefault="003F26A5" w:rsidP="00367300">
            <w:pPr>
              <w:ind w:left="57" w:right="57"/>
              <w:contextualSpacing/>
              <w:jc w:val="left"/>
              <w:rPr>
                <w:rFonts w:ascii="Times New Roman" w:hAnsi="Times New Roman" w:cs="Times New Roman"/>
                <w:sz w:val="24"/>
                <w:szCs w:val="24"/>
              </w:rPr>
            </w:pPr>
            <w:r w:rsidRPr="00367300">
              <w:rPr>
                <w:rFonts w:ascii="Times New Roman" w:hAnsi="Times New Roman" w:cs="Times New Roman"/>
                <w:sz w:val="24"/>
                <w:szCs w:val="24"/>
              </w:rPr>
              <w:t xml:space="preserve">по выявлению лучших СМиСП </w:t>
            </w:r>
          </w:p>
          <w:p w14:paraId="669DF5A3" w14:textId="77777777" w:rsidR="003F26A5" w:rsidRPr="00891093" w:rsidRDefault="003F26A5" w:rsidP="00367300">
            <w:pPr>
              <w:ind w:left="57" w:right="57"/>
              <w:contextualSpacing/>
              <w:jc w:val="left"/>
              <w:rPr>
                <w:rFonts w:ascii="Times New Roman" w:hAnsi="Times New Roman" w:cs="Times New Roman"/>
                <w:bCs/>
                <w:sz w:val="24"/>
                <w:szCs w:val="24"/>
              </w:rPr>
            </w:pPr>
            <w:r w:rsidRPr="00367300">
              <w:rPr>
                <w:rFonts w:ascii="Times New Roman" w:hAnsi="Times New Roman" w:cs="Times New Roman"/>
                <w:sz w:val="24"/>
                <w:szCs w:val="24"/>
              </w:rPr>
              <w:t>в Новосибирской области</w:t>
            </w:r>
          </w:p>
        </w:tc>
        <w:tc>
          <w:tcPr>
            <w:tcW w:w="723" w:type="pct"/>
          </w:tcPr>
          <w:p w14:paraId="54E56546" w14:textId="77777777" w:rsidR="003F26A5" w:rsidRPr="00891093" w:rsidRDefault="003F26A5" w:rsidP="00891093">
            <w:pPr>
              <w:rPr>
                <w:rFonts w:ascii="Times New Roman" w:hAnsi="Times New Roman" w:cs="Times New Roman"/>
                <w:sz w:val="24"/>
                <w:szCs w:val="24"/>
              </w:rPr>
            </w:pPr>
            <w:r w:rsidRPr="00891093">
              <w:rPr>
                <w:rFonts w:ascii="Times New Roman" w:hAnsi="Times New Roman" w:cs="Times New Roman"/>
                <w:sz w:val="24"/>
                <w:szCs w:val="24"/>
              </w:rPr>
              <w:t>Пропаганда идеологии предпринимательства,</w:t>
            </w:r>
          </w:p>
          <w:p w14:paraId="7F6B2051" w14:textId="77777777" w:rsidR="003F26A5" w:rsidRPr="00891093" w:rsidRDefault="003F26A5" w:rsidP="00891093">
            <w:pPr>
              <w:rPr>
                <w:rFonts w:ascii="Times New Roman" w:hAnsi="Times New Roman" w:cs="Times New Roman"/>
                <w:sz w:val="24"/>
                <w:szCs w:val="24"/>
              </w:rPr>
            </w:pPr>
            <w:r w:rsidRPr="00891093">
              <w:rPr>
                <w:rFonts w:ascii="Times New Roman" w:hAnsi="Times New Roman" w:cs="Times New Roman"/>
                <w:sz w:val="24"/>
                <w:szCs w:val="24"/>
              </w:rPr>
              <w:t>выявление лучших представителей СМиСП;</w:t>
            </w:r>
          </w:p>
          <w:p w14:paraId="4BC3C739" w14:textId="77777777" w:rsidR="003F26A5" w:rsidRPr="00AE06D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стимулирование производства и реализации качественных товаров, работ и услуг</w:t>
            </w:r>
          </w:p>
        </w:tc>
        <w:tc>
          <w:tcPr>
            <w:tcW w:w="337" w:type="pct"/>
          </w:tcPr>
          <w:p w14:paraId="30BEC307" w14:textId="77777777" w:rsidR="003F26A5" w:rsidRPr="009B4FC0" w:rsidRDefault="003F26A5" w:rsidP="00891093">
            <w:pPr>
              <w:contextualSpacing/>
              <w:rPr>
                <w:rFonts w:ascii="Times New Roman" w:hAnsi="Times New Roman" w:cs="Times New Roman"/>
                <w:bCs/>
                <w:sz w:val="24"/>
                <w:szCs w:val="24"/>
              </w:rPr>
            </w:pPr>
            <w:r w:rsidRPr="00FC74FE">
              <w:rPr>
                <w:rFonts w:ascii="Times New Roman" w:hAnsi="Times New Roman" w:cs="Times New Roman"/>
                <w:sz w:val="24"/>
                <w:szCs w:val="24"/>
              </w:rPr>
              <w:t>2019-2021 годы</w:t>
            </w:r>
          </w:p>
        </w:tc>
        <w:tc>
          <w:tcPr>
            <w:tcW w:w="463" w:type="pct"/>
          </w:tcPr>
          <w:p w14:paraId="214CBDE9" w14:textId="77777777" w:rsidR="003F26A5" w:rsidRPr="00367300" w:rsidRDefault="003F26A5" w:rsidP="00AE06D3">
            <w:pPr>
              <w:contextualSpacing/>
              <w:rPr>
                <w:rFonts w:ascii="Times New Roman" w:hAnsi="Times New Roman" w:cs="Times New Roman"/>
                <w:bCs/>
                <w:sz w:val="24"/>
                <w:szCs w:val="24"/>
              </w:rPr>
            </w:pPr>
            <w:r w:rsidRPr="00367300">
              <w:rPr>
                <w:rFonts w:ascii="Times New Roman" w:hAnsi="Times New Roman" w:cs="Times New Roman"/>
                <w:sz w:val="24"/>
                <w:szCs w:val="24"/>
              </w:rPr>
              <w:t>Минпромторг НСО</w:t>
            </w:r>
          </w:p>
        </w:tc>
        <w:tc>
          <w:tcPr>
            <w:tcW w:w="2031" w:type="pct"/>
          </w:tcPr>
          <w:p w14:paraId="181E495F" w14:textId="77777777" w:rsidR="003F26A5" w:rsidRPr="00367300" w:rsidRDefault="003F26A5" w:rsidP="00FC74FE">
            <w:pPr>
              <w:ind w:left="57" w:right="57" w:firstLine="340"/>
              <w:jc w:val="both"/>
              <w:rPr>
                <w:rFonts w:ascii="Times New Roman" w:hAnsi="Times New Roman" w:cs="Times New Roman"/>
                <w:sz w:val="24"/>
                <w:szCs w:val="24"/>
              </w:rPr>
            </w:pPr>
            <w:r w:rsidRPr="00367300">
              <w:rPr>
                <w:rFonts w:ascii="Times New Roman" w:eastAsiaTheme="minorHAnsi" w:hAnsi="Times New Roman" w:cs="Times New Roman"/>
                <w:sz w:val="24"/>
                <w:szCs w:val="24"/>
              </w:rPr>
              <w:t>Специалисты Минпромторга НСО приняли участие в организации и проведении конкурсов «Золотой меркурий» и «Точки роста», организованных издательским домом «Советская Сибирь».</w:t>
            </w:r>
          </w:p>
        </w:tc>
      </w:tr>
      <w:tr w:rsidR="003F26A5" w:rsidRPr="00367300" w14:paraId="0D54F966" w14:textId="77777777" w:rsidTr="003F26A5">
        <w:trPr>
          <w:gridAfter w:val="1"/>
          <w:wAfter w:w="3" w:type="pct"/>
          <w:trHeight w:val="283"/>
        </w:trPr>
        <w:tc>
          <w:tcPr>
            <w:tcW w:w="335" w:type="pct"/>
          </w:tcPr>
          <w:p w14:paraId="377DAFEF"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10.2</w:t>
            </w:r>
          </w:p>
        </w:tc>
        <w:tc>
          <w:tcPr>
            <w:tcW w:w="1108" w:type="pct"/>
          </w:tcPr>
          <w:p w14:paraId="6BD33D49" w14:textId="77777777" w:rsidR="003F26A5" w:rsidRPr="00367300" w:rsidRDefault="003F26A5" w:rsidP="00367300">
            <w:pPr>
              <w:ind w:left="57" w:right="57"/>
              <w:contextualSpacing/>
              <w:jc w:val="left"/>
              <w:rPr>
                <w:rFonts w:ascii="Times New Roman" w:hAnsi="Times New Roman" w:cs="Times New Roman"/>
                <w:bCs/>
                <w:sz w:val="24"/>
                <w:szCs w:val="24"/>
              </w:rPr>
            </w:pPr>
            <w:r w:rsidRPr="00367300">
              <w:rPr>
                <w:rFonts w:ascii="Times New Roman" w:hAnsi="Times New Roman" w:cs="Times New Roman"/>
                <w:sz w:val="24"/>
                <w:szCs w:val="24"/>
              </w:rPr>
              <w:t>Проведение обучающих семинаров, курсов по вопросам осуществления предпринимательской деятельности</w:t>
            </w:r>
          </w:p>
        </w:tc>
        <w:tc>
          <w:tcPr>
            <w:tcW w:w="723" w:type="pct"/>
          </w:tcPr>
          <w:p w14:paraId="21E31514" w14:textId="77777777" w:rsidR="003F26A5" w:rsidRPr="00367300" w:rsidRDefault="003F26A5" w:rsidP="00367300">
            <w:pPr>
              <w:contextualSpacing/>
              <w:rPr>
                <w:rFonts w:ascii="Times New Roman" w:hAnsi="Times New Roman" w:cs="Times New Roman"/>
                <w:sz w:val="24"/>
                <w:szCs w:val="24"/>
              </w:rPr>
            </w:pPr>
            <w:r w:rsidRPr="00367300">
              <w:rPr>
                <w:rFonts w:ascii="Times New Roman" w:hAnsi="Times New Roman" w:cs="Times New Roman"/>
                <w:sz w:val="24"/>
                <w:szCs w:val="24"/>
              </w:rPr>
              <w:t xml:space="preserve">Обеспечение участия </w:t>
            </w:r>
          </w:p>
          <w:p w14:paraId="1FAC67F9"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 xml:space="preserve">в семинарах, на курсах не менее 200 человек ежегодно, осуществляющих деятельность на территориях муниципальных районов </w:t>
            </w:r>
          </w:p>
          <w:p w14:paraId="341D8EC7"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и городских округов; обеспечение СМиСП квалифицированными кадрами</w:t>
            </w:r>
          </w:p>
        </w:tc>
        <w:tc>
          <w:tcPr>
            <w:tcW w:w="337" w:type="pct"/>
          </w:tcPr>
          <w:p w14:paraId="6CFB4188" w14:textId="77777777" w:rsidR="003F26A5" w:rsidRPr="00FC74FE" w:rsidRDefault="003F26A5" w:rsidP="00891093">
            <w:pPr>
              <w:contextualSpacing/>
              <w:rPr>
                <w:rFonts w:ascii="Times New Roman" w:hAnsi="Times New Roman" w:cs="Times New Roman"/>
                <w:bCs/>
                <w:sz w:val="24"/>
                <w:szCs w:val="24"/>
              </w:rPr>
            </w:pPr>
            <w:r w:rsidRPr="00AE06D3">
              <w:rPr>
                <w:rFonts w:ascii="Times New Roman" w:hAnsi="Times New Roman" w:cs="Times New Roman"/>
                <w:sz w:val="24"/>
                <w:szCs w:val="24"/>
              </w:rPr>
              <w:t>2019-2021 годы</w:t>
            </w:r>
          </w:p>
        </w:tc>
        <w:tc>
          <w:tcPr>
            <w:tcW w:w="463" w:type="pct"/>
          </w:tcPr>
          <w:p w14:paraId="7E0DE50E" w14:textId="77777777" w:rsidR="003F26A5" w:rsidRPr="009B4FC0" w:rsidRDefault="003F26A5" w:rsidP="00891093">
            <w:pPr>
              <w:contextualSpacing/>
              <w:rPr>
                <w:rFonts w:ascii="Times New Roman" w:hAnsi="Times New Roman" w:cs="Times New Roman"/>
                <w:sz w:val="24"/>
                <w:szCs w:val="24"/>
              </w:rPr>
            </w:pPr>
            <w:r w:rsidRPr="009B4FC0">
              <w:rPr>
                <w:rFonts w:ascii="Times New Roman" w:hAnsi="Times New Roman" w:cs="Times New Roman"/>
                <w:sz w:val="24"/>
                <w:szCs w:val="24"/>
              </w:rPr>
              <w:t>Минпромторг НСО,</w:t>
            </w:r>
          </w:p>
          <w:p w14:paraId="76194497" w14:textId="77777777" w:rsidR="003F26A5" w:rsidRPr="00367300" w:rsidRDefault="003F26A5" w:rsidP="00AE06D3">
            <w:pPr>
              <w:contextualSpacing/>
              <w:rPr>
                <w:rFonts w:ascii="Times New Roman" w:hAnsi="Times New Roman" w:cs="Times New Roman"/>
                <w:sz w:val="24"/>
                <w:szCs w:val="24"/>
              </w:rPr>
            </w:pPr>
            <w:r w:rsidRPr="00367300">
              <w:rPr>
                <w:rFonts w:ascii="Times New Roman" w:hAnsi="Times New Roman" w:cs="Times New Roman"/>
                <w:sz w:val="24"/>
                <w:szCs w:val="24"/>
              </w:rPr>
              <w:t xml:space="preserve">Сибирский межрегиональный методический центр по финансовой грамотности </w:t>
            </w:r>
            <w:hyperlink r:id="rId118" w:history="1">
              <w:r w:rsidRPr="00367300">
                <w:rPr>
                  <w:rFonts w:ascii="Times New Roman" w:hAnsi="Times New Roman" w:cs="Times New Roman"/>
                  <w:sz w:val="24"/>
                  <w:szCs w:val="24"/>
                </w:rPr>
                <w:t>Сибирского института управления – филиала РАНХиГС</w:t>
              </w:r>
            </w:hyperlink>
          </w:p>
        </w:tc>
        <w:tc>
          <w:tcPr>
            <w:tcW w:w="2031" w:type="pct"/>
          </w:tcPr>
          <w:p w14:paraId="42695475" w14:textId="77777777" w:rsidR="003F26A5" w:rsidRPr="00367300" w:rsidRDefault="003F26A5" w:rsidP="00FC74FE">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В 2019 году за счет средств областного бюджета Новосибирской области в размере 1,5 млн. рублей проведено 37 обучающих семинаров, курсов по вопросам осуществления предпринимательской деятельности, в которых приняли участие 945 субъектов МСП.</w:t>
            </w:r>
          </w:p>
          <w:p w14:paraId="5DD9F33B" w14:textId="77777777" w:rsidR="003F26A5" w:rsidRPr="00E77388" w:rsidRDefault="003F26A5" w:rsidP="009B4FC0">
            <w:pPr>
              <w:ind w:left="57" w:right="57" w:firstLine="340"/>
              <w:jc w:val="both"/>
              <w:rPr>
                <w:rFonts w:ascii="Times New Roman" w:hAnsi="Times New Roman" w:cs="Times New Roman"/>
                <w:sz w:val="24"/>
                <w:szCs w:val="24"/>
              </w:rPr>
            </w:pPr>
            <w:r w:rsidRPr="00367300">
              <w:rPr>
                <w:rFonts w:ascii="Times New Roman" w:eastAsiaTheme="minorHAnsi" w:hAnsi="Times New Roman" w:cs="Times New Roman"/>
                <w:sz w:val="24"/>
                <w:szCs w:val="24"/>
              </w:rPr>
              <w:t>Центром поддержки предпринимательства Новосибирской области проведено 14 обучающих семинаров для субъектов МСП, в которых приняли участие 1600 человек. Новосибирским отделением «ОПОРА России» проведено 12 обучающих семинаров для 1506 субъектов МСП.</w:t>
            </w:r>
          </w:p>
        </w:tc>
      </w:tr>
      <w:tr w:rsidR="003F26A5" w:rsidRPr="00367300" w14:paraId="51C3C861" w14:textId="77777777" w:rsidTr="003F26A5">
        <w:trPr>
          <w:trHeight w:val="283"/>
        </w:trPr>
        <w:tc>
          <w:tcPr>
            <w:tcW w:w="5000" w:type="pct"/>
            <w:gridSpan w:val="7"/>
            <w:shd w:val="clear" w:color="auto" w:fill="auto"/>
          </w:tcPr>
          <w:p w14:paraId="0FF0852A" w14:textId="77777777" w:rsidR="003F26A5" w:rsidRPr="00367300" w:rsidRDefault="003F26A5" w:rsidP="00367300">
            <w:pPr>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t xml:space="preserve">11. Развитие механизмов поддержки технического и научно-технического творчества детей и молодежи, обучения их правовой, технологической грамотности и основам цифровой экономики, в том числе в рамках стационарных загородных лагерей с соответствующим специализированным уклоном, а также на повышение их информированности </w:t>
            </w:r>
          </w:p>
          <w:p w14:paraId="19315E33" w14:textId="77777777" w:rsidR="003F26A5" w:rsidRPr="00367300" w:rsidRDefault="003F26A5" w:rsidP="00367300">
            <w:pPr>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t xml:space="preserve">о потенциальных возможностях саморазвития, обеспечения поддержки научной, творческой </w:t>
            </w:r>
          </w:p>
          <w:p w14:paraId="15F77803" w14:textId="77777777" w:rsidR="003F26A5" w:rsidRPr="00367300" w:rsidRDefault="003F26A5" w:rsidP="00367300">
            <w:pPr>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lastRenderedPageBreak/>
              <w:t>и предпринимательской активности</w:t>
            </w:r>
          </w:p>
        </w:tc>
      </w:tr>
    </w:tbl>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269"/>
        <w:gridCol w:w="2131"/>
        <w:gridCol w:w="993"/>
        <w:gridCol w:w="1364"/>
        <w:gridCol w:w="5987"/>
      </w:tblGrid>
      <w:tr w:rsidR="003F26A5" w:rsidRPr="00367300" w14:paraId="5BB35EA9" w14:textId="77777777" w:rsidTr="00ED2DB5">
        <w:trPr>
          <w:trHeight w:val="283"/>
        </w:trPr>
        <w:tc>
          <w:tcPr>
            <w:tcW w:w="335" w:type="pct"/>
            <w:shd w:val="clear" w:color="auto" w:fill="FFFFFF" w:themeFill="background1"/>
          </w:tcPr>
          <w:p w14:paraId="5EEB2168"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11.1</w:t>
            </w:r>
          </w:p>
        </w:tc>
        <w:tc>
          <w:tcPr>
            <w:tcW w:w="1108" w:type="pct"/>
            <w:shd w:val="clear" w:color="auto" w:fill="FFFFFF" w:themeFill="background1"/>
          </w:tcPr>
          <w:p w14:paraId="7D6D6965" w14:textId="77777777" w:rsidR="003F26A5" w:rsidRPr="00367300" w:rsidRDefault="003F26A5" w:rsidP="00367300">
            <w:pPr>
              <w:autoSpaceDE w:val="0"/>
              <w:autoSpaceDN w:val="0"/>
              <w:adjustRightInd w:val="0"/>
              <w:ind w:right="57" w:firstLine="57"/>
              <w:jc w:val="both"/>
              <w:rPr>
                <w:rFonts w:ascii="Times New Roman" w:hAnsi="Times New Roman" w:cs="Times New Roman"/>
                <w:sz w:val="24"/>
                <w:szCs w:val="24"/>
              </w:rPr>
            </w:pPr>
            <w:r w:rsidRPr="00367300">
              <w:rPr>
                <w:rFonts w:ascii="Times New Roman" w:hAnsi="Times New Roman" w:cs="Times New Roman"/>
                <w:sz w:val="24"/>
                <w:szCs w:val="24"/>
              </w:rPr>
              <w:t xml:space="preserve">Реализация мероприятий в рамках внедрения Концепции создания и деятельности детских технопарков на территории Новосибирской области в 2017-2020 годах, утвержденной распоряжением Правительства Новосибирской области от 14.12.2016 № 459-рп </w:t>
            </w:r>
          </w:p>
          <w:p w14:paraId="697146FE" w14:textId="77777777" w:rsidR="003F26A5" w:rsidRPr="00891093" w:rsidRDefault="003F26A5" w:rsidP="00367300">
            <w:pPr>
              <w:autoSpaceDE w:val="0"/>
              <w:autoSpaceDN w:val="0"/>
              <w:adjustRightInd w:val="0"/>
              <w:ind w:right="57" w:firstLine="57"/>
              <w:jc w:val="both"/>
              <w:rPr>
                <w:rFonts w:ascii="Times New Roman" w:hAnsi="Times New Roman" w:cs="Times New Roman"/>
                <w:sz w:val="24"/>
                <w:szCs w:val="24"/>
              </w:rPr>
            </w:pPr>
            <w:r w:rsidRPr="00367300">
              <w:rPr>
                <w:rFonts w:ascii="Times New Roman" w:hAnsi="Times New Roman" w:cs="Times New Roman"/>
                <w:sz w:val="24"/>
                <w:szCs w:val="24"/>
              </w:rPr>
              <w:t>«О Концепции создания и деятельности детских технопарков на территории Новосибирской области в 2</w:t>
            </w:r>
            <w:r w:rsidRPr="00891093">
              <w:rPr>
                <w:rFonts w:ascii="Times New Roman" w:hAnsi="Times New Roman" w:cs="Times New Roman"/>
                <w:sz w:val="24"/>
                <w:szCs w:val="24"/>
              </w:rPr>
              <w:t>017-2020 годах»</w:t>
            </w:r>
          </w:p>
        </w:tc>
        <w:tc>
          <w:tcPr>
            <w:tcW w:w="723" w:type="pct"/>
            <w:shd w:val="clear" w:color="auto" w:fill="FFFFFF" w:themeFill="background1"/>
          </w:tcPr>
          <w:p w14:paraId="39BD6F7E"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 xml:space="preserve">Содействие решению проблемы обеспечения высокотехнологичных </w:t>
            </w:r>
          </w:p>
          <w:p w14:paraId="336AF9DC" w14:textId="77777777" w:rsidR="003F26A5" w:rsidRPr="00891093" w:rsidRDefault="003F26A5" w:rsidP="00891093">
            <w:pPr>
              <w:autoSpaceDE w:val="0"/>
              <w:autoSpaceDN w:val="0"/>
              <w:adjustRightInd w:val="0"/>
              <w:rPr>
                <w:rFonts w:ascii="Times New Roman" w:hAnsi="Times New Roman" w:cs="Times New Roman"/>
                <w:bCs/>
                <w:sz w:val="24"/>
                <w:szCs w:val="24"/>
              </w:rPr>
            </w:pPr>
            <w:r w:rsidRPr="00891093">
              <w:rPr>
                <w:rFonts w:ascii="Times New Roman" w:hAnsi="Times New Roman" w:cs="Times New Roman"/>
                <w:sz w:val="24"/>
                <w:szCs w:val="24"/>
              </w:rPr>
              <w:t>и других отраслей экономики региона новым поколением высококвалифицированных рабочих и специалистов</w:t>
            </w:r>
          </w:p>
        </w:tc>
        <w:tc>
          <w:tcPr>
            <w:tcW w:w="337" w:type="pct"/>
            <w:shd w:val="clear" w:color="auto" w:fill="FFFFFF" w:themeFill="background1"/>
          </w:tcPr>
          <w:p w14:paraId="2A003288"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shd w:val="clear" w:color="auto" w:fill="FFFFFF" w:themeFill="background1"/>
          </w:tcPr>
          <w:p w14:paraId="649F5B6E" w14:textId="77777777" w:rsidR="003F26A5" w:rsidRPr="00FC74FE" w:rsidRDefault="003F26A5" w:rsidP="00891093">
            <w:pPr>
              <w:contextualSpacing/>
              <w:rPr>
                <w:rFonts w:ascii="Times New Roman" w:hAnsi="Times New Roman" w:cs="Times New Roman"/>
                <w:bCs/>
                <w:sz w:val="24"/>
                <w:szCs w:val="24"/>
              </w:rPr>
            </w:pPr>
            <w:r w:rsidRPr="00AE06D3">
              <w:rPr>
                <w:rFonts w:ascii="Times New Roman" w:hAnsi="Times New Roman" w:cs="Times New Roman"/>
                <w:sz w:val="24"/>
                <w:szCs w:val="24"/>
              </w:rPr>
              <w:t>Минобразования НСО</w:t>
            </w:r>
          </w:p>
        </w:tc>
        <w:tc>
          <w:tcPr>
            <w:tcW w:w="2031" w:type="pct"/>
            <w:shd w:val="clear" w:color="auto" w:fill="FFFFFF" w:themeFill="background1"/>
          </w:tcPr>
          <w:p w14:paraId="50836480" w14:textId="77777777" w:rsidR="003F26A5" w:rsidRPr="00367300" w:rsidRDefault="003F26A5" w:rsidP="00AE06D3">
            <w:pPr>
              <w:ind w:left="-75" w:firstLine="327"/>
              <w:jc w:val="both"/>
              <w:rPr>
                <w:rFonts w:ascii="Times New Roman" w:hAnsi="Times New Roman" w:cs="Times New Roman"/>
                <w:sz w:val="24"/>
                <w:szCs w:val="24"/>
              </w:rPr>
            </w:pPr>
            <w:r w:rsidRPr="009B4FC0">
              <w:rPr>
                <w:rFonts w:ascii="Times New Roman" w:eastAsiaTheme="minorHAnsi" w:hAnsi="Times New Roman" w:cs="Times New Roman"/>
                <w:sz w:val="24"/>
                <w:szCs w:val="24"/>
              </w:rPr>
              <w:t>Реализация мероприятий по созданию детских технопарков будет осуществлят</w:t>
            </w:r>
            <w:r w:rsidRPr="00367300">
              <w:rPr>
                <w:rFonts w:ascii="Times New Roman" w:eastAsiaTheme="minorHAnsi" w:hAnsi="Times New Roman" w:cs="Times New Roman"/>
                <w:sz w:val="24"/>
                <w:szCs w:val="24"/>
              </w:rPr>
              <w:t>ься в рамках распоряжения Правительства Новосибирской области от 02.07.2019 № 242-рп «О реализации мероприятий по созданию детских технопарков «Кванториум», включая создание мобильных технопарков «Кванториум», в рамках федерального проекта «Успех каждого ребенка» национального проекта «Образование» на территории Новосибирской области».</w:t>
            </w:r>
          </w:p>
        </w:tc>
      </w:tr>
    </w:tbl>
    <w:tbl>
      <w:tblPr>
        <w:tblStyle w:val="af8"/>
        <w:tblW w:w="5059" w:type="pct"/>
        <w:tblLayout w:type="fixed"/>
        <w:tblLook w:val="04A0" w:firstRow="1" w:lastRow="0" w:firstColumn="1" w:lastColumn="0" w:noHBand="0" w:noVBand="1"/>
      </w:tblPr>
      <w:tblGrid>
        <w:gridCol w:w="987"/>
        <w:gridCol w:w="3265"/>
        <w:gridCol w:w="2130"/>
        <w:gridCol w:w="993"/>
        <w:gridCol w:w="1364"/>
        <w:gridCol w:w="5984"/>
        <w:gridCol w:w="9"/>
      </w:tblGrid>
      <w:tr w:rsidR="003F26A5" w:rsidRPr="00367300" w14:paraId="064012E0" w14:textId="77777777" w:rsidTr="003F26A5">
        <w:trPr>
          <w:gridAfter w:val="1"/>
          <w:wAfter w:w="3" w:type="pct"/>
          <w:trHeight w:val="283"/>
        </w:trPr>
        <w:tc>
          <w:tcPr>
            <w:tcW w:w="335" w:type="pct"/>
          </w:tcPr>
          <w:p w14:paraId="0B436346"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11.2</w:t>
            </w:r>
          </w:p>
        </w:tc>
        <w:tc>
          <w:tcPr>
            <w:tcW w:w="1108" w:type="pct"/>
          </w:tcPr>
          <w:p w14:paraId="33441ACB"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Реализация (поддержка) программ дополнительного профессионального обучения актуальным навыкам и профессиям цифровой экономики для переподготовки кадров, </w:t>
            </w:r>
          </w:p>
          <w:p w14:paraId="56C4B796"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в том числе с возможностью дистанционного обучения</w:t>
            </w:r>
          </w:p>
        </w:tc>
        <w:tc>
          <w:tcPr>
            <w:tcW w:w="723" w:type="pct"/>
          </w:tcPr>
          <w:p w14:paraId="53C3C72A"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Развитие у обучающихся навыков и компетенций, необходимых для цифровой экономики</w:t>
            </w:r>
          </w:p>
        </w:tc>
        <w:tc>
          <w:tcPr>
            <w:tcW w:w="337" w:type="pct"/>
          </w:tcPr>
          <w:p w14:paraId="18BC6FA6"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Pr>
          <w:p w14:paraId="10140188"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Минобразования НСО</w:t>
            </w:r>
          </w:p>
        </w:tc>
        <w:tc>
          <w:tcPr>
            <w:tcW w:w="2031" w:type="pct"/>
          </w:tcPr>
          <w:p w14:paraId="6A8B8A28" w14:textId="77777777" w:rsidR="003F26A5" w:rsidRPr="009B4FC0" w:rsidRDefault="003F26A5" w:rsidP="00891093">
            <w:pPr>
              <w:ind w:left="57" w:right="57" w:firstLine="329"/>
              <w:jc w:val="both"/>
              <w:rPr>
                <w:rFonts w:ascii="Times New Roman" w:hAnsi="Times New Roman" w:cs="Times New Roman"/>
                <w:sz w:val="24"/>
                <w:szCs w:val="24"/>
              </w:rPr>
            </w:pPr>
            <w:r w:rsidRPr="00AE06D3">
              <w:rPr>
                <w:rFonts w:ascii="Times New Roman" w:eastAsiaTheme="minorHAnsi" w:hAnsi="Times New Roman" w:cs="Times New Roman"/>
                <w:sz w:val="24"/>
                <w:szCs w:val="24"/>
              </w:rPr>
              <w:t>В рамках регионального проекта «Кадры для цифровой экономики» реализация программ дополнительного профес</w:t>
            </w:r>
            <w:r w:rsidRPr="00FC74FE">
              <w:rPr>
                <w:rFonts w:ascii="Times New Roman" w:eastAsiaTheme="minorHAnsi" w:hAnsi="Times New Roman" w:cs="Times New Roman"/>
                <w:sz w:val="24"/>
                <w:szCs w:val="24"/>
              </w:rPr>
              <w:t>сионального обучения по актуальным навыкам и профессиям цифровой экономики для переподготовки кадров, в том числе с возможностью дистанционного обучения, запланирована с 2020 года.</w:t>
            </w:r>
          </w:p>
        </w:tc>
      </w:tr>
      <w:tr w:rsidR="003F26A5" w:rsidRPr="00367300" w14:paraId="77CEC9C2" w14:textId="77777777" w:rsidTr="003F26A5">
        <w:trPr>
          <w:trHeight w:val="283"/>
        </w:trPr>
        <w:tc>
          <w:tcPr>
            <w:tcW w:w="5000" w:type="pct"/>
            <w:gridSpan w:val="7"/>
            <w:shd w:val="clear" w:color="auto" w:fill="auto"/>
          </w:tcPr>
          <w:p w14:paraId="6320D5E4" w14:textId="77777777" w:rsidR="003F26A5" w:rsidRPr="00367300" w:rsidRDefault="003F26A5" w:rsidP="00367300">
            <w:pPr>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t xml:space="preserve">12. Повышение в субъекте Российской Федерации цифровой грамотности населения, </w:t>
            </w:r>
          </w:p>
          <w:p w14:paraId="7DBA86B5" w14:textId="77777777" w:rsidR="003F26A5" w:rsidRPr="00367300" w:rsidRDefault="003F26A5" w:rsidP="00367300">
            <w:pPr>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t>государственных гражданских служащих и работников бюджетной сферы</w:t>
            </w:r>
          </w:p>
        </w:tc>
      </w:tr>
    </w:tbl>
    <w:tbl>
      <w:tblPr>
        <w:tblW w:w="5059" w:type="pct"/>
        <w:tblLayout w:type="fixed"/>
        <w:tblLook w:val="04A0" w:firstRow="1" w:lastRow="0" w:firstColumn="1" w:lastColumn="0" w:noHBand="0" w:noVBand="1"/>
      </w:tblPr>
      <w:tblGrid>
        <w:gridCol w:w="988"/>
        <w:gridCol w:w="3269"/>
        <w:gridCol w:w="2131"/>
        <w:gridCol w:w="993"/>
        <w:gridCol w:w="1364"/>
        <w:gridCol w:w="5987"/>
      </w:tblGrid>
      <w:tr w:rsidR="003F26A5" w:rsidRPr="00367300" w14:paraId="636A8D41" w14:textId="77777777" w:rsidTr="003F26A5">
        <w:trPr>
          <w:trHeight w:val="283"/>
        </w:trPr>
        <w:tc>
          <w:tcPr>
            <w:tcW w:w="335" w:type="pct"/>
            <w:tcBorders>
              <w:top w:val="single" w:sz="4" w:space="0" w:color="auto"/>
              <w:left w:val="single" w:sz="4" w:space="0" w:color="auto"/>
              <w:bottom w:val="single" w:sz="4" w:space="0" w:color="auto"/>
              <w:right w:val="single" w:sz="4" w:space="0" w:color="auto"/>
            </w:tcBorders>
          </w:tcPr>
          <w:p w14:paraId="531F08FE"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12.1 </w:t>
            </w:r>
          </w:p>
        </w:tc>
        <w:tc>
          <w:tcPr>
            <w:tcW w:w="1108" w:type="pct"/>
            <w:tcBorders>
              <w:top w:val="single" w:sz="4" w:space="0" w:color="auto"/>
              <w:left w:val="single" w:sz="4" w:space="0" w:color="auto"/>
              <w:bottom w:val="single" w:sz="4" w:space="0" w:color="auto"/>
              <w:right w:val="single" w:sz="4" w:space="0" w:color="auto"/>
            </w:tcBorders>
            <w:shd w:val="clear" w:color="auto" w:fill="auto"/>
          </w:tcPr>
          <w:p w14:paraId="68A8D94E" w14:textId="77777777" w:rsidR="003F26A5" w:rsidRPr="00367300" w:rsidRDefault="003F26A5" w:rsidP="00367300">
            <w:pPr>
              <w:contextualSpacing/>
              <w:jc w:val="both"/>
              <w:rPr>
                <w:rFonts w:ascii="Times New Roman" w:hAnsi="Times New Roman" w:cs="Times New Roman"/>
                <w:sz w:val="24"/>
                <w:szCs w:val="24"/>
              </w:rPr>
            </w:pPr>
            <w:r w:rsidRPr="00367300">
              <w:rPr>
                <w:rFonts w:ascii="Times New Roman" w:hAnsi="Times New Roman" w:cs="Times New Roman"/>
                <w:sz w:val="24"/>
                <w:szCs w:val="24"/>
              </w:rPr>
              <w:t>Реализация регионального проекта «Цифровая образовательная среда»</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30A567CB" w14:textId="77777777" w:rsidR="003F26A5" w:rsidRPr="00367300" w:rsidRDefault="003F26A5" w:rsidP="00367300">
            <w:pPr>
              <w:autoSpaceDE w:val="0"/>
              <w:autoSpaceDN w:val="0"/>
              <w:adjustRightInd w:val="0"/>
              <w:rPr>
                <w:rFonts w:ascii="Times New Roman" w:hAnsi="Times New Roman" w:cs="Times New Roman"/>
                <w:sz w:val="24"/>
                <w:szCs w:val="24"/>
              </w:rPr>
            </w:pPr>
            <w:r w:rsidRPr="00367300">
              <w:rPr>
                <w:rFonts w:ascii="Times New Roman" w:hAnsi="Times New Roman" w:cs="Times New Roman"/>
                <w:sz w:val="24"/>
                <w:szCs w:val="24"/>
              </w:rPr>
              <w:t xml:space="preserve">Создание цифровой образовательной среды </w:t>
            </w:r>
          </w:p>
          <w:p w14:paraId="548BA425" w14:textId="77777777" w:rsidR="003F26A5" w:rsidRPr="00367300" w:rsidRDefault="003F26A5" w:rsidP="00367300">
            <w:pPr>
              <w:autoSpaceDE w:val="0"/>
              <w:autoSpaceDN w:val="0"/>
              <w:adjustRightInd w:val="0"/>
              <w:rPr>
                <w:rFonts w:ascii="Times New Roman" w:hAnsi="Times New Roman" w:cs="Times New Roman"/>
                <w:sz w:val="24"/>
                <w:szCs w:val="24"/>
              </w:rPr>
            </w:pPr>
            <w:r w:rsidRPr="00367300">
              <w:rPr>
                <w:rFonts w:ascii="Times New Roman" w:hAnsi="Times New Roman" w:cs="Times New Roman"/>
                <w:sz w:val="24"/>
                <w:szCs w:val="24"/>
              </w:rPr>
              <w:lastRenderedPageBreak/>
              <w:t xml:space="preserve">и формирование </w:t>
            </w:r>
          </w:p>
          <w:p w14:paraId="0C2511A3"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IT-компетенций</w:t>
            </w:r>
          </w:p>
        </w:tc>
        <w:tc>
          <w:tcPr>
            <w:tcW w:w="337" w:type="pct"/>
            <w:tcBorders>
              <w:top w:val="single" w:sz="4" w:space="0" w:color="auto"/>
              <w:left w:val="single" w:sz="4" w:space="0" w:color="auto"/>
              <w:bottom w:val="single" w:sz="4" w:space="0" w:color="auto"/>
              <w:right w:val="single" w:sz="4" w:space="0" w:color="auto"/>
            </w:tcBorders>
          </w:tcPr>
          <w:p w14:paraId="052246CD"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lastRenderedPageBreak/>
              <w:t>2019-2021 годы</w:t>
            </w:r>
          </w:p>
        </w:tc>
        <w:tc>
          <w:tcPr>
            <w:tcW w:w="463" w:type="pct"/>
            <w:tcBorders>
              <w:top w:val="single" w:sz="4" w:space="0" w:color="auto"/>
              <w:left w:val="single" w:sz="4" w:space="0" w:color="auto"/>
              <w:bottom w:val="single" w:sz="4" w:space="0" w:color="auto"/>
              <w:right w:val="single" w:sz="4" w:space="0" w:color="auto"/>
            </w:tcBorders>
          </w:tcPr>
          <w:p w14:paraId="0F02DCE0"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Минобразования НСО</w:t>
            </w:r>
            <w:r w:rsidRPr="00891093">
              <w:rPr>
                <w:rFonts w:ascii="Times New Roman" w:hAnsi="Times New Roman" w:cs="Times New Roman"/>
                <w:bCs/>
                <w:sz w:val="24"/>
                <w:szCs w:val="24"/>
              </w:rPr>
              <w:t>,</w:t>
            </w:r>
          </w:p>
          <w:p w14:paraId="7BE02BE7" w14:textId="77777777" w:rsidR="003F26A5" w:rsidRPr="00FC74FE" w:rsidRDefault="003F26A5" w:rsidP="00891093">
            <w:pPr>
              <w:autoSpaceDE w:val="0"/>
              <w:autoSpaceDN w:val="0"/>
              <w:adjustRightInd w:val="0"/>
              <w:rPr>
                <w:rFonts w:ascii="Times New Roman" w:hAnsi="Times New Roman" w:cs="Times New Roman"/>
                <w:sz w:val="24"/>
                <w:szCs w:val="24"/>
              </w:rPr>
            </w:pPr>
            <w:r w:rsidRPr="00AE06D3">
              <w:rPr>
                <w:rFonts w:ascii="Times New Roman" w:hAnsi="Times New Roman" w:cs="Times New Roman"/>
                <w:sz w:val="24"/>
                <w:szCs w:val="24"/>
              </w:rPr>
              <w:lastRenderedPageBreak/>
              <w:t>регио</w:t>
            </w:r>
            <w:r w:rsidRPr="00FC74FE">
              <w:rPr>
                <w:rFonts w:ascii="Times New Roman" w:hAnsi="Times New Roman" w:cs="Times New Roman"/>
                <w:sz w:val="24"/>
                <w:szCs w:val="24"/>
              </w:rPr>
              <w:t>нальный ресурсный центр развития образования Новосибирской области</w:t>
            </w:r>
          </w:p>
        </w:tc>
        <w:tc>
          <w:tcPr>
            <w:tcW w:w="2031" w:type="pct"/>
            <w:tcBorders>
              <w:top w:val="single" w:sz="4" w:space="0" w:color="auto"/>
              <w:left w:val="single" w:sz="4" w:space="0" w:color="auto"/>
              <w:bottom w:val="single" w:sz="4" w:space="0" w:color="auto"/>
              <w:right w:val="single" w:sz="4" w:space="0" w:color="auto"/>
            </w:tcBorders>
            <w:shd w:val="clear" w:color="auto" w:fill="FFFFFF" w:themeFill="background1"/>
          </w:tcPr>
          <w:p w14:paraId="62013567" w14:textId="77777777" w:rsidR="003F26A5" w:rsidRPr="00367300" w:rsidRDefault="003F26A5" w:rsidP="00AE06D3">
            <w:pPr>
              <w:ind w:left="-75" w:firstLine="402"/>
              <w:jc w:val="both"/>
              <w:rPr>
                <w:rFonts w:ascii="Times New Roman" w:eastAsiaTheme="minorHAnsi" w:hAnsi="Times New Roman" w:cs="Times New Roman"/>
                <w:sz w:val="24"/>
                <w:szCs w:val="24"/>
              </w:rPr>
            </w:pPr>
            <w:r w:rsidRPr="009B4FC0">
              <w:rPr>
                <w:rFonts w:ascii="Times New Roman" w:eastAsiaTheme="minorHAnsi" w:hAnsi="Times New Roman" w:cs="Times New Roman"/>
                <w:sz w:val="24"/>
                <w:szCs w:val="24"/>
              </w:rPr>
              <w:lastRenderedPageBreak/>
              <w:t xml:space="preserve">Реализация регионального проекта «Цифровая образовательная среда» за счет средств субсидии из федерального бюджета на реализацию мероприятий федерального проекта «Цифровая образовательная </w:t>
            </w:r>
            <w:r w:rsidRPr="009B4FC0">
              <w:rPr>
                <w:rFonts w:ascii="Times New Roman" w:eastAsiaTheme="minorHAnsi" w:hAnsi="Times New Roman" w:cs="Times New Roman"/>
                <w:sz w:val="24"/>
                <w:szCs w:val="24"/>
              </w:rPr>
              <w:lastRenderedPageBreak/>
              <w:t>с</w:t>
            </w:r>
            <w:r w:rsidRPr="00367300">
              <w:rPr>
                <w:rFonts w:ascii="Times New Roman" w:eastAsiaTheme="minorHAnsi" w:hAnsi="Times New Roman" w:cs="Times New Roman"/>
                <w:sz w:val="24"/>
                <w:szCs w:val="24"/>
              </w:rPr>
              <w:t>реда» национального проекта «образование», запланирована с 2020 года</w:t>
            </w:r>
            <w:r w:rsidR="00A55AC7" w:rsidRPr="00367300">
              <w:rPr>
                <w:rFonts w:ascii="Times New Roman" w:eastAsiaTheme="minorHAnsi" w:hAnsi="Times New Roman" w:cs="Times New Roman"/>
                <w:sz w:val="24"/>
                <w:szCs w:val="24"/>
              </w:rPr>
              <w:t>.</w:t>
            </w:r>
          </w:p>
        </w:tc>
      </w:tr>
    </w:tbl>
    <w:tbl>
      <w:tblPr>
        <w:tblStyle w:val="af8"/>
        <w:tblW w:w="5059" w:type="pct"/>
        <w:tblLayout w:type="fixed"/>
        <w:tblLook w:val="04A0" w:firstRow="1" w:lastRow="0" w:firstColumn="1" w:lastColumn="0" w:noHBand="0" w:noVBand="1"/>
      </w:tblPr>
      <w:tblGrid>
        <w:gridCol w:w="987"/>
        <w:gridCol w:w="3265"/>
        <w:gridCol w:w="2130"/>
        <w:gridCol w:w="993"/>
        <w:gridCol w:w="1364"/>
        <w:gridCol w:w="5984"/>
        <w:gridCol w:w="9"/>
      </w:tblGrid>
      <w:tr w:rsidR="003F26A5" w:rsidRPr="00367300" w14:paraId="4FCAE7BE" w14:textId="77777777" w:rsidTr="003F26A5">
        <w:trPr>
          <w:gridAfter w:val="1"/>
          <w:wAfter w:w="3" w:type="pct"/>
          <w:trHeight w:val="283"/>
        </w:trPr>
        <w:tc>
          <w:tcPr>
            <w:tcW w:w="335" w:type="pct"/>
            <w:tcBorders>
              <w:top w:val="single" w:sz="4" w:space="0" w:color="auto"/>
              <w:left w:val="single" w:sz="4" w:space="0" w:color="auto"/>
              <w:bottom w:val="single" w:sz="4" w:space="0" w:color="auto"/>
              <w:right w:val="single" w:sz="4" w:space="0" w:color="auto"/>
            </w:tcBorders>
          </w:tcPr>
          <w:p w14:paraId="09B9D27B"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12.2</w:t>
            </w:r>
          </w:p>
        </w:tc>
        <w:tc>
          <w:tcPr>
            <w:tcW w:w="1108" w:type="pct"/>
            <w:tcBorders>
              <w:top w:val="single" w:sz="4" w:space="0" w:color="auto"/>
              <w:left w:val="single" w:sz="4" w:space="0" w:color="auto"/>
              <w:bottom w:val="single" w:sz="4" w:space="0" w:color="auto"/>
              <w:right w:val="single" w:sz="4" w:space="0" w:color="auto"/>
            </w:tcBorders>
            <w:shd w:val="clear" w:color="auto" w:fill="auto"/>
          </w:tcPr>
          <w:p w14:paraId="38CC6052"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Обучение неработающих пенсионеров компьютерной грамотности</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13980701" w14:textId="77777777" w:rsidR="003F26A5" w:rsidRPr="00367300" w:rsidRDefault="003F26A5" w:rsidP="00367300">
            <w:pPr>
              <w:autoSpaceDE w:val="0"/>
              <w:autoSpaceDN w:val="0"/>
              <w:adjustRightInd w:val="0"/>
              <w:rPr>
                <w:rFonts w:ascii="Times New Roman" w:hAnsi="Times New Roman" w:cs="Times New Roman"/>
                <w:sz w:val="24"/>
                <w:szCs w:val="24"/>
              </w:rPr>
            </w:pPr>
            <w:r w:rsidRPr="00367300">
              <w:rPr>
                <w:rFonts w:ascii="Times New Roman" w:hAnsi="Times New Roman" w:cs="Times New Roman"/>
                <w:sz w:val="24"/>
                <w:szCs w:val="24"/>
              </w:rPr>
              <w:t>Вовлечение граждан пожилого возраста в информационную среду, формирование практических навыков работы на современном персональном компьютере</w:t>
            </w:r>
          </w:p>
        </w:tc>
        <w:tc>
          <w:tcPr>
            <w:tcW w:w="337" w:type="pct"/>
            <w:tcBorders>
              <w:top w:val="single" w:sz="4" w:space="0" w:color="auto"/>
              <w:left w:val="single" w:sz="4" w:space="0" w:color="auto"/>
              <w:bottom w:val="single" w:sz="4" w:space="0" w:color="auto"/>
              <w:right w:val="single" w:sz="4" w:space="0" w:color="auto"/>
            </w:tcBorders>
          </w:tcPr>
          <w:p w14:paraId="4A516357" w14:textId="77777777" w:rsidR="003F26A5" w:rsidRPr="00891093" w:rsidRDefault="003F26A5" w:rsidP="00367300">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Borders>
              <w:top w:val="single" w:sz="4" w:space="0" w:color="auto"/>
              <w:left w:val="single" w:sz="4" w:space="0" w:color="auto"/>
              <w:bottom w:val="single" w:sz="4" w:space="0" w:color="auto"/>
              <w:right w:val="single" w:sz="4" w:space="0" w:color="auto"/>
            </w:tcBorders>
          </w:tcPr>
          <w:p w14:paraId="2F5CE05D" w14:textId="77777777" w:rsidR="003F26A5" w:rsidRPr="00367300" w:rsidRDefault="00E3307E" w:rsidP="00891093">
            <w:pPr>
              <w:contextualSpacing/>
              <w:rPr>
                <w:rFonts w:ascii="Times New Roman" w:hAnsi="Times New Roman" w:cs="Times New Roman"/>
                <w:bCs/>
                <w:sz w:val="24"/>
                <w:szCs w:val="24"/>
              </w:rPr>
            </w:pPr>
            <w:hyperlink r:id="rId119" w:history="1">
              <w:r w:rsidR="003F26A5" w:rsidRPr="00367300">
                <w:rPr>
                  <w:rFonts w:ascii="Times New Roman" w:eastAsia="Times New Roman" w:hAnsi="Times New Roman" w:cs="Times New Roman"/>
                  <w:sz w:val="24"/>
                  <w:szCs w:val="24"/>
                </w:rPr>
                <w:t>Минтруд</w:t>
              </w:r>
            </w:hyperlink>
            <w:r w:rsidR="003F26A5" w:rsidRPr="00367300">
              <w:rPr>
                <w:rFonts w:ascii="Times New Roman" w:eastAsia="Times New Roman" w:hAnsi="Times New Roman" w:cs="Times New Roman"/>
                <w:sz w:val="24"/>
                <w:szCs w:val="24"/>
              </w:rPr>
              <w:t>а и соцразвития НСО</w:t>
            </w:r>
            <w:r w:rsidR="003F26A5" w:rsidRPr="00367300">
              <w:rPr>
                <w:rFonts w:ascii="Times New Roman" w:hAnsi="Times New Roman" w:cs="Times New Roman"/>
                <w:bCs/>
                <w:sz w:val="24"/>
                <w:szCs w:val="24"/>
              </w:rPr>
              <w:t xml:space="preserve"> </w:t>
            </w:r>
          </w:p>
        </w:tc>
        <w:tc>
          <w:tcPr>
            <w:tcW w:w="2031" w:type="pct"/>
            <w:tcBorders>
              <w:top w:val="single" w:sz="4" w:space="0" w:color="auto"/>
              <w:left w:val="single" w:sz="4" w:space="0" w:color="auto"/>
              <w:bottom w:val="single" w:sz="4" w:space="0" w:color="auto"/>
              <w:right w:val="single" w:sz="4" w:space="0" w:color="auto"/>
            </w:tcBorders>
          </w:tcPr>
          <w:p w14:paraId="19182EDF" w14:textId="77777777" w:rsidR="003F26A5" w:rsidRPr="00891093" w:rsidRDefault="003F26A5" w:rsidP="00891093">
            <w:pPr>
              <w:ind w:left="57" w:right="57" w:firstLine="329"/>
              <w:jc w:val="both"/>
              <w:rPr>
                <w:rFonts w:ascii="Times New Roman" w:hAnsi="Times New Roman" w:cs="Times New Roman"/>
                <w:sz w:val="24"/>
                <w:szCs w:val="24"/>
              </w:rPr>
            </w:pPr>
            <w:r w:rsidRPr="00367300">
              <w:rPr>
                <w:rFonts w:ascii="Times New Roman" w:eastAsiaTheme="minorHAnsi" w:hAnsi="Times New Roman" w:cs="Times New Roman"/>
                <w:sz w:val="24"/>
                <w:szCs w:val="24"/>
              </w:rPr>
              <w:t>За счет средств государственной программы предоставлена субсидия Региональной общественной организации «Союз пенсионеров России» Новосибирской области на обучение граждан пожилого возраста навыкам компьютерной грамотности в размере 608,0 тыс. рублей. В 2019 году прошли обучение 250 пенсионеров.</w:t>
            </w:r>
          </w:p>
        </w:tc>
      </w:tr>
      <w:tr w:rsidR="003F26A5" w:rsidRPr="00367300" w14:paraId="661993E4" w14:textId="77777777" w:rsidTr="003F26A5">
        <w:trPr>
          <w:gridAfter w:val="1"/>
          <w:wAfter w:w="3" w:type="pct"/>
          <w:trHeight w:val="283"/>
        </w:trPr>
        <w:tc>
          <w:tcPr>
            <w:tcW w:w="335" w:type="pct"/>
            <w:tcBorders>
              <w:top w:val="single" w:sz="4" w:space="0" w:color="auto"/>
            </w:tcBorders>
          </w:tcPr>
          <w:p w14:paraId="36294FD9"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12.3</w:t>
            </w:r>
          </w:p>
        </w:tc>
        <w:tc>
          <w:tcPr>
            <w:tcW w:w="1108" w:type="pct"/>
            <w:tcBorders>
              <w:top w:val="single" w:sz="4" w:space="0" w:color="auto"/>
            </w:tcBorders>
            <w:shd w:val="clear" w:color="auto" w:fill="auto"/>
          </w:tcPr>
          <w:p w14:paraId="69E8F9EB"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Организация обучения гражданских служащих компьютерной грамотности, необходимой для исполнения должностных обязанностей гражданскими служащими</w:t>
            </w:r>
          </w:p>
        </w:tc>
        <w:tc>
          <w:tcPr>
            <w:tcW w:w="723" w:type="pct"/>
            <w:tcBorders>
              <w:top w:val="single" w:sz="4" w:space="0" w:color="auto"/>
            </w:tcBorders>
            <w:shd w:val="clear" w:color="auto" w:fill="auto"/>
          </w:tcPr>
          <w:p w14:paraId="29C88E27" w14:textId="77777777" w:rsidR="003F26A5" w:rsidRPr="00367300" w:rsidRDefault="003F26A5" w:rsidP="00367300">
            <w:pPr>
              <w:autoSpaceDE w:val="0"/>
              <w:autoSpaceDN w:val="0"/>
              <w:adjustRightInd w:val="0"/>
              <w:rPr>
                <w:rFonts w:ascii="Times New Roman" w:hAnsi="Times New Roman" w:cs="Times New Roman"/>
                <w:sz w:val="24"/>
                <w:szCs w:val="24"/>
              </w:rPr>
            </w:pPr>
            <w:r w:rsidRPr="00367300">
              <w:rPr>
                <w:rFonts w:ascii="Times New Roman" w:hAnsi="Times New Roman" w:cs="Times New Roman"/>
                <w:sz w:val="24"/>
                <w:szCs w:val="24"/>
              </w:rPr>
              <w:t>Повышение компьютерной грамотности, необходимой для исполнения должностных обязанностей гражданскими служащим</w:t>
            </w:r>
          </w:p>
        </w:tc>
        <w:tc>
          <w:tcPr>
            <w:tcW w:w="337" w:type="pct"/>
            <w:tcBorders>
              <w:top w:val="single" w:sz="4" w:space="0" w:color="auto"/>
            </w:tcBorders>
          </w:tcPr>
          <w:p w14:paraId="0E024995"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2020-2021 годы</w:t>
            </w:r>
          </w:p>
        </w:tc>
        <w:tc>
          <w:tcPr>
            <w:tcW w:w="463" w:type="pct"/>
            <w:tcBorders>
              <w:top w:val="single" w:sz="4" w:space="0" w:color="auto"/>
            </w:tcBorders>
          </w:tcPr>
          <w:p w14:paraId="08CDA3B0"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 xml:space="preserve">Департамент организации управления </w:t>
            </w:r>
          </w:p>
          <w:p w14:paraId="540D4026"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 xml:space="preserve">и государственной гражданской службы администрации Губернатора Новосибирской области </w:t>
            </w:r>
          </w:p>
          <w:p w14:paraId="1B62C7E6" w14:textId="77777777" w:rsidR="003F26A5" w:rsidRPr="00AE06D3" w:rsidRDefault="003F26A5" w:rsidP="00891093">
            <w:pPr>
              <w:autoSpaceDE w:val="0"/>
              <w:autoSpaceDN w:val="0"/>
              <w:adjustRightInd w:val="0"/>
              <w:rPr>
                <w:rFonts w:ascii="Times New Roman" w:hAnsi="Times New Roman" w:cs="Times New Roman"/>
                <w:sz w:val="24"/>
                <w:szCs w:val="24"/>
              </w:rPr>
            </w:pPr>
            <w:r w:rsidRPr="00AE06D3">
              <w:rPr>
                <w:rFonts w:ascii="Times New Roman" w:hAnsi="Times New Roman" w:cs="Times New Roman"/>
                <w:sz w:val="24"/>
                <w:szCs w:val="24"/>
              </w:rPr>
              <w:lastRenderedPageBreak/>
              <w:t>и Правительства Новосибирской области</w:t>
            </w:r>
          </w:p>
        </w:tc>
        <w:tc>
          <w:tcPr>
            <w:tcW w:w="2031" w:type="pct"/>
            <w:tcBorders>
              <w:top w:val="single" w:sz="4" w:space="0" w:color="auto"/>
            </w:tcBorders>
          </w:tcPr>
          <w:p w14:paraId="379B9115" w14:textId="77777777" w:rsidR="003F26A5" w:rsidRPr="009B4FC0" w:rsidRDefault="003F26A5" w:rsidP="00891093">
            <w:pPr>
              <w:ind w:firstLine="327"/>
              <w:jc w:val="both"/>
              <w:rPr>
                <w:rFonts w:ascii="Times New Roman" w:hAnsi="Times New Roman" w:cs="Times New Roman"/>
                <w:sz w:val="24"/>
                <w:szCs w:val="24"/>
              </w:rPr>
            </w:pPr>
            <w:r w:rsidRPr="00FC74FE">
              <w:rPr>
                <w:rFonts w:ascii="Times New Roman" w:eastAsiaTheme="minorHAnsi" w:hAnsi="Times New Roman" w:cs="Times New Roman"/>
                <w:sz w:val="24"/>
                <w:szCs w:val="24"/>
              </w:rPr>
              <w:lastRenderedPageBreak/>
              <w:t>Срок выполнения мероприятия - 2020 -2021 годы</w:t>
            </w:r>
            <w:r w:rsidR="00A55AC7" w:rsidRPr="00FC74FE">
              <w:rPr>
                <w:rFonts w:ascii="Times New Roman" w:eastAsiaTheme="minorHAnsi" w:hAnsi="Times New Roman" w:cs="Times New Roman"/>
                <w:sz w:val="24"/>
                <w:szCs w:val="24"/>
              </w:rPr>
              <w:t>.</w:t>
            </w:r>
          </w:p>
        </w:tc>
      </w:tr>
      <w:tr w:rsidR="003F26A5" w:rsidRPr="00367300" w14:paraId="2FA1E2F5" w14:textId="77777777" w:rsidTr="003F26A5">
        <w:trPr>
          <w:trHeight w:val="283"/>
        </w:trPr>
        <w:tc>
          <w:tcPr>
            <w:tcW w:w="5000" w:type="pct"/>
            <w:gridSpan w:val="7"/>
            <w:shd w:val="clear" w:color="auto" w:fill="auto"/>
          </w:tcPr>
          <w:p w14:paraId="7E4B73AE" w14:textId="77777777" w:rsidR="003F26A5" w:rsidRPr="00367300" w:rsidRDefault="003F26A5" w:rsidP="00367300">
            <w:pPr>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t>13. Выявление одаренных детей и молодежи, развитие их талантов и способностей, в том числе с использованием механизмов наставничества и дистанционного обучения в электронной форме, а также социальная поддержка молодых специалистов в различных сферах экономической деятельности</w:t>
            </w:r>
          </w:p>
        </w:tc>
      </w:tr>
      <w:tr w:rsidR="003F26A5" w:rsidRPr="00367300" w14:paraId="4BAD8F7D" w14:textId="77777777" w:rsidTr="003F26A5">
        <w:trPr>
          <w:gridAfter w:val="1"/>
          <w:wAfter w:w="3" w:type="pct"/>
          <w:trHeight w:val="283"/>
        </w:trPr>
        <w:tc>
          <w:tcPr>
            <w:tcW w:w="335" w:type="pct"/>
          </w:tcPr>
          <w:p w14:paraId="708C9782"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13.1</w:t>
            </w:r>
          </w:p>
        </w:tc>
        <w:tc>
          <w:tcPr>
            <w:tcW w:w="1108" w:type="pct"/>
          </w:tcPr>
          <w:p w14:paraId="5C9D5381"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Развитие регионального ресурсного центра по работе с одаренными детьми Новосибирской области «Детский технопарк» на базе Центра информационных технологий Технопарка Академгородка</w:t>
            </w:r>
          </w:p>
        </w:tc>
        <w:tc>
          <w:tcPr>
            <w:tcW w:w="723" w:type="pct"/>
          </w:tcPr>
          <w:p w14:paraId="1A9970AE" w14:textId="77777777" w:rsidR="003F26A5" w:rsidRPr="00891093" w:rsidRDefault="003F26A5" w:rsidP="00367300">
            <w:pPr>
              <w:contextualSpacing/>
              <w:rPr>
                <w:rFonts w:ascii="Times New Roman" w:hAnsi="Times New Roman" w:cs="Times New Roman"/>
                <w:bCs/>
                <w:sz w:val="24"/>
                <w:szCs w:val="24"/>
              </w:rPr>
            </w:pPr>
            <w:r w:rsidRPr="00891093">
              <w:rPr>
                <w:rFonts w:ascii="Times New Roman" w:hAnsi="Times New Roman" w:cs="Times New Roman"/>
                <w:sz w:val="24"/>
                <w:szCs w:val="24"/>
              </w:rPr>
              <w:t>Выявление и поддержка одаренных детей и талантливой учащейся молодежи</w:t>
            </w:r>
          </w:p>
        </w:tc>
        <w:tc>
          <w:tcPr>
            <w:tcW w:w="337" w:type="pct"/>
          </w:tcPr>
          <w:p w14:paraId="0B847D82"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2019-2021 годы</w:t>
            </w:r>
          </w:p>
        </w:tc>
        <w:tc>
          <w:tcPr>
            <w:tcW w:w="463" w:type="pct"/>
            <w:shd w:val="clear" w:color="auto" w:fill="FFFFFF" w:themeFill="background1"/>
          </w:tcPr>
          <w:p w14:paraId="74CFA3D6" w14:textId="77777777" w:rsidR="003F26A5" w:rsidRPr="00FC74FE" w:rsidRDefault="003F26A5" w:rsidP="00891093">
            <w:pPr>
              <w:contextualSpacing/>
              <w:rPr>
                <w:rFonts w:ascii="Times New Roman" w:hAnsi="Times New Roman" w:cs="Times New Roman"/>
                <w:bCs/>
                <w:sz w:val="24"/>
                <w:szCs w:val="24"/>
              </w:rPr>
            </w:pPr>
            <w:r w:rsidRPr="00AE06D3">
              <w:rPr>
                <w:rFonts w:ascii="Times New Roman" w:hAnsi="Times New Roman" w:cs="Times New Roman"/>
                <w:sz w:val="24"/>
                <w:szCs w:val="24"/>
              </w:rPr>
              <w:t>Минобразования НСО</w:t>
            </w:r>
          </w:p>
        </w:tc>
        <w:tc>
          <w:tcPr>
            <w:tcW w:w="2031" w:type="pct"/>
            <w:shd w:val="clear" w:color="auto" w:fill="FFFFFF" w:themeFill="background1"/>
          </w:tcPr>
          <w:p w14:paraId="5CCD511C" w14:textId="77777777" w:rsidR="003F26A5" w:rsidRPr="00367300" w:rsidRDefault="003F26A5" w:rsidP="00891093">
            <w:pPr>
              <w:ind w:left="57" w:right="57" w:firstLine="340"/>
              <w:jc w:val="both"/>
              <w:rPr>
                <w:rFonts w:ascii="Times New Roman" w:eastAsiaTheme="minorHAnsi" w:hAnsi="Times New Roman" w:cs="Times New Roman"/>
                <w:sz w:val="24"/>
                <w:szCs w:val="24"/>
              </w:rPr>
            </w:pPr>
            <w:r w:rsidRPr="009B4FC0">
              <w:rPr>
                <w:rFonts w:ascii="Times New Roman" w:eastAsiaTheme="minorHAnsi" w:hAnsi="Times New Roman" w:cs="Times New Roman"/>
                <w:sz w:val="24"/>
                <w:szCs w:val="24"/>
              </w:rPr>
              <w:t>В рамках реализации федерального проекта «Успех каждого ребенка» национального проекта «Обра</w:t>
            </w:r>
            <w:r w:rsidRPr="00367300">
              <w:rPr>
                <w:rFonts w:ascii="Times New Roman" w:eastAsiaTheme="minorHAnsi" w:hAnsi="Times New Roman" w:cs="Times New Roman"/>
                <w:sz w:val="24"/>
                <w:szCs w:val="24"/>
              </w:rPr>
              <w:t>зование» и в целях исполнения соглашения, подписанного 15 мая 2018 года между Правительством Новосибирской области и Образовательным Фондом «Талант и успех», о сотрудничестве по развитию и реализации интеллектуально-творческого потенциала детей и молодежи Новосибирской области с 2019 года «Детский технопарк» является распределенным инфраструктурным объектом регионального центра выявления и поддержки одаренных детей «Альтаир» по направлению «Наука».</w:t>
            </w:r>
          </w:p>
        </w:tc>
      </w:tr>
      <w:tr w:rsidR="003F26A5" w:rsidRPr="00367300" w14:paraId="34A693EC" w14:textId="77777777" w:rsidTr="003F26A5">
        <w:trPr>
          <w:gridAfter w:val="1"/>
          <w:wAfter w:w="3" w:type="pct"/>
          <w:trHeight w:val="283"/>
        </w:trPr>
        <w:tc>
          <w:tcPr>
            <w:tcW w:w="335" w:type="pct"/>
          </w:tcPr>
          <w:p w14:paraId="5C6692F6"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13.2</w:t>
            </w:r>
          </w:p>
        </w:tc>
        <w:tc>
          <w:tcPr>
            <w:tcW w:w="1108" w:type="pct"/>
          </w:tcPr>
          <w:p w14:paraId="6620DE6D"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Развитие регионального центра выявления и поддержки одаренных детей «Альтаир»</w:t>
            </w:r>
          </w:p>
        </w:tc>
        <w:tc>
          <w:tcPr>
            <w:tcW w:w="723" w:type="pct"/>
          </w:tcPr>
          <w:p w14:paraId="1601ED7E" w14:textId="77777777" w:rsidR="003F26A5" w:rsidRPr="00891093" w:rsidRDefault="003F26A5" w:rsidP="00367300">
            <w:pPr>
              <w:contextualSpacing/>
              <w:rPr>
                <w:rFonts w:ascii="Times New Roman" w:hAnsi="Times New Roman" w:cs="Times New Roman"/>
                <w:bCs/>
                <w:sz w:val="24"/>
                <w:szCs w:val="24"/>
              </w:rPr>
            </w:pPr>
            <w:r w:rsidRPr="00891093">
              <w:rPr>
                <w:rFonts w:ascii="Times New Roman" w:hAnsi="Times New Roman" w:cs="Times New Roman"/>
                <w:sz w:val="24"/>
                <w:szCs w:val="24"/>
              </w:rPr>
              <w:t>Выявление и поддержка одаренных детей и талантливой учащейся молодежи, сопровождение и мониторинг их дальнейшего развития</w:t>
            </w:r>
          </w:p>
        </w:tc>
        <w:tc>
          <w:tcPr>
            <w:tcW w:w="337" w:type="pct"/>
          </w:tcPr>
          <w:p w14:paraId="6300B1D8"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2019-2021 годы</w:t>
            </w:r>
          </w:p>
        </w:tc>
        <w:tc>
          <w:tcPr>
            <w:tcW w:w="463" w:type="pct"/>
          </w:tcPr>
          <w:p w14:paraId="2CB398B7" w14:textId="77777777" w:rsidR="003F26A5" w:rsidRPr="00FC74FE" w:rsidRDefault="003F26A5" w:rsidP="00891093">
            <w:pPr>
              <w:contextualSpacing/>
              <w:rPr>
                <w:rFonts w:ascii="Times New Roman" w:hAnsi="Times New Roman" w:cs="Times New Roman"/>
                <w:bCs/>
                <w:sz w:val="24"/>
                <w:szCs w:val="24"/>
              </w:rPr>
            </w:pPr>
            <w:r w:rsidRPr="00AE06D3">
              <w:rPr>
                <w:rFonts w:ascii="Times New Roman" w:hAnsi="Times New Roman" w:cs="Times New Roman"/>
                <w:sz w:val="24"/>
                <w:szCs w:val="24"/>
              </w:rPr>
              <w:t>Минобразования НСО</w:t>
            </w:r>
          </w:p>
        </w:tc>
        <w:tc>
          <w:tcPr>
            <w:tcW w:w="2031" w:type="pct"/>
          </w:tcPr>
          <w:p w14:paraId="00F677E1" w14:textId="77777777" w:rsidR="003F26A5" w:rsidRPr="00367300" w:rsidRDefault="003F26A5" w:rsidP="00891093">
            <w:pPr>
              <w:ind w:left="57" w:right="57" w:firstLine="340"/>
              <w:jc w:val="both"/>
              <w:rPr>
                <w:rFonts w:ascii="Times New Roman" w:eastAsiaTheme="minorHAnsi" w:hAnsi="Times New Roman" w:cs="Times New Roman"/>
                <w:sz w:val="24"/>
                <w:szCs w:val="24"/>
              </w:rPr>
            </w:pPr>
            <w:r w:rsidRPr="009B4FC0">
              <w:rPr>
                <w:rFonts w:ascii="Times New Roman" w:eastAsiaTheme="minorHAnsi" w:hAnsi="Times New Roman" w:cs="Times New Roman"/>
                <w:sz w:val="24"/>
                <w:szCs w:val="24"/>
              </w:rPr>
              <w:t>В рамках реализации федерального проекта «Успех каждого ребенка» национальн</w:t>
            </w:r>
            <w:r w:rsidRPr="00367300">
              <w:rPr>
                <w:rFonts w:ascii="Times New Roman" w:eastAsiaTheme="minorHAnsi" w:hAnsi="Times New Roman" w:cs="Times New Roman"/>
                <w:sz w:val="24"/>
                <w:szCs w:val="24"/>
              </w:rPr>
              <w:t xml:space="preserve">ого проекта «Образование» и в целях исполнения соглашения, подписанного 15 мая 2018 года между Правительством Новосибирской области и Образовательным Фондом «Талант и успех» о сотрудничестве по развитию и реализации интеллектуально-творческого потенциала детей и молодежи Новосибирской области начиная с 2019 года, создается региональный центр выявления и поддержки одаренных детей «Альтаир» (далее – РЦ «Альтаир»). </w:t>
            </w:r>
          </w:p>
          <w:p w14:paraId="0A61AC96" w14:textId="77777777" w:rsidR="003F26A5" w:rsidRPr="00367300" w:rsidRDefault="003F26A5" w:rsidP="00891093">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 xml:space="preserve">Региональный центр «Альтаир» создается в структуре ГАОУ ДО Новосибирской области «Областной центр </w:t>
            </w:r>
            <w:r w:rsidRPr="00367300">
              <w:rPr>
                <w:rFonts w:ascii="Times New Roman" w:eastAsiaTheme="minorHAnsi" w:hAnsi="Times New Roman" w:cs="Times New Roman"/>
                <w:sz w:val="24"/>
                <w:szCs w:val="24"/>
              </w:rPr>
              <w:lastRenderedPageBreak/>
              <w:t>развития творчества детей и юношества» (далее – ОЦРТДИЮ) по распределенной модели.</w:t>
            </w:r>
          </w:p>
          <w:p w14:paraId="6026B2A9" w14:textId="77777777" w:rsidR="003F26A5" w:rsidRPr="00367300" w:rsidRDefault="003F26A5" w:rsidP="00AE06D3">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Распределенными инфраструктурными объектами являются:</w:t>
            </w:r>
          </w:p>
          <w:p w14:paraId="47A0DD44" w14:textId="77777777" w:rsidR="003F26A5" w:rsidRPr="00367300" w:rsidRDefault="003F26A5" w:rsidP="00FC74FE">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 xml:space="preserve">Центр детского и семейного отдыха им. О. Кошевого, на базе которого круглогодично будут проходить интенсивные профильные и проектные программы по направлениям «Наука», «Спорт», «Искусство». Дополнительными площадками по направлению «Наука» являются: Региональный ресурсный центр «Детский технопарк», расположенный в здании Технопарка Академгородка, Центр олимпиадной подготовки, площадки партнеров - институты СО РАН. </w:t>
            </w:r>
          </w:p>
          <w:p w14:paraId="01555006" w14:textId="77777777" w:rsidR="003F26A5" w:rsidRPr="00367300" w:rsidRDefault="003F26A5" w:rsidP="009B4FC0">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В 2019 году:</w:t>
            </w:r>
          </w:p>
          <w:p w14:paraId="40EBB33F"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 xml:space="preserve">1. Создан попечительский совет, в состав которого, вошли руководители промышленных предприятий, научно-исследовательских организаций, образовательных организаций высшего образования, организаций науки, культуры, спорта, представители Законодательного собрания Новосибирской области, руководитель Фонда «Талант и успех» Е. В. Шмелева. </w:t>
            </w:r>
          </w:p>
          <w:p w14:paraId="2D485327"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2. Утверждены ключевые направления работы: учебные предметы, ключевые тематики проектной деятельности, соответствующие НТИ, виды спорта, виды искусства.</w:t>
            </w:r>
          </w:p>
          <w:p w14:paraId="4AAAC740"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 xml:space="preserve">3. Сформированы и утверждены Экспертные советы по направлениям работы РЦ «Альтаир». </w:t>
            </w:r>
          </w:p>
          <w:p w14:paraId="14AAB20D"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4. Разработан 2-х летний план проведения очных интенсивных программ по различным направлениям подготовки.</w:t>
            </w:r>
          </w:p>
          <w:p w14:paraId="737D615B"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5. Разработаны и утверждены критерии отбора обучающихся и педагогических работников по направлениям работы РЦ «Альтаир».</w:t>
            </w:r>
          </w:p>
          <w:p w14:paraId="2C0CC896"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lastRenderedPageBreak/>
              <w:t>6. Разработан и утвержден типовой дизайн-проект и зонирование РЦ «Альтаир».</w:t>
            </w:r>
          </w:p>
          <w:p w14:paraId="0177E4F5"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С начала работы РЦ «Альтаир» (в 2019 году) проведено профильных смен по направлениям:</w:t>
            </w:r>
          </w:p>
          <w:p w14:paraId="6F9742E6"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«Наука» - 12;</w:t>
            </w:r>
          </w:p>
          <w:p w14:paraId="18EE5EBB"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«Спорт» - 9;</w:t>
            </w:r>
          </w:p>
          <w:p w14:paraId="0BB4DD9D" w14:textId="77777777" w:rsidR="003F26A5" w:rsidRPr="00367300" w:rsidRDefault="003F26A5">
            <w:pPr>
              <w:ind w:left="57" w:right="57" w:firstLine="340"/>
              <w:jc w:val="both"/>
              <w:rPr>
                <w:rFonts w:ascii="Times New Roman" w:eastAsiaTheme="minorHAnsi" w:hAnsi="Times New Roman" w:cs="Times New Roman"/>
                <w:sz w:val="24"/>
                <w:szCs w:val="24"/>
              </w:rPr>
            </w:pPr>
            <w:r w:rsidRPr="00367300">
              <w:rPr>
                <w:rFonts w:ascii="Times New Roman" w:eastAsiaTheme="minorHAnsi" w:hAnsi="Times New Roman" w:cs="Times New Roman"/>
                <w:sz w:val="24"/>
                <w:szCs w:val="24"/>
              </w:rPr>
              <w:t>«Искусство» - 2.</w:t>
            </w:r>
          </w:p>
        </w:tc>
      </w:tr>
      <w:tr w:rsidR="003F26A5" w:rsidRPr="00367300" w14:paraId="069BC194" w14:textId="77777777" w:rsidTr="003F26A5">
        <w:trPr>
          <w:gridAfter w:val="1"/>
          <w:wAfter w:w="3" w:type="pct"/>
          <w:trHeight w:val="283"/>
        </w:trPr>
        <w:tc>
          <w:tcPr>
            <w:tcW w:w="335" w:type="pct"/>
          </w:tcPr>
          <w:p w14:paraId="75858DF0"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13.3</w:t>
            </w:r>
          </w:p>
        </w:tc>
        <w:tc>
          <w:tcPr>
            <w:tcW w:w="1108" w:type="pct"/>
          </w:tcPr>
          <w:p w14:paraId="1FA31BC9"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Предоставление мер государственной поддержки молодым специалистам </w:t>
            </w:r>
          </w:p>
          <w:p w14:paraId="4F6DC190"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в различных сферах экономической деятельности (здравоохранение, образование, сельское хозяйство и другое)</w:t>
            </w:r>
          </w:p>
        </w:tc>
        <w:tc>
          <w:tcPr>
            <w:tcW w:w="723" w:type="pct"/>
          </w:tcPr>
          <w:p w14:paraId="40A79F75" w14:textId="77777777" w:rsidR="003F26A5" w:rsidRPr="00891093" w:rsidRDefault="003F26A5" w:rsidP="00367300">
            <w:pPr>
              <w:contextualSpacing/>
              <w:rPr>
                <w:rFonts w:ascii="Times New Roman" w:hAnsi="Times New Roman" w:cs="Times New Roman"/>
                <w:sz w:val="24"/>
                <w:szCs w:val="24"/>
              </w:rPr>
            </w:pPr>
            <w:r w:rsidRPr="00367300">
              <w:rPr>
                <w:rFonts w:ascii="Times New Roman" w:hAnsi="Times New Roman" w:cs="Times New Roman"/>
                <w:sz w:val="24"/>
                <w:szCs w:val="24"/>
              </w:rPr>
              <w:t xml:space="preserve">Поддержка </w:t>
            </w:r>
            <w:r w:rsidRPr="00891093">
              <w:rPr>
                <w:rFonts w:ascii="Times New Roman" w:hAnsi="Times New Roman" w:cs="Times New Roman"/>
                <w:sz w:val="24"/>
                <w:szCs w:val="24"/>
              </w:rPr>
              <w:t>молодых специалистов в различных сферах экономической деятельности</w:t>
            </w:r>
          </w:p>
        </w:tc>
        <w:tc>
          <w:tcPr>
            <w:tcW w:w="337" w:type="pct"/>
          </w:tcPr>
          <w:p w14:paraId="799D25CA"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2019-2021 годы</w:t>
            </w:r>
          </w:p>
        </w:tc>
        <w:tc>
          <w:tcPr>
            <w:tcW w:w="463" w:type="pct"/>
          </w:tcPr>
          <w:p w14:paraId="1CBFB1DE"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ОИОГВ НСО,</w:t>
            </w:r>
          </w:p>
          <w:p w14:paraId="01175251" w14:textId="77777777" w:rsidR="003F26A5" w:rsidRPr="00AE06D3" w:rsidRDefault="003F26A5" w:rsidP="00891093">
            <w:pPr>
              <w:contextualSpacing/>
              <w:rPr>
                <w:rFonts w:ascii="Times New Roman" w:hAnsi="Times New Roman" w:cs="Times New Roman"/>
                <w:bCs/>
                <w:sz w:val="24"/>
                <w:szCs w:val="24"/>
              </w:rPr>
            </w:pPr>
            <w:r w:rsidRPr="00AE06D3">
              <w:rPr>
                <w:rFonts w:ascii="Times New Roman" w:hAnsi="Times New Roman" w:cs="Times New Roman"/>
                <w:bCs/>
                <w:sz w:val="24"/>
                <w:szCs w:val="24"/>
              </w:rPr>
              <w:t>ОМСУ НСО</w:t>
            </w:r>
          </w:p>
        </w:tc>
        <w:tc>
          <w:tcPr>
            <w:tcW w:w="2031" w:type="pct"/>
          </w:tcPr>
          <w:p w14:paraId="76BD9788" w14:textId="77777777" w:rsidR="003F26A5" w:rsidRPr="00FC74FE" w:rsidRDefault="003F26A5" w:rsidP="00891093">
            <w:pPr>
              <w:ind w:left="57" w:right="57" w:firstLine="340"/>
              <w:jc w:val="both"/>
              <w:rPr>
                <w:rFonts w:ascii="Times New Roman" w:hAnsi="Times New Roman" w:cs="Times New Roman"/>
                <w:sz w:val="24"/>
                <w:szCs w:val="24"/>
              </w:rPr>
            </w:pPr>
            <w:r w:rsidRPr="00FC74FE">
              <w:rPr>
                <w:rFonts w:ascii="Times New Roman" w:hAnsi="Times New Roman" w:cs="Times New Roman"/>
                <w:sz w:val="24"/>
                <w:szCs w:val="24"/>
              </w:rPr>
              <w:t>Меры государственной поддержки молодым специалистам реализуются по различным направлениям.</w:t>
            </w:r>
          </w:p>
          <w:p w14:paraId="626B3FC1" w14:textId="77777777" w:rsidR="003F26A5" w:rsidRPr="00367300" w:rsidRDefault="003F26A5" w:rsidP="00AE06D3">
            <w:pPr>
              <w:ind w:left="57" w:right="57" w:firstLine="340"/>
              <w:jc w:val="both"/>
              <w:rPr>
                <w:rFonts w:ascii="Times New Roman" w:hAnsi="Times New Roman" w:cs="Times New Roman"/>
                <w:sz w:val="24"/>
                <w:szCs w:val="24"/>
              </w:rPr>
            </w:pPr>
            <w:r w:rsidRPr="009B4FC0">
              <w:rPr>
                <w:rFonts w:ascii="Times New Roman" w:hAnsi="Times New Roman" w:cs="Times New Roman"/>
                <w:sz w:val="24"/>
                <w:szCs w:val="24"/>
              </w:rPr>
              <w:t>В 2019 году на улучшение жилищных условий направлено 121 млн. рублей, в том числе 77 млн</w:t>
            </w:r>
            <w:r w:rsidRPr="00367300">
              <w:rPr>
                <w:rFonts w:ascii="Times New Roman" w:hAnsi="Times New Roman" w:cs="Times New Roman"/>
                <w:sz w:val="24"/>
                <w:szCs w:val="24"/>
              </w:rPr>
              <w:t>. рублей за счет средств федерального бюджета, 44,1 млн. рублей за счет средств областного бюджета Новосибирской области. Социальные выплаты предоставлены 86 семьям, в том числе 64 молодым семьям и молодым специалистам. Завершается строительство 8,1 тыс. м2 жилья, в том числе 5,9 тыс. м2 для молодых семей и молодых специалистов.</w:t>
            </w:r>
          </w:p>
          <w:p w14:paraId="4779C487" w14:textId="77777777" w:rsidR="003F26A5" w:rsidRPr="00367300" w:rsidRDefault="003F26A5" w:rsidP="00FC74FE">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В 2019 году в рамках государственной программы Новосибирской области «Стимулирование инвестиционной и инновационной активности в Новосибирской области», утвержденной постановлением Правительства Новосибирской области от 01.04.2015 № 126-п, были проведены конкурсы на предоставление грантов, премий и стипендий молодым ученым Правительства Новосибирской области. По итогам трех конкурсов было поддержано 38 заявок из 149, которые поступили в 2019 году (55 – премии, 44 – стипендии, 50 – гранты). Общий объем финансирования составил 10,25 млн. рублей. </w:t>
            </w:r>
          </w:p>
          <w:p w14:paraId="25753AB9" w14:textId="77777777" w:rsidR="003F26A5" w:rsidRPr="00367300" w:rsidRDefault="003F26A5" w:rsidP="00FC74FE">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 xml:space="preserve">В соответствии с постановлением Главы Администрации Новосибирской области от 03.09.2001 № 803 «О социальной поддержке молодых специалистов </w:t>
            </w:r>
            <w:r w:rsidRPr="00367300">
              <w:rPr>
                <w:rFonts w:ascii="Times New Roman" w:hAnsi="Times New Roman" w:cs="Times New Roman"/>
                <w:bCs/>
                <w:sz w:val="24"/>
                <w:szCs w:val="24"/>
              </w:rPr>
              <w:lastRenderedPageBreak/>
              <w:t>образовательных учреждений» с 01.09.2001 молодым специалистам, принятым на работу в образовательные учреждения, финансируемые из областного бюджета Новосибирской области, после окончания высших и средних специальных учебных заведений, за счет стимулирующей части фонда оплаты труда образовательных учреждений выплачивается единовременное пособие в размере действующего прожиточного минимума трудоспособного населения, при условии заключения с ними трудового контракта сроком не менее чем на три года. Для молодых специалистов, принятым на работу в образовательные учреждения, финансируемые из бюджета муниципальных районов (городских округов) Новосибирской области, после окончания высших и средних специальных учебных заведений, на практике действует аналогичная мера социальной поддержки.</w:t>
            </w:r>
          </w:p>
          <w:p w14:paraId="1D5A9038" w14:textId="77777777" w:rsidR="003F26A5" w:rsidRPr="00367300" w:rsidRDefault="003F26A5" w:rsidP="009B4FC0">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Постановлением администрации Новосибирской области от 31.05.2005 № 22 «О дополнительных мерах по государственной поддержке молодых специалистов – выпускников Новосибирского государственного педагогического университета» для молодых специалистов – выпускников ФГБОУ ВПО «Новосибирский государственный педагогический университет», прибывшим на работу по целевой контрактной подготовке и заключившим трудовые договоры с образовательными учреждениями, установлена единовременная денежная выплата в размере 15 тыс. рублей, которая перечисляется на счет, открытый получателем государственной поддержки в учреждении банка.</w:t>
            </w:r>
          </w:p>
          <w:p w14:paraId="365B72FC" w14:textId="77777777" w:rsidR="003F26A5" w:rsidRPr="00367300" w:rsidRDefault="003F26A5" w:rsidP="009B4FC0">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 xml:space="preserve">Постановлением главы администрации Новосибирской области от 23.01.2003 № 39 «О </w:t>
            </w:r>
            <w:r w:rsidRPr="00367300">
              <w:rPr>
                <w:rFonts w:ascii="Times New Roman" w:hAnsi="Times New Roman" w:cs="Times New Roman"/>
                <w:bCs/>
                <w:sz w:val="24"/>
                <w:szCs w:val="24"/>
              </w:rPr>
              <w:lastRenderedPageBreak/>
              <w:t>дополнительных мерах по укреплению кадрового потенциала и поддержке молодых специалистов организаций бюджетной сферы, расположенных в районах области» с 01.01.2003 установлена ежемесячная надбавка к заработной плате в размере 25% от установленной тарифной ставки (оклада) молодым специалистам, впервые окончившим учреждения высшего и среднего профессионального образования, работающим в соответствии с полученной специальностью и квалификацией в организациях, расположенных в районах области и финансируемых из областного бюджета Новосибирской области. Дополнительно данным постановлением главам муниципальных образований Новосибирской области, руководителям сельскохозяйственных организаций рекомендовано с учетом местных условий и возможностей оказывать поддержку в обустройстве молодым специалистам организаций бюджетной сферы по следующим направлениям:</w:t>
            </w:r>
          </w:p>
          <w:p w14:paraId="6D5701B0" w14:textId="77777777" w:rsidR="003F26A5" w:rsidRPr="00367300" w:rsidRDefault="003F26A5">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наделение участком земли для жилищного строительства и ведения личного подсобного хозяйства;</w:t>
            </w:r>
          </w:p>
          <w:p w14:paraId="3DE8BC77" w14:textId="77777777" w:rsidR="003F26A5" w:rsidRPr="00367300" w:rsidRDefault="003F26A5">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обеспечение молодняком скота и птицы, кормами;</w:t>
            </w:r>
          </w:p>
          <w:p w14:paraId="24930111" w14:textId="77777777" w:rsidR="003F26A5" w:rsidRPr="00367300" w:rsidRDefault="003F26A5">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обеспечение твердым топливом и газом.</w:t>
            </w:r>
          </w:p>
          <w:p w14:paraId="369CA8DE" w14:textId="77777777" w:rsidR="003F26A5" w:rsidRPr="00367300" w:rsidRDefault="003F26A5">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 xml:space="preserve">Кроме того, Законом Новосибирской области от 27.04.2010 № 493-ОЗ «О мерах социальной поддержки по оплате жилого помещения и коммунальных услуг работников образования, проживающих и работающих в сельской местности, поселках городского типа на территории Новосибирской области» работникам образования предоставляются меры социальной поддержки в виде компенсации расходов на оплату жилого помещения и коммунальных услуг в размере 100% платы за жилое помещение и коммунальные услуги </w:t>
            </w:r>
            <w:r w:rsidRPr="00367300">
              <w:rPr>
                <w:rFonts w:ascii="Times New Roman" w:hAnsi="Times New Roman" w:cs="Times New Roman"/>
                <w:bCs/>
                <w:sz w:val="24"/>
                <w:szCs w:val="24"/>
              </w:rPr>
              <w:lastRenderedPageBreak/>
              <w:t>по горячему водоснабжению, холодному водоснабжению, водоотведению, электроснабжению, газоснабжению (в том числе поставкам бытового газа в баллонах), отоплению (теплоснабжению, в том числе поставкам твердого топлива при наличии печного отопления). Данная мера социальной поддержки распространяется на проживающих совместно с ними членов их семей.</w:t>
            </w:r>
          </w:p>
          <w:p w14:paraId="33070F43" w14:textId="77777777" w:rsidR="003F26A5" w:rsidRPr="00367300" w:rsidRDefault="003F26A5">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Детям педагогических работников государственных образовательных организаций Новосибирской области и муниципальных образовательных организаций, расположенных на территории Новосибирской области, в первоочередном порядке предоставляются места в детских садах (Закон Новосибирской области от 05.07.2013 № 361-ОЗ «О регулировании отношений в сфере образования в Новосибирской области», статья 10).</w:t>
            </w:r>
          </w:p>
          <w:p w14:paraId="30E1432D" w14:textId="77777777" w:rsidR="003F26A5" w:rsidRPr="00367300" w:rsidRDefault="003F26A5">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 xml:space="preserve">Работникам государственных учреждений Новосибирской области, возраст которых на момент подачи заявления не превышает 35 лет, предусмотрена ежемесячная субсидия из бюджета Новосибирской области на оплату 50% платежей по коммерческому найму жилых помещений, созданных организациями в рамках реализации инвестиционных проектов по созданию жилых помещений для целей коммерческого найма, прошедшими конкурсный отбор в соответствии с инвестиционным законодательством Новосибирской области (постановление Правительства Новосибирской области от 30.07.2012 № 366-п «О государственной поддержке отдельных категорий граждан, являющихся нанимателями по договорам коммерческого найма жилых помещений»). На данный момент жилые помещения по договору коммерческого найма </w:t>
            </w:r>
            <w:r w:rsidRPr="00367300">
              <w:rPr>
                <w:rFonts w:ascii="Times New Roman" w:hAnsi="Times New Roman" w:cs="Times New Roman"/>
                <w:bCs/>
                <w:sz w:val="24"/>
                <w:szCs w:val="24"/>
              </w:rPr>
              <w:lastRenderedPageBreak/>
              <w:t>предоставляются в домах, расположенных по адресу: Новосибирская область, Новосибирский район, п. Ложок.</w:t>
            </w:r>
          </w:p>
          <w:p w14:paraId="4CDAD3EA" w14:textId="77777777" w:rsidR="003F26A5" w:rsidRPr="00367300" w:rsidRDefault="003F26A5">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В соответствии с постановлением Правительства Новосибирской области от 06.08.2012 № 368-п «О предоставлении субсидий молодым учителям при ипотечном жилищном кредитовании» учителям государственных и муниципальных образовательных организаций Новосибирской области, реализующим образовательные программы начального общего, основного общего и среднего общего образования, предусмотрено льготное ипотечное жилищное кредитование и предоставление субсидии на:</w:t>
            </w:r>
          </w:p>
          <w:p w14:paraId="02008530" w14:textId="77777777" w:rsidR="003F26A5" w:rsidRPr="00367300" w:rsidRDefault="003F26A5">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оплату первоначального взноса по ипотечному жилищному кредиту (займу) в размере до 150 000 рублей включительно;</w:t>
            </w:r>
          </w:p>
          <w:p w14:paraId="6902395C" w14:textId="77777777" w:rsidR="003F26A5" w:rsidRPr="00367300" w:rsidRDefault="003F26A5">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компенсацию части расходов по оплате процентов по ипотечному жилищному кредиту (займу) до уровня 8,5% годовых в течение срока действия кредитного договора (договора займа), но не более 3 лет – в случае обращения в установленном порядке за предоставлением субсидии при ипотечном жилищном кредитовании в срок до 01.10.2015.</w:t>
            </w:r>
          </w:p>
          <w:p w14:paraId="155F5DBC" w14:textId="77777777" w:rsidR="003F26A5" w:rsidRPr="00367300" w:rsidRDefault="003F26A5">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В соответствии с постановлением Правительства Новосибирской области от 20.02.2015 № 68-п «Об утверждении государственной программы Новосибирской области «Стимулирование развития жилищного строительства в Новосибирской области на 2015-2020 годы» осуществляется строительство (приобретение на первичном рынке) служебного жилья для работников бюджетных учреждений.</w:t>
            </w:r>
          </w:p>
        </w:tc>
      </w:tr>
      <w:tr w:rsidR="003F26A5" w:rsidRPr="00367300" w14:paraId="39EFEA95" w14:textId="77777777" w:rsidTr="003F26A5">
        <w:trPr>
          <w:trHeight w:val="283"/>
        </w:trPr>
        <w:tc>
          <w:tcPr>
            <w:tcW w:w="5000" w:type="pct"/>
            <w:gridSpan w:val="7"/>
          </w:tcPr>
          <w:p w14:paraId="205DFACC" w14:textId="77777777" w:rsidR="003F26A5" w:rsidRPr="00367300" w:rsidRDefault="003F26A5" w:rsidP="00367300">
            <w:pPr>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lastRenderedPageBreak/>
              <w:t xml:space="preserve">14. Обеспечение равных условий доступа к информации о государственном имуществе субъекта Российской Федерации и имуществе, находящемся в собственности муниципальных образований, в том числе имуществе, включаемом в перечни для предоставления на льготных условиях субъектам малого и среднего предпринимательства, о реализации такого имущества или предоставлении его во </w:t>
            </w:r>
            <w:r w:rsidRPr="00367300">
              <w:rPr>
                <w:rFonts w:ascii="Times New Roman" w:hAnsi="Times New Roman" w:cs="Times New Roman"/>
                <w:b/>
                <w:bCs/>
                <w:sz w:val="24"/>
                <w:szCs w:val="24"/>
              </w:rPr>
              <w:lastRenderedPageBreak/>
              <w:t xml:space="preserve">владение и (или) пользование, а также о ресурсах всех видов, находящихся в государственной собственности субъекта Российской Федерации и муниципальной собственности, путем размещения указанной информации на официальном сайте Российской Федерации в сети «Интернет» для размещения информации </w:t>
            </w:r>
          </w:p>
          <w:p w14:paraId="506B2825" w14:textId="77777777" w:rsidR="003F26A5" w:rsidRPr="00891093" w:rsidRDefault="003F26A5" w:rsidP="00367300">
            <w:pPr>
              <w:ind w:left="57"/>
              <w:contextualSpacing/>
              <w:rPr>
                <w:rFonts w:ascii="Times New Roman" w:hAnsi="Times New Roman" w:cs="Times New Roman"/>
                <w:b/>
                <w:bCs/>
                <w:sz w:val="24"/>
                <w:szCs w:val="24"/>
              </w:rPr>
            </w:pPr>
            <w:r w:rsidRPr="00891093">
              <w:rPr>
                <w:rFonts w:ascii="Times New Roman" w:hAnsi="Times New Roman" w:cs="Times New Roman"/>
                <w:b/>
                <w:bCs/>
                <w:sz w:val="24"/>
                <w:szCs w:val="24"/>
              </w:rPr>
              <w:t>о проведении торгов (www.torgi.gov.ru) и на официальном сайте уполномоченного органа в сети «Интернет»</w:t>
            </w:r>
          </w:p>
        </w:tc>
      </w:tr>
      <w:tr w:rsidR="003F26A5" w:rsidRPr="00367300" w14:paraId="35CE7126" w14:textId="77777777" w:rsidTr="003F26A5">
        <w:trPr>
          <w:gridAfter w:val="1"/>
          <w:wAfter w:w="3" w:type="pct"/>
          <w:trHeight w:val="283"/>
        </w:trPr>
        <w:tc>
          <w:tcPr>
            <w:tcW w:w="335" w:type="pct"/>
          </w:tcPr>
          <w:p w14:paraId="4407397C"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14.1</w:t>
            </w:r>
          </w:p>
        </w:tc>
        <w:tc>
          <w:tcPr>
            <w:tcW w:w="1108" w:type="pct"/>
          </w:tcPr>
          <w:p w14:paraId="64351E57"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Размещение информации </w:t>
            </w:r>
          </w:p>
          <w:p w14:paraId="64D9D6B4"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об имуществе, находящемся </w:t>
            </w:r>
          </w:p>
          <w:p w14:paraId="140EB533" w14:textId="77777777" w:rsidR="003F26A5" w:rsidRPr="00891093"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в государственной собственности Новосибирской области из Реестра государственной собственности Новосибирской области в сети «Интернет»</w:t>
            </w:r>
          </w:p>
        </w:tc>
        <w:tc>
          <w:tcPr>
            <w:tcW w:w="723" w:type="pct"/>
          </w:tcPr>
          <w:p w14:paraId="134A1808"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 xml:space="preserve">Размещение актуальной информации об имуществе, находящейся </w:t>
            </w:r>
          </w:p>
          <w:p w14:paraId="1C88AEB8"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в государственной собственности Новосибирской области</w:t>
            </w:r>
          </w:p>
        </w:tc>
        <w:tc>
          <w:tcPr>
            <w:tcW w:w="337" w:type="pct"/>
          </w:tcPr>
          <w:p w14:paraId="42A38B15" w14:textId="77777777" w:rsidR="003F26A5" w:rsidRPr="00AE06D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2019-2021 годы</w:t>
            </w:r>
          </w:p>
        </w:tc>
        <w:tc>
          <w:tcPr>
            <w:tcW w:w="463" w:type="pct"/>
          </w:tcPr>
          <w:p w14:paraId="171B6DFD" w14:textId="77777777" w:rsidR="003F26A5" w:rsidRPr="00FC74FE" w:rsidRDefault="003F26A5" w:rsidP="00891093">
            <w:pPr>
              <w:autoSpaceDE w:val="0"/>
              <w:autoSpaceDN w:val="0"/>
              <w:adjustRightInd w:val="0"/>
              <w:rPr>
                <w:rFonts w:ascii="Times New Roman" w:hAnsi="Times New Roman" w:cs="Times New Roman"/>
                <w:sz w:val="24"/>
                <w:szCs w:val="24"/>
              </w:rPr>
            </w:pPr>
            <w:r w:rsidRPr="00FC74FE">
              <w:rPr>
                <w:rFonts w:ascii="Times New Roman" w:hAnsi="Times New Roman" w:cs="Times New Roman"/>
                <w:sz w:val="24"/>
                <w:szCs w:val="24"/>
              </w:rPr>
              <w:t>ДИиЗО НСО</w:t>
            </w:r>
          </w:p>
        </w:tc>
        <w:tc>
          <w:tcPr>
            <w:tcW w:w="2031" w:type="pct"/>
          </w:tcPr>
          <w:p w14:paraId="12572FB8" w14:textId="77777777" w:rsidR="003F26A5" w:rsidRPr="00367300" w:rsidRDefault="003F26A5" w:rsidP="00AE06D3">
            <w:pPr>
              <w:ind w:left="57" w:right="57" w:firstLine="340"/>
              <w:contextualSpacing/>
              <w:jc w:val="both"/>
              <w:rPr>
                <w:rFonts w:ascii="Times New Roman" w:hAnsi="Times New Roman" w:cs="Times New Roman"/>
                <w:sz w:val="24"/>
                <w:szCs w:val="24"/>
              </w:rPr>
            </w:pPr>
            <w:r w:rsidRPr="009B4FC0">
              <w:rPr>
                <w:rFonts w:ascii="Times New Roman" w:hAnsi="Times New Roman" w:cs="Times New Roman"/>
                <w:sz w:val="24"/>
                <w:szCs w:val="24"/>
              </w:rPr>
              <w:t>Информация об имуществе, находящемся в государственной собственности Новосибирской области, содержащаяся в Реестре государственной собственности Новосибирской области, размещается на сайте Правительства Новосибирской области в инфо</w:t>
            </w:r>
            <w:r w:rsidRPr="00367300">
              <w:rPr>
                <w:rFonts w:ascii="Times New Roman" w:hAnsi="Times New Roman" w:cs="Times New Roman"/>
                <w:sz w:val="24"/>
                <w:szCs w:val="24"/>
              </w:rPr>
              <w:t>рмационно-телекоммуникационной сети «Интернет» в виде сведений об объектах учета Реестра.</w:t>
            </w:r>
          </w:p>
        </w:tc>
      </w:tr>
      <w:tr w:rsidR="003F26A5" w:rsidRPr="00367300" w14:paraId="41DE9EFC" w14:textId="77777777" w:rsidTr="003F26A5">
        <w:trPr>
          <w:gridAfter w:val="1"/>
          <w:wAfter w:w="3" w:type="pct"/>
          <w:trHeight w:val="283"/>
        </w:trPr>
        <w:tc>
          <w:tcPr>
            <w:tcW w:w="335" w:type="pct"/>
          </w:tcPr>
          <w:p w14:paraId="4BD78756"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14.2</w:t>
            </w:r>
          </w:p>
        </w:tc>
        <w:tc>
          <w:tcPr>
            <w:tcW w:w="1108" w:type="pct"/>
          </w:tcPr>
          <w:p w14:paraId="266FC17D"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Размещение перечня государственного имущества Новосибирской области, свободного от прав третьих лиц (за исключением имущественных прав субъектов малого и среднего предпринимательства), указанных </w:t>
            </w:r>
          </w:p>
          <w:p w14:paraId="285EAAAF"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в части 4 статьи 18 Федерального закона от 24.07.2007 № 209-ФЗ </w:t>
            </w:r>
          </w:p>
          <w:p w14:paraId="52C6BFFC" w14:textId="77777777" w:rsidR="003F26A5" w:rsidRPr="00891093"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«О развитии малого и среднего предпринимательства в Российской Федерации» в сети «Интернет»</w:t>
            </w:r>
          </w:p>
        </w:tc>
        <w:tc>
          <w:tcPr>
            <w:tcW w:w="723" w:type="pct"/>
            <w:shd w:val="clear" w:color="auto" w:fill="FFFFFF" w:themeFill="background1"/>
          </w:tcPr>
          <w:p w14:paraId="2DBFFA2B"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 xml:space="preserve">Доля сданного в аренду имущества, включенного </w:t>
            </w:r>
          </w:p>
          <w:p w14:paraId="38ED125F"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в перечень государственного имущества Новосибирской области, свободного от прав третьих лиц (за исключением имущественных прав субъектов малого и среднего предпринимательства), до 80%</w:t>
            </w:r>
          </w:p>
        </w:tc>
        <w:tc>
          <w:tcPr>
            <w:tcW w:w="337" w:type="pct"/>
          </w:tcPr>
          <w:p w14:paraId="79E69CAD"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2019-2021 годы</w:t>
            </w:r>
          </w:p>
        </w:tc>
        <w:tc>
          <w:tcPr>
            <w:tcW w:w="463" w:type="pct"/>
          </w:tcPr>
          <w:p w14:paraId="1F1594B5" w14:textId="77777777" w:rsidR="003F26A5" w:rsidRPr="00AE06D3" w:rsidRDefault="003F26A5" w:rsidP="00891093">
            <w:pPr>
              <w:autoSpaceDE w:val="0"/>
              <w:autoSpaceDN w:val="0"/>
              <w:adjustRightInd w:val="0"/>
              <w:rPr>
                <w:rFonts w:ascii="Times New Roman" w:hAnsi="Times New Roman" w:cs="Times New Roman"/>
                <w:sz w:val="24"/>
                <w:szCs w:val="24"/>
              </w:rPr>
            </w:pPr>
            <w:r w:rsidRPr="00AE06D3">
              <w:rPr>
                <w:rFonts w:ascii="Times New Roman" w:hAnsi="Times New Roman" w:cs="Times New Roman"/>
                <w:sz w:val="24"/>
                <w:szCs w:val="24"/>
              </w:rPr>
              <w:t>ДИиЗО НСО</w:t>
            </w:r>
          </w:p>
        </w:tc>
        <w:tc>
          <w:tcPr>
            <w:tcW w:w="2031" w:type="pct"/>
          </w:tcPr>
          <w:p w14:paraId="19F6A0F9" w14:textId="77777777" w:rsidR="003F26A5" w:rsidRPr="00367300" w:rsidRDefault="003F26A5" w:rsidP="00AE06D3">
            <w:pPr>
              <w:ind w:left="57" w:right="57" w:firstLine="340"/>
              <w:contextualSpacing/>
              <w:jc w:val="both"/>
              <w:rPr>
                <w:rFonts w:ascii="Times New Roman" w:hAnsi="Times New Roman" w:cs="Times New Roman"/>
                <w:sz w:val="24"/>
                <w:szCs w:val="24"/>
              </w:rPr>
            </w:pPr>
            <w:r w:rsidRPr="00FC74FE">
              <w:rPr>
                <w:rFonts w:ascii="Times New Roman" w:hAnsi="Times New Roman" w:cs="Times New Roman"/>
                <w:sz w:val="24"/>
                <w:szCs w:val="24"/>
              </w:rPr>
              <w:t>Перечень государственного имущества Новосибирской области, свобо</w:t>
            </w:r>
            <w:r w:rsidRPr="009B4FC0">
              <w:rPr>
                <w:rFonts w:ascii="Times New Roman" w:hAnsi="Times New Roman" w:cs="Times New Roman"/>
                <w:sz w:val="24"/>
                <w:szCs w:val="24"/>
              </w:rPr>
              <w:t xml:space="preserve">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указанных в части 4 статьи 18 Федерального закона от 24.07.2007 № 209-ФЗ «О </w:t>
            </w:r>
            <w:r w:rsidRPr="00367300">
              <w:rPr>
                <w:rFonts w:ascii="Times New Roman" w:hAnsi="Times New Roman" w:cs="Times New Roman"/>
                <w:sz w:val="24"/>
                <w:szCs w:val="24"/>
              </w:rPr>
              <w:t>развитии малого и среднего предпринимательства в Российской Федерации» размещен на официальном сайте департамента имущества и земельных отношений Новосибирской области в разделе «Оказание имущественной поддержки субъектам МСП» и сайте Минпромторг НСО «Малое и среднее предпринимательство Новосибирской области» в разделе «Имущественная поддержка».</w:t>
            </w:r>
          </w:p>
          <w:p w14:paraId="258A334C" w14:textId="77777777" w:rsidR="003F26A5" w:rsidRPr="00367300" w:rsidRDefault="003F26A5" w:rsidP="00FC74FE">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По итогам 11 месяцев 2019 года доля сданного в аренду имущества, включенного в перечень государственного имущества Новосибирской области, свободного от прав третьих лиц (за исключением имущественных прав субъектов малого и среднего </w:t>
            </w:r>
            <w:r w:rsidRPr="00367300">
              <w:rPr>
                <w:rFonts w:ascii="Times New Roman" w:hAnsi="Times New Roman" w:cs="Times New Roman"/>
                <w:sz w:val="24"/>
                <w:szCs w:val="24"/>
              </w:rPr>
              <w:lastRenderedPageBreak/>
              <w:t>предпринимательства) составляет 48%. По итогам 2019 года данный показатель составил 60%.</w:t>
            </w:r>
          </w:p>
        </w:tc>
      </w:tr>
      <w:tr w:rsidR="003F26A5" w:rsidRPr="00367300" w14:paraId="1B4EBCAA" w14:textId="77777777" w:rsidTr="003F26A5">
        <w:trPr>
          <w:gridAfter w:val="1"/>
          <w:wAfter w:w="3" w:type="pct"/>
          <w:trHeight w:val="283"/>
        </w:trPr>
        <w:tc>
          <w:tcPr>
            <w:tcW w:w="335" w:type="pct"/>
          </w:tcPr>
          <w:p w14:paraId="1486021D"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14.3</w:t>
            </w:r>
          </w:p>
        </w:tc>
        <w:tc>
          <w:tcPr>
            <w:tcW w:w="1108" w:type="pct"/>
          </w:tcPr>
          <w:p w14:paraId="740BE0D5"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Актуализация на официальных сайтах муниципальных образований в информационно-телекоммуникационной сети «Интернет» информации </w:t>
            </w:r>
          </w:p>
          <w:p w14:paraId="06BD4478"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об объектах, находящихся </w:t>
            </w:r>
          </w:p>
          <w:p w14:paraId="25F85117" w14:textId="77777777" w:rsidR="003F26A5" w:rsidRPr="00891093"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в муниципальной собственности, включая сведения о наименованиях объектов, их местонахождении, характеристиках и целевом назначении объектов, существующих ограничениях их ис</w:t>
            </w:r>
            <w:r w:rsidRPr="00891093">
              <w:rPr>
                <w:rFonts w:ascii="Times New Roman" w:hAnsi="Times New Roman" w:cs="Times New Roman"/>
                <w:sz w:val="24"/>
                <w:szCs w:val="24"/>
              </w:rPr>
              <w:t>пользования и обременениях правами третьих лиц</w:t>
            </w:r>
          </w:p>
          <w:p w14:paraId="424B9A40" w14:textId="77777777" w:rsidR="003F26A5" w:rsidRPr="00891093" w:rsidRDefault="003F26A5" w:rsidP="00891093">
            <w:pPr>
              <w:autoSpaceDE w:val="0"/>
              <w:autoSpaceDN w:val="0"/>
              <w:adjustRightInd w:val="0"/>
              <w:jc w:val="both"/>
              <w:rPr>
                <w:rFonts w:ascii="Times New Roman" w:hAnsi="Times New Roman" w:cs="Times New Roman"/>
                <w:sz w:val="24"/>
                <w:szCs w:val="24"/>
              </w:rPr>
            </w:pPr>
          </w:p>
          <w:p w14:paraId="69695A3F" w14:textId="77777777" w:rsidR="003F26A5" w:rsidRPr="00891093" w:rsidRDefault="003F26A5" w:rsidP="00891093">
            <w:pPr>
              <w:autoSpaceDE w:val="0"/>
              <w:autoSpaceDN w:val="0"/>
              <w:adjustRightInd w:val="0"/>
              <w:jc w:val="both"/>
              <w:rPr>
                <w:rFonts w:ascii="Times New Roman" w:hAnsi="Times New Roman" w:cs="Times New Roman"/>
                <w:sz w:val="24"/>
                <w:szCs w:val="24"/>
              </w:rPr>
            </w:pPr>
          </w:p>
        </w:tc>
        <w:tc>
          <w:tcPr>
            <w:tcW w:w="723" w:type="pct"/>
          </w:tcPr>
          <w:p w14:paraId="09B80A4B"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Размещение актуальной информации об имуществе, находящейся</w:t>
            </w:r>
          </w:p>
          <w:p w14:paraId="746F85D5"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в муниципальной собственности</w:t>
            </w:r>
          </w:p>
        </w:tc>
        <w:tc>
          <w:tcPr>
            <w:tcW w:w="337" w:type="pct"/>
          </w:tcPr>
          <w:p w14:paraId="756E2B1F" w14:textId="77777777" w:rsidR="003F26A5" w:rsidRPr="00AE06D3" w:rsidRDefault="003F26A5" w:rsidP="00AE06D3">
            <w:pPr>
              <w:contextualSpacing/>
              <w:rPr>
                <w:rFonts w:ascii="Times New Roman" w:hAnsi="Times New Roman" w:cs="Times New Roman"/>
                <w:sz w:val="24"/>
                <w:szCs w:val="24"/>
              </w:rPr>
            </w:pPr>
            <w:r w:rsidRPr="00AE06D3">
              <w:rPr>
                <w:rFonts w:ascii="Times New Roman" w:hAnsi="Times New Roman" w:cs="Times New Roman"/>
                <w:sz w:val="24"/>
                <w:szCs w:val="24"/>
              </w:rPr>
              <w:t>2019-2021 годы</w:t>
            </w:r>
          </w:p>
        </w:tc>
        <w:tc>
          <w:tcPr>
            <w:tcW w:w="463" w:type="pct"/>
          </w:tcPr>
          <w:p w14:paraId="1E793016" w14:textId="77777777" w:rsidR="003F26A5" w:rsidRPr="00FC74FE" w:rsidRDefault="003F26A5" w:rsidP="00FC74FE">
            <w:pPr>
              <w:contextualSpacing/>
              <w:rPr>
                <w:rFonts w:ascii="Times New Roman" w:hAnsi="Times New Roman" w:cs="Times New Roman"/>
                <w:sz w:val="24"/>
                <w:szCs w:val="24"/>
              </w:rPr>
            </w:pPr>
            <w:r w:rsidRPr="00FC74FE">
              <w:rPr>
                <w:rFonts w:ascii="Times New Roman" w:hAnsi="Times New Roman" w:cs="Times New Roman"/>
                <w:sz w:val="24"/>
                <w:szCs w:val="24"/>
              </w:rPr>
              <w:t>ОМСУ НСО</w:t>
            </w:r>
          </w:p>
        </w:tc>
        <w:tc>
          <w:tcPr>
            <w:tcW w:w="2031" w:type="pct"/>
            <w:shd w:val="clear" w:color="auto" w:fill="auto"/>
          </w:tcPr>
          <w:p w14:paraId="2A367E28" w14:textId="77777777" w:rsidR="003F26A5" w:rsidRPr="00367300" w:rsidRDefault="003F26A5" w:rsidP="009B4FC0">
            <w:pPr>
              <w:ind w:left="57" w:right="57" w:firstLine="340"/>
              <w:contextualSpacing/>
              <w:jc w:val="both"/>
              <w:rPr>
                <w:rFonts w:ascii="Times New Roman" w:hAnsi="Times New Roman" w:cs="Times New Roman"/>
                <w:sz w:val="24"/>
                <w:szCs w:val="24"/>
              </w:rPr>
            </w:pPr>
            <w:r w:rsidRPr="009B4FC0">
              <w:rPr>
                <w:rFonts w:ascii="Times New Roman" w:hAnsi="Times New Roman" w:cs="Times New Roman"/>
                <w:sz w:val="24"/>
                <w:szCs w:val="24"/>
              </w:rPr>
              <w:t>На официальных сайтах муниципальных районов и городских округов Новосибирской области в информационно-телекоммуникацион</w:t>
            </w:r>
            <w:r w:rsidRPr="00367300">
              <w:rPr>
                <w:rFonts w:ascii="Times New Roman" w:hAnsi="Times New Roman" w:cs="Times New Roman"/>
                <w:sz w:val="24"/>
                <w:szCs w:val="24"/>
              </w:rPr>
              <w:t xml:space="preserve">ной сети «Интернет» актуализирована информация об объектах, находящихся в муниципальной собственности, включая сведения о наименованиях объектов, их местонахождении, характеристиках и целевом назначении объектов, существующих ограничениях их использования и обременении правами третьих лиц. </w:t>
            </w:r>
          </w:p>
          <w:p w14:paraId="079286EC" w14:textId="77777777" w:rsidR="003F26A5" w:rsidRPr="00367300" w:rsidRDefault="003F26A5">
            <w:pPr>
              <w:ind w:firstLine="709"/>
              <w:contextualSpacing/>
              <w:jc w:val="both"/>
              <w:rPr>
                <w:rFonts w:ascii="Times New Roman" w:hAnsi="Times New Roman" w:cs="Times New Roman"/>
                <w:sz w:val="24"/>
                <w:szCs w:val="24"/>
              </w:rPr>
            </w:pPr>
          </w:p>
        </w:tc>
      </w:tr>
      <w:tr w:rsidR="003F26A5" w:rsidRPr="00367300" w14:paraId="157880C4" w14:textId="77777777" w:rsidTr="003F26A5">
        <w:trPr>
          <w:trHeight w:val="283"/>
        </w:trPr>
        <w:tc>
          <w:tcPr>
            <w:tcW w:w="5000" w:type="pct"/>
            <w:gridSpan w:val="7"/>
            <w:shd w:val="clear" w:color="auto" w:fill="auto"/>
          </w:tcPr>
          <w:p w14:paraId="36A890B0" w14:textId="77777777" w:rsidR="003F26A5" w:rsidRPr="00367300" w:rsidRDefault="003F26A5" w:rsidP="00367300">
            <w:pPr>
              <w:autoSpaceDE w:val="0"/>
              <w:autoSpaceDN w:val="0"/>
              <w:adjustRightInd w:val="0"/>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t xml:space="preserve">15. Мобильность трудовых ресурсов, способствующая повышению эффективности труда, включающую предварительное исследование потребностей товарного рынка, обучение и привлечение рабочей силы с квалификацией, соответствующей потребностям товарного рынка, в том числе привлечение высококвалифицированной рабочей силы </w:t>
            </w:r>
          </w:p>
          <w:p w14:paraId="7BC37BFD" w14:textId="77777777" w:rsidR="003F26A5" w:rsidRPr="00367300" w:rsidRDefault="003F26A5" w:rsidP="00367300">
            <w:pPr>
              <w:autoSpaceDE w:val="0"/>
              <w:autoSpaceDN w:val="0"/>
              <w:adjustRightInd w:val="0"/>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t>из-за рубежа (приоритетом являются научно-технологические кадры)</w:t>
            </w:r>
          </w:p>
        </w:tc>
      </w:tr>
      <w:tr w:rsidR="003F26A5" w:rsidRPr="00367300" w14:paraId="7BA1AD28" w14:textId="77777777" w:rsidTr="003F26A5">
        <w:trPr>
          <w:gridAfter w:val="1"/>
          <w:wAfter w:w="3" w:type="pct"/>
          <w:trHeight w:val="283"/>
        </w:trPr>
        <w:tc>
          <w:tcPr>
            <w:tcW w:w="335" w:type="pct"/>
          </w:tcPr>
          <w:p w14:paraId="4AF08963"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15.1</w:t>
            </w:r>
          </w:p>
        </w:tc>
        <w:tc>
          <w:tcPr>
            <w:tcW w:w="1108" w:type="pct"/>
          </w:tcPr>
          <w:p w14:paraId="08D37EEC"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Мониторинг текущей и перспективной кадровой потребности организаций Новосибирской области, в том числе создания новых рабочих мест в рамках реализации инвестиционных проектов</w:t>
            </w:r>
          </w:p>
        </w:tc>
        <w:tc>
          <w:tcPr>
            <w:tcW w:w="723" w:type="pct"/>
          </w:tcPr>
          <w:p w14:paraId="34B8E30D" w14:textId="77777777" w:rsidR="003F26A5" w:rsidRPr="00367300" w:rsidRDefault="003F26A5" w:rsidP="00367300">
            <w:pPr>
              <w:autoSpaceDE w:val="0"/>
              <w:autoSpaceDN w:val="0"/>
              <w:adjustRightInd w:val="0"/>
              <w:rPr>
                <w:rFonts w:ascii="Times New Roman" w:hAnsi="Times New Roman" w:cs="Times New Roman"/>
                <w:sz w:val="24"/>
                <w:szCs w:val="24"/>
              </w:rPr>
            </w:pPr>
            <w:r w:rsidRPr="00367300">
              <w:rPr>
                <w:rFonts w:ascii="Times New Roman" w:hAnsi="Times New Roman" w:cs="Times New Roman"/>
                <w:sz w:val="24"/>
                <w:szCs w:val="24"/>
              </w:rPr>
              <w:t xml:space="preserve">Обеспечение регионального рынка труда квалифицированными кадрами в соответствии </w:t>
            </w:r>
          </w:p>
          <w:p w14:paraId="33EB2FDB"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lastRenderedPageBreak/>
              <w:t>с текущими и перспективными потребностями экономики</w:t>
            </w:r>
          </w:p>
        </w:tc>
        <w:tc>
          <w:tcPr>
            <w:tcW w:w="337" w:type="pct"/>
          </w:tcPr>
          <w:p w14:paraId="6097BEFF"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lastRenderedPageBreak/>
              <w:t xml:space="preserve">2019-2021 годы </w:t>
            </w:r>
          </w:p>
        </w:tc>
        <w:tc>
          <w:tcPr>
            <w:tcW w:w="463" w:type="pct"/>
          </w:tcPr>
          <w:p w14:paraId="38871FB1" w14:textId="77777777" w:rsidR="003F26A5" w:rsidRPr="00367300" w:rsidRDefault="00E3307E" w:rsidP="00891093">
            <w:pPr>
              <w:contextualSpacing/>
              <w:rPr>
                <w:rFonts w:ascii="Times New Roman" w:hAnsi="Times New Roman" w:cs="Times New Roman"/>
                <w:bCs/>
                <w:sz w:val="24"/>
                <w:szCs w:val="24"/>
              </w:rPr>
            </w:pPr>
            <w:hyperlink r:id="rId120" w:history="1">
              <w:r w:rsidR="003F26A5" w:rsidRPr="00367300">
                <w:rPr>
                  <w:rFonts w:ascii="Times New Roman" w:eastAsia="Times New Roman" w:hAnsi="Times New Roman" w:cs="Times New Roman"/>
                  <w:sz w:val="24"/>
                  <w:szCs w:val="24"/>
                </w:rPr>
                <w:t>Минтруд</w:t>
              </w:r>
            </w:hyperlink>
            <w:r w:rsidR="003F26A5" w:rsidRPr="00367300">
              <w:rPr>
                <w:rFonts w:ascii="Times New Roman" w:eastAsia="Times New Roman" w:hAnsi="Times New Roman" w:cs="Times New Roman"/>
                <w:sz w:val="24"/>
                <w:szCs w:val="24"/>
              </w:rPr>
              <w:t>а и соцразвития НСО</w:t>
            </w:r>
            <w:r w:rsidR="003F26A5" w:rsidRPr="00367300">
              <w:rPr>
                <w:rFonts w:ascii="Times New Roman" w:hAnsi="Times New Roman" w:cs="Times New Roman"/>
                <w:bCs/>
                <w:sz w:val="24"/>
                <w:szCs w:val="24"/>
              </w:rPr>
              <w:t>, ОМСУ НСО</w:t>
            </w:r>
          </w:p>
        </w:tc>
        <w:tc>
          <w:tcPr>
            <w:tcW w:w="2031" w:type="pct"/>
          </w:tcPr>
          <w:p w14:paraId="32D7A816" w14:textId="77777777" w:rsidR="003F26A5" w:rsidRPr="00367300" w:rsidRDefault="003F26A5" w:rsidP="00891093">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2019 проведен мониторинг перспективной потребности в рабочих кадрах и специалистах на среднесрочный период на основе опроса работодателей Новосибирской области (далее - мониторинг).</w:t>
            </w:r>
          </w:p>
          <w:p w14:paraId="16582538" w14:textId="77777777" w:rsidR="003F26A5" w:rsidRPr="00891093" w:rsidRDefault="003F26A5" w:rsidP="00891093">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 xml:space="preserve">На основе результатов мониторинга, с учетом сложившихся тенденций движения кадров на официальном рынке труда, предложений профильных </w:t>
            </w:r>
            <w:r w:rsidRPr="00891093">
              <w:rPr>
                <w:rFonts w:ascii="Times New Roman" w:hAnsi="Times New Roman" w:cs="Times New Roman"/>
                <w:sz w:val="24"/>
                <w:szCs w:val="24"/>
              </w:rPr>
              <w:lastRenderedPageBreak/>
              <w:t>министерств и экспертов, сформирован прогноз кадровой потребности организаций Новосибирской области на 2020-2026 годы.</w:t>
            </w:r>
          </w:p>
          <w:p w14:paraId="4E9884EC" w14:textId="77777777" w:rsidR="003F26A5" w:rsidRPr="00891093" w:rsidRDefault="003F26A5" w:rsidP="00AE06D3">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 xml:space="preserve">Мониторингом были охвачены 10418 организаций Новосибирской области. </w:t>
            </w:r>
          </w:p>
          <w:p w14:paraId="4C3038AF" w14:textId="77777777" w:rsidR="003F26A5" w:rsidRPr="00891093" w:rsidRDefault="003F26A5" w:rsidP="00FC74FE">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Прогноз кадровой потребности организаций Новосибирской области составил 173 тысячи человек: 74% заявленной работодателями потребности в кадрах - это потребность в рабочих и специалистах со средним профессиональным образованием, 26% – специалисты с высшим образованием.</w:t>
            </w:r>
          </w:p>
          <w:p w14:paraId="70FB8171" w14:textId="7B88403F" w:rsidR="003F26A5" w:rsidRPr="009B4FC0" w:rsidRDefault="003F26A5" w:rsidP="009B4FC0">
            <w:pPr>
              <w:ind w:left="57" w:right="57" w:firstLine="340"/>
              <w:contextualSpacing/>
              <w:jc w:val="both"/>
              <w:rPr>
                <w:rFonts w:ascii="Times New Roman" w:hAnsi="Times New Roman" w:cs="Times New Roman"/>
                <w:sz w:val="24"/>
                <w:szCs w:val="24"/>
              </w:rPr>
            </w:pPr>
            <w:r w:rsidRPr="00AE06D3">
              <w:rPr>
                <w:rFonts w:ascii="Times New Roman" w:hAnsi="Times New Roman" w:cs="Times New Roman"/>
                <w:sz w:val="24"/>
                <w:szCs w:val="24"/>
              </w:rPr>
              <w:t>В общем объеме заявленной работодателями потребности в кадрах 4332 человека потребуется для обеспечения вновь создаваемых рабочих мест, в том числе в рамках реализации 30</w:t>
            </w:r>
            <w:r w:rsidRPr="00FC74FE">
              <w:rPr>
                <w:rFonts w:ascii="Times New Roman" w:hAnsi="Times New Roman" w:cs="Times New Roman"/>
                <w:sz w:val="24"/>
                <w:szCs w:val="24"/>
              </w:rPr>
              <w:t xml:space="preserve"> инвестиционных проектов с</w:t>
            </w:r>
            <w:r w:rsidRPr="009B4FC0">
              <w:rPr>
                <w:rFonts w:ascii="Times New Roman" w:hAnsi="Times New Roman" w:cs="Times New Roman"/>
                <w:sz w:val="24"/>
                <w:szCs w:val="24"/>
              </w:rPr>
              <w:t xml:space="preserve"> кадровой потребностью  3140 человек.</w:t>
            </w:r>
          </w:p>
        </w:tc>
      </w:tr>
      <w:tr w:rsidR="003F26A5" w:rsidRPr="00367300" w14:paraId="4103405C" w14:textId="77777777" w:rsidTr="003F26A5">
        <w:trPr>
          <w:trHeight w:val="283"/>
        </w:trPr>
        <w:tc>
          <w:tcPr>
            <w:tcW w:w="5000" w:type="pct"/>
            <w:gridSpan w:val="7"/>
            <w:shd w:val="clear" w:color="auto" w:fill="auto"/>
          </w:tcPr>
          <w:p w14:paraId="047CC0F6" w14:textId="77777777" w:rsidR="003F26A5" w:rsidRPr="00367300" w:rsidRDefault="003F26A5" w:rsidP="00367300">
            <w:pPr>
              <w:autoSpaceDE w:val="0"/>
              <w:autoSpaceDN w:val="0"/>
              <w:adjustRightInd w:val="0"/>
              <w:ind w:left="57" w:firstLine="539"/>
              <w:rPr>
                <w:rFonts w:ascii="Times New Roman" w:hAnsi="Times New Roman" w:cs="Times New Roman"/>
                <w:b/>
                <w:bCs/>
                <w:sz w:val="24"/>
                <w:szCs w:val="24"/>
              </w:rPr>
            </w:pPr>
            <w:r w:rsidRPr="00367300">
              <w:rPr>
                <w:rFonts w:ascii="Times New Roman" w:hAnsi="Times New Roman" w:cs="Times New Roman"/>
                <w:b/>
                <w:bCs/>
                <w:sz w:val="24"/>
                <w:szCs w:val="24"/>
              </w:rPr>
              <w:lastRenderedPageBreak/>
              <w:t>16. Содействие развитию и поддержке междисциплинарных исследований, включая обеспечение условий для коммерциализации и промышленного масштабирования результатов, полученных по итогам проведения таких исследований</w:t>
            </w:r>
          </w:p>
        </w:tc>
      </w:tr>
      <w:tr w:rsidR="003F26A5" w:rsidRPr="00367300" w14:paraId="1383E461" w14:textId="77777777" w:rsidTr="003F26A5">
        <w:trPr>
          <w:gridAfter w:val="1"/>
          <w:wAfter w:w="3" w:type="pct"/>
          <w:trHeight w:val="283"/>
        </w:trPr>
        <w:tc>
          <w:tcPr>
            <w:tcW w:w="335" w:type="pct"/>
          </w:tcPr>
          <w:p w14:paraId="34C8DC98"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16.1</w:t>
            </w:r>
          </w:p>
        </w:tc>
        <w:tc>
          <w:tcPr>
            <w:tcW w:w="1108" w:type="pct"/>
          </w:tcPr>
          <w:p w14:paraId="18C37E86" w14:textId="77777777" w:rsidR="003F26A5" w:rsidRPr="00367300" w:rsidRDefault="003F26A5" w:rsidP="00367300">
            <w:pPr>
              <w:autoSpaceDE w:val="0"/>
              <w:autoSpaceDN w:val="0"/>
              <w:adjustRightInd w:val="0"/>
              <w:ind w:left="57" w:right="57"/>
              <w:jc w:val="both"/>
              <w:rPr>
                <w:rFonts w:ascii="Times New Roman" w:hAnsi="Times New Roman" w:cs="Times New Roman"/>
                <w:bCs/>
                <w:sz w:val="24"/>
                <w:szCs w:val="24"/>
              </w:rPr>
            </w:pPr>
            <w:r w:rsidRPr="00367300">
              <w:rPr>
                <w:rFonts w:ascii="Times New Roman" w:hAnsi="Times New Roman" w:cs="Times New Roman"/>
                <w:sz w:val="24"/>
                <w:szCs w:val="24"/>
              </w:rPr>
              <w:t>Реализация Стратегии развития Научно-производственного кластера «Сибирский наукополис»</w:t>
            </w:r>
          </w:p>
        </w:tc>
        <w:tc>
          <w:tcPr>
            <w:tcW w:w="723" w:type="pct"/>
          </w:tcPr>
          <w:p w14:paraId="1ED9A336" w14:textId="77777777" w:rsidR="003F26A5" w:rsidRPr="00891093" w:rsidRDefault="003F26A5" w:rsidP="00367300">
            <w:pPr>
              <w:autoSpaceDE w:val="0"/>
              <w:autoSpaceDN w:val="0"/>
              <w:adjustRightInd w:val="0"/>
              <w:rPr>
                <w:rFonts w:ascii="Times New Roman" w:hAnsi="Times New Roman" w:cs="Times New Roman"/>
                <w:sz w:val="24"/>
                <w:szCs w:val="24"/>
              </w:rPr>
            </w:pPr>
            <w:r w:rsidRPr="00367300">
              <w:rPr>
                <w:rFonts w:ascii="Times New Roman" w:hAnsi="Times New Roman" w:cs="Times New Roman"/>
                <w:sz w:val="24"/>
                <w:szCs w:val="24"/>
              </w:rPr>
              <w:t>Определение прорывных проектов, находящихся в области междисциплинарных исследований, развитие традиционных и создание принципиально новых рын</w:t>
            </w:r>
            <w:r w:rsidRPr="00891093">
              <w:rPr>
                <w:rFonts w:ascii="Times New Roman" w:hAnsi="Times New Roman" w:cs="Times New Roman"/>
                <w:sz w:val="24"/>
                <w:szCs w:val="24"/>
              </w:rPr>
              <w:t xml:space="preserve">ков, обеспечение на этих направлениях научного и </w:t>
            </w:r>
            <w:r w:rsidRPr="00891093">
              <w:rPr>
                <w:rFonts w:ascii="Times New Roman" w:hAnsi="Times New Roman" w:cs="Times New Roman"/>
                <w:sz w:val="24"/>
                <w:szCs w:val="24"/>
              </w:rPr>
              <w:lastRenderedPageBreak/>
              <w:t>технологического лидерства компаний-участников кластера</w:t>
            </w:r>
          </w:p>
        </w:tc>
        <w:tc>
          <w:tcPr>
            <w:tcW w:w="337" w:type="pct"/>
          </w:tcPr>
          <w:p w14:paraId="1E5721DD"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lastRenderedPageBreak/>
              <w:t>2019-2020 годы</w:t>
            </w:r>
          </w:p>
        </w:tc>
        <w:tc>
          <w:tcPr>
            <w:tcW w:w="463" w:type="pct"/>
          </w:tcPr>
          <w:p w14:paraId="0FBAED8F"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ГКУ НСО «Центр регионального развития»</w:t>
            </w:r>
          </w:p>
          <w:p w14:paraId="11384B5D" w14:textId="77777777" w:rsidR="003F26A5" w:rsidRPr="00FC74FE" w:rsidRDefault="003F26A5" w:rsidP="00891093">
            <w:pPr>
              <w:contextualSpacing/>
              <w:rPr>
                <w:rFonts w:ascii="Times New Roman" w:hAnsi="Times New Roman" w:cs="Times New Roman"/>
                <w:bCs/>
                <w:sz w:val="24"/>
                <w:szCs w:val="24"/>
              </w:rPr>
            </w:pPr>
            <w:r w:rsidRPr="00AE06D3">
              <w:rPr>
                <w:rFonts w:ascii="Times New Roman" w:hAnsi="Times New Roman" w:cs="Times New Roman"/>
                <w:sz w:val="24"/>
                <w:szCs w:val="24"/>
              </w:rPr>
              <w:t>(по согласованию)</w:t>
            </w:r>
          </w:p>
        </w:tc>
        <w:tc>
          <w:tcPr>
            <w:tcW w:w="2031" w:type="pct"/>
            <w:shd w:val="clear" w:color="auto" w:fill="auto"/>
          </w:tcPr>
          <w:p w14:paraId="37AFDC0B" w14:textId="77777777" w:rsidR="003F26A5" w:rsidRPr="00367300" w:rsidRDefault="003F26A5" w:rsidP="00891093">
            <w:pPr>
              <w:tabs>
                <w:tab w:val="center" w:pos="5528"/>
                <w:tab w:val="left" w:pos="9525"/>
              </w:tabs>
              <w:autoSpaceDE w:val="0"/>
              <w:autoSpaceDN w:val="0"/>
              <w:ind w:left="57" w:right="57" w:firstLine="340"/>
              <w:jc w:val="both"/>
              <w:rPr>
                <w:rFonts w:ascii="Times New Roman" w:eastAsia="Times New Roman" w:hAnsi="Times New Roman" w:cs="Times New Roman"/>
                <w:bCs/>
                <w:spacing w:val="-4"/>
                <w:sz w:val="24"/>
                <w:szCs w:val="24"/>
              </w:rPr>
            </w:pPr>
            <w:r w:rsidRPr="009B4FC0">
              <w:rPr>
                <w:rFonts w:ascii="Times New Roman" w:eastAsia="Times New Roman" w:hAnsi="Times New Roman" w:cs="Times New Roman"/>
                <w:bCs/>
                <w:spacing w:val="-4"/>
                <w:sz w:val="24"/>
                <w:szCs w:val="24"/>
              </w:rPr>
              <w:t>Реализация Стратегии развития Научно-производственного кластера «Сибирский наукополис» (далее соответств</w:t>
            </w:r>
            <w:r w:rsidRPr="00367300">
              <w:rPr>
                <w:rFonts w:ascii="Times New Roman" w:eastAsia="Times New Roman" w:hAnsi="Times New Roman" w:cs="Times New Roman"/>
                <w:bCs/>
                <w:spacing w:val="-4"/>
                <w:sz w:val="24"/>
                <w:szCs w:val="24"/>
              </w:rPr>
              <w:t>енно – НПК «Сибирский наукополис», Кластер) осуществлялась согласно плану мероприятий на период с 2018 по 2019 годы, утвержденному Губернатором Новосибирской области 26 ноября 2018 года (далее – «дорожная карта»).</w:t>
            </w:r>
          </w:p>
          <w:p w14:paraId="709960BE" w14:textId="77777777" w:rsidR="003F26A5" w:rsidRPr="00367300" w:rsidRDefault="003F26A5" w:rsidP="00AE06D3">
            <w:pPr>
              <w:tabs>
                <w:tab w:val="center" w:pos="5528"/>
                <w:tab w:val="left" w:pos="9525"/>
              </w:tabs>
              <w:autoSpaceDE w:val="0"/>
              <w:autoSpaceDN w:val="0"/>
              <w:ind w:left="57" w:right="57" w:firstLine="340"/>
              <w:jc w:val="both"/>
              <w:rPr>
                <w:rFonts w:ascii="Times New Roman" w:eastAsia="Times New Roman" w:hAnsi="Times New Roman" w:cs="Times New Roman"/>
                <w:bCs/>
                <w:spacing w:val="-4"/>
                <w:sz w:val="24"/>
                <w:szCs w:val="24"/>
              </w:rPr>
            </w:pPr>
            <w:r w:rsidRPr="00367300">
              <w:rPr>
                <w:rFonts w:ascii="Times New Roman" w:eastAsia="Times New Roman" w:hAnsi="Times New Roman" w:cs="Times New Roman"/>
                <w:bCs/>
                <w:spacing w:val="-4"/>
                <w:sz w:val="24"/>
                <w:szCs w:val="24"/>
              </w:rPr>
              <w:t xml:space="preserve">В рамках исполнения «дорожной карты» в течение 2019 года проведено 11 экспортных семинаров, которые помогли компаниям понять, что такое экспорт и как освоить зарубежные рынки; а также организована серия бесплатных мероприятий с участием иностранных экспертов в г. Новосибирске, посвященных вопросам выхода на международные рынки, охраны и использования объектов интеллектуальной собственности. </w:t>
            </w:r>
          </w:p>
          <w:p w14:paraId="4721558E" w14:textId="77777777" w:rsidR="003F26A5" w:rsidRPr="00367300" w:rsidRDefault="003F26A5" w:rsidP="00FC74FE">
            <w:pPr>
              <w:tabs>
                <w:tab w:val="center" w:pos="5528"/>
                <w:tab w:val="left" w:pos="9525"/>
              </w:tabs>
              <w:autoSpaceDE w:val="0"/>
              <w:autoSpaceDN w:val="0"/>
              <w:ind w:left="57" w:right="57" w:firstLine="340"/>
              <w:jc w:val="both"/>
              <w:rPr>
                <w:rFonts w:ascii="Times New Roman" w:eastAsia="Times New Roman" w:hAnsi="Times New Roman" w:cs="Times New Roman"/>
                <w:bCs/>
                <w:spacing w:val="-4"/>
                <w:sz w:val="24"/>
                <w:szCs w:val="24"/>
              </w:rPr>
            </w:pPr>
            <w:r w:rsidRPr="00367300">
              <w:rPr>
                <w:rFonts w:ascii="Times New Roman" w:eastAsia="Times New Roman" w:hAnsi="Times New Roman" w:cs="Times New Roman"/>
                <w:bCs/>
                <w:spacing w:val="-4"/>
                <w:sz w:val="24"/>
                <w:szCs w:val="24"/>
              </w:rPr>
              <w:lastRenderedPageBreak/>
              <w:t>С целью расширения рынков сбыта прорывной продукции компаний-участников кластера Минэкономразвития НСО оказывалась поддержка компаний по выходу на зарубежные рынки.</w:t>
            </w:r>
          </w:p>
          <w:p w14:paraId="64DBFE3A" w14:textId="77777777" w:rsidR="003F26A5" w:rsidRPr="00367300" w:rsidRDefault="003F26A5" w:rsidP="009B4FC0">
            <w:pPr>
              <w:tabs>
                <w:tab w:val="center" w:pos="5528"/>
                <w:tab w:val="left" w:pos="9525"/>
              </w:tabs>
              <w:autoSpaceDE w:val="0"/>
              <w:autoSpaceDN w:val="0"/>
              <w:ind w:left="57" w:right="57" w:firstLine="340"/>
              <w:jc w:val="both"/>
              <w:rPr>
                <w:rFonts w:ascii="Times New Roman" w:eastAsia="Times New Roman" w:hAnsi="Times New Roman" w:cs="Times New Roman"/>
                <w:bCs/>
                <w:spacing w:val="-4"/>
                <w:sz w:val="24"/>
                <w:szCs w:val="24"/>
              </w:rPr>
            </w:pPr>
            <w:r w:rsidRPr="00367300">
              <w:rPr>
                <w:rFonts w:ascii="Times New Roman" w:eastAsia="Times New Roman" w:hAnsi="Times New Roman" w:cs="Times New Roman"/>
                <w:bCs/>
                <w:spacing w:val="-4"/>
                <w:sz w:val="24"/>
                <w:szCs w:val="24"/>
              </w:rPr>
              <w:t>Так, организовано участие 29 компаний кластера в следующих конгрессно-выставочных мероприятиях: Ташкентский Бизнес-Форум «EXPO-RUSSIA Uzbekistan», международная китайская выставка продуктов питания и специализированного оборудования «SIAL China 2019», Казахстанская международная выставка «Здравоохранение» «KIHE», международная выставка инновационного оборудования для лабораторий и оптимизации лабораторных процессов «LABVOLUTION/BIOTECHNICA», международная выставка геодезии, ГИС и землеустройства INTERGEO 2019, международная выставка красоты Arena of Beauty Professional, третья Международная выставка «Expo-Russia Vietnam», международная выставка медицинской индустрии «MEDICA &amp; COMPAMED 2019», международная выставка продуктов питания и напитков «Interfood&amp;Drink»; и 17 компаний кластера в бизнес-миссиях в следующие страны: Китайская Народная Республика, Республика Корея, Социалистическая Республика Вьетнам, Республика Казахстан, Киргизская Республика, Республика Индия, Королевство Саудовская Аравия.</w:t>
            </w:r>
          </w:p>
          <w:p w14:paraId="66B4E882" w14:textId="77777777" w:rsidR="003F26A5" w:rsidRPr="00367300" w:rsidRDefault="003F26A5">
            <w:pPr>
              <w:tabs>
                <w:tab w:val="center" w:pos="5528"/>
                <w:tab w:val="left" w:pos="9525"/>
              </w:tabs>
              <w:autoSpaceDE w:val="0"/>
              <w:autoSpaceDN w:val="0"/>
              <w:ind w:left="57" w:right="57" w:firstLine="340"/>
              <w:jc w:val="both"/>
              <w:rPr>
                <w:rFonts w:ascii="Times New Roman" w:eastAsia="Times New Roman" w:hAnsi="Times New Roman" w:cs="Times New Roman"/>
                <w:bCs/>
                <w:spacing w:val="-4"/>
                <w:sz w:val="24"/>
                <w:szCs w:val="24"/>
              </w:rPr>
            </w:pPr>
            <w:r w:rsidRPr="00367300">
              <w:rPr>
                <w:rFonts w:ascii="Times New Roman" w:eastAsia="Times New Roman" w:hAnsi="Times New Roman" w:cs="Times New Roman"/>
                <w:bCs/>
                <w:spacing w:val="-4"/>
                <w:sz w:val="24"/>
                <w:szCs w:val="24"/>
              </w:rPr>
              <w:t xml:space="preserve">22 - 25 октября в наукограде Кольцово состоялась Площадка открытых коммуникаций OpenBio, где  участниками стали 940 человек, в том числе присутствовали делегации из Белоруссии, Германии, Франции, Испании и Бельгии. </w:t>
            </w:r>
          </w:p>
          <w:p w14:paraId="4548C394" w14:textId="77777777" w:rsidR="003F26A5" w:rsidRPr="00367300" w:rsidRDefault="003F26A5">
            <w:pPr>
              <w:tabs>
                <w:tab w:val="center" w:pos="5528"/>
                <w:tab w:val="left" w:pos="9525"/>
              </w:tabs>
              <w:autoSpaceDE w:val="0"/>
              <w:autoSpaceDN w:val="0"/>
              <w:ind w:left="57" w:right="57" w:firstLine="340"/>
              <w:jc w:val="both"/>
              <w:rPr>
                <w:rFonts w:ascii="Times New Roman" w:eastAsia="Times New Roman" w:hAnsi="Times New Roman" w:cs="Times New Roman"/>
                <w:bCs/>
                <w:spacing w:val="-4"/>
                <w:sz w:val="24"/>
                <w:szCs w:val="24"/>
              </w:rPr>
            </w:pPr>
            <w:r w:rsidRPr="00367300">
              <w:rPr>
                <w:rFonts w:ascii="Times New Roman" w:eastAsia="Times New Roman" w:hAnsi="Times New Roman" w:cs="Times New Roman"/>
                <w:bCs/>
                <w:spacing w:val="-4"/>
                <w:sz w:val="24"/>
                <w:szCs w:val="24"/>
              </w:rPr>
              <w:t xml:space="preserve">В 2019 году тематика мероприятия была расширена, как отклик на глобальный запрос на укрепление </w:t>
            </w:r>
            <w:r w:rsidRPr="00367300">
              <w:rPr>
                <w:rFonts w:ascii="Times New Roman" w:eastAsia="Times New Roman" w:hAnsi="Times New Roman" w:cs="Times New Roman"/>
                <w:bCs/>
                <w:spacing w:val="-4"/>
                <w:sz w:val="24"/>
                <w:szCs w:val="24"/>
              </w:rPr>
              <w:lastRenderedPageBreak/>
              <w:t>междисциплинарных связей и интеграцию разноплановых научных решений внутри отрасли. OpenBio является крупнейшим межрегиональным событием в сфере биотехнологии и биофармацевтики.</w:t>
            </w:r>
          </w:p>
        </w:tc>
      </w:tr>
      <w:tr w:rsidR="003F26A5" w:rsidRPr="00367300" w14:paraId="4B899D27" w14:textId="77777777" w:rsidTr="003F26A5">
        <w:trPr>
          <w:trHeight w:val="283"/>
        </w:trPr>
        <w:tc>
          <w:tcPr>
            <w:tcW w:w="5000" w:type="pct"/>
            <w:gridSpan w:val="7"/>
          </w:tcPr>
          <w:p w14:paraId="45DD0806" w14:textId="77777777" w:rsidR="003F26A5" w:rsidRPr="00367300" w:rsidRDefault="003F26A5" w:rsidP="00367300">
            <w:pPr>
              <w:ind w:left="57"/>
              <w:contextualSpacing/>
              <w:rPr>
                <w:rFonts w:ascii="Times New Roman" w:hAnsi="Times New Roman" w:cs="Times New Roman"/>
                <w:b/>
                <w:bCs/>
                <w:sz w:val="24"/>
                <w:szCs w:val="24"/>
              </w:rPr>
            </w:pPr>
            <w:r w:rsidRPr="00367300">
              <w:rPr>
                <w:rFonts w:ascii="Times New Roman" w:hAnsi="Times New Roman" w:cs="Times New Roman"/>
                <w:b/>
                <w:bCs/>
                <w:sz w:val="24"/>
                <w:szCs w:val="24"/>
              </w:rPr>
              <w:lastRenderedPageBreak/>
              <w:t>17. 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(с учетом стандартов и разработок международной организации Ворлдскиллс Интернешнл (WorldSkills International), а также содействие включению обучающихся, выпускников и молодых специалистов с инвалидностью или ограниченными возможностями здоровья в трудовую деятельность с учетом стандартов и разработок Международной федерации Абилимпикс (International Abilympic Federation)</w:t>
            </w:r>
          </w:p>
        </w:tc>
      </w:tr>
      <w:tr w:rsidR="003F26A5" w:rsidRPr="00367300" w14:paraId="12710922" w14:textId="77777777" w:rsidTr="003F26A5">
        <w:trPr>
          <w:gridAfter w:val="1"/>
          <w:wAfter w:w="3" w:type="pct"/>
          <w:trHeight w:val="283"/>
        </w:trPr>
        <w:tc>
          <w:tcPr>
            <w:tcW w:w="335" w:type="pct"/>
          </w:tcPr>
          <w:p w14:paraId="795ECC3D"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17.1</w:t>
            </w:r>
          </w:p>
        </w:tc>
        <w:tc>
          <w:tcPr>
            <w:tcW w:w="1108" w:type="pct"/>
          </w:tcPr>
          <w:p w14:paraId="44CE2FA7"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Дальнейшее развитие дуального обучения как формы эффективного взаимодействия с работодателями в сфере подготовки кадров, включая заключение договоров по целевому обучению</w:t>
            </w:r>
          </w:p>
        </w:tc>
        <w:tc>
          <w:tcPr>
            <w:tcW w:w="723" w:type="pct"/>
          </w:tcPr>
          <w:p w14:paraId="3506FE4C" w14:textId="77777777" w:rsidR="003F26A5" w:rsidRPr="00367300" w:rsidRDefault="003F26A5" w:rsidP="00367300">
            <w:pPr>
              <w:contextualSpacing/>
              <w:rPr>
                <w:rFonts w:ascii="Times New Roman" w:hAnsi="Times New Roman" w:cs="Times New Roman"/>
                <w:sz w:val="24"/>
                <w:szCs w:val="24"/>
              </w:rPr>
            </w:pPr>
            <w:r w:rsidRPr="00367300">
              <w:rPr>
                <w:rFonts w:ascii="Times New Roman" w:hAnsi="Times New Roman" w:cs="Times New Roman"/>
                <w:sz w:val="24"/>
                <w:szCs w:val="24"/>
              </w:rPr>
              <w:t xml:space="preserve">Увеличение количества выпускников, трудоустроенных </w:t>
            </w:r>
          </w:p>
          <w:p w14:paraId="68568146" w14:textId="77777777" w:rsidR="003F26A5" w:rsidRPr="00891093" w:rsidRDefault="003F26A5" w:rsidP="00367300">
            <w:pPr>
              <w:contextualSpacing/>
              <w:rPr>
                <w:rFonts w:ascii="Times New Roman" w:hAnsi="Times New Roman" w:cs="Times New Roman"/>
                <w:sz w:val="24"/>
                <w:szCs w:val="24"/>
              </w:rPr>
            </w:pPr>
            <w:r w:rsidRPr="00891093">
              <w:rPr>
                <w:rFonts w:ascii="Times New Roman" w:hAnsi="Times New Roman" w:cs="Times New Roman"/>
                <w:sz w:val="24"/>
                <w:szCs w:val="24"/>
              </w:rPr>
              <w:t xml:space="preserve">по полученной профессии </w:t>
            </w:r>
          </w:p>
          <w:p w14:paraId="59AA4833"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по месту прохождения производственной практики</w:t>
            </w:r>
          </w:p>
        </w:tc>
        <w:tc>
          <w:tcPr>
            <w:tcW w:w="337" w:type="pct"/>
          </w:tcPr>
          <w:p w14:paraId="74A0AA56"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Постоянно</w:t>
            </w:r>
          </w:p>
        </w:tc>
        <w:tc>
          <w:tcPr>
            <w:tcW w:w="463" w:type="pct"/>
          </w:tcPr>
          <w:p w14:paraId="52B38EF7" w14:textId="77777777" w:rsidR="003F26A5" w:rsidRPr="00AE06D3" w:rsidRDefault="003F26A5" w:rsidP="00891093">
            <w:pPr>
              <w:contextualSpacing/>
              <w:rPr>
                <w:rFonts w:ascii="Times New Roman" w:hAnsi="Times New Roman" w:cs="Times New Roman"/>
                <w:bCs/>
                <w:sz w:val="24"/>
                <w:szCs w:val="24"/>
              </w:rPr>
            </w:pPr>
            <w:r w:rsidRPr="00891093">
              <w:rPr>
                <w:rFonts w:ascii="Times New Roman" w:eastAsia="Times New Roman" w:hAnsi="Times New Roman" w:cs="Times New Roman"/>
                <w:sz w:val="24"/>
                <w:szCs w:val="24"/>
              </w:rPr>
              <w:t>Минобразования НСО</w:t>
            </w:r>
          </w:p>
        </w:tc>
        <w:tc>
          <w:tcPr>
            <w:tcW w:w="2031" w:type="pct"/>
          </w:tcPr>
          <w:p w14:paraId="4D807EF5" w14:textId="77777777" w:rsidR="003F26A5" w:rsidRPr="00367300" w:rsidRDefault="003F26A5" w:rsidP="00891093">
            <w:pPr>
              <w:ind w:left="57" w:right="57" w:firstLine="340"/>
              <w:jc w:val="both"/>
              <w:rPr>
                <w:rFonts w:ascii="Times New Roman" w:hAnsi="Times New Roman" w:cs="Times New Roman"/>
                <w:sz w:val="24"/>
                <w:szCs w:val="24"/>
              </w:rPr>
            </w:pPr>
            <w:r w:rsidRPr="00FC74FE">
              <w:rPr>
                <w:rFonts w:ascii="Times New Roman" w:hAnsi="Times New Roman" w:cs="Times New Roman"/>
                <w:sz w:val="24"/>
                <w:szCs w:val="24"/>
              </w:rPr>
              <w:t>В рамках соглашения о сотрудничестве между Агентством стратегических инициатив по продвижению новых проектов, Союзом «Молодые профессионалы (Ворлдскиллс Россия)» и</w:t>
            </w:r>
            <w:r w:rsidRPr="009B4FC0">
              <w:rPr>
                <w:rFonts w:ascii="Times New Roman" w:hAnsi="Times New Roman" w:cs="Times New Roman"/>
                <w:sz w:val="24"/>
                <w:szCs w:val="24"/>
              </w:rPr>
              <w:t xml:space="preserve"> Правительством Новосибирской области (от 06.06.2019 № 28) по внедрению регионального стандарта кадрового обеспечения промышленного роста и дорожной карты внедрения регионального стандарта в Новосибирской области на 2019-2021 годы, утвержденной распоряжени</w:t>
            </w:r>
            <w:r w:rsidRPr="00367300">
              <w:rPr>
                <w:rFonts w:ascii="Times New Roman" w:hAnsi="Times New Roman" w:cs="Times New Roman"/>
                <w:sz w:val="24"/>
                <w:szCs w:val="24"/>
              </w:rPr>
              <w:t>ем Правительства Новосибирской области от 12.11.2019 № 432-рп, предусмотрено дальнейшее развитие дуального обучения.</w:t>
            </w:r>
          </w:p>
          <w:p w14:paraId="5593660D" w14:textId="77777777" w:rsidR="003F26A5" w:rsidRPr="00367300" w:rsidRDefault="003F26A5" w:rsidP="00AE06D3">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2019 году проведен демонстрационный экзамен для более 1,1 тыс. студентов, обучающихся по программам СПО, в котором приняли участие в качестве экспертов 144 представителя работодателей;</w:t>
            </w:r>
          </w:p>
          <w:p w14:paraId="12BEF3E4" w14:textId="77777777" w:rsidR="003F26A5" w:rsidRPr="00367300" w:rsidRDefault="003F26A5" w:rsidP="00FC74FE">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сотрудники организаций и предприятий включены в составы государственных экзаменационных комиссий;</w:t>
            </w:r>
          </w:p>
          <w:p w14:paraId="429F2C46" w14:textId="77777777" w:rsidR="003F26A5" w:rsidRPr="00367300" w:rsidRDefault="003F26A5" w:rsidP="009B4FC0">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преподаватели и мастера производственного обучения проходят стажировки на предприятиях отрасли.</w:t>
            </w:r>
          </w:p>
          <w:p w14:paraId="6F7246FA" w14:textId="77777777" w:rsidR="003F26A5" w:rsidRPr="00367300" w:rsidRDefault="003F26A5">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Удельный вес численности студентов, обучающихся по образовательным программам среднего профессионального образования на основе договоров о </w:t>
            </w:r>
            <w:r w:rsidRPr="00367300">
              <w:rPr>
                <w:rFonts w:ascii="Times New Roman" w:hAnsi="Times New Roman" w:cs="Times New Roman"/>
                <w:sz w:val="24"/>
                <w:szCs w:val="24"/>
              </w:rPr>
              <w:lastRenderedPageBreak/>
              <w:t>целевом обучении, в общей численности студентов, обучающихся по образовательным программам среднего профессионального образования, составил 4,02%, что выше среднего по стране.</w:t>
            </w:r>
          </w:p>
          <w:p w14:paraId="0E19E4F3" w14:textId="3515A04E" w:rsidR="003F26A5" w:rsidRPr="00367300" w:rsidRDefault="003F26A5">
            <w:pPr>
              <w:pStyle w:val="ConsPlusNormal"/>
              <w:ind w:left="57" w:right="57" w:firstLine="340"/>
              <w:jc w:val="both"/>
              <w:rPr>
                <w:rFonts w:ascii="Times New Roman" w:eastAsia="Calibri" w:hAnsi="Times New Roman" w:cs="Times New Roman"/>
                <w:sz w:val="24"/>
                <w:szCs w:val="24"/>
              </w:rPr>
            </w:pPr>
            <w:r w:rsidRPr="00367300">
              <w:rPr>
                <w:rFonts w:ascii="Times New Roman" w:hAnsi="Times New Roman" w:cs="Times New Roman"/>
                <w:sz w:val="24"/>
                <w:szCs w:val="24"/>
              </w:rPr>
              <w:t>Доля выпускников, завершивших обучение по программам среднего профессионального образования в профессиональных образовательных учреждениях сферы промышленности, сельского и лесного хозяйства, строительства, транспорта и услуг, подведомственных министерству образования Новосибирской области в 2019 году, трудоустроенных по полученной профессии по месту прохождения производственной практики, составила 46,3% от общей численности выпускников, что на 0,6% выше, чем в 2018 году.</w:t>
            </w:r>
          </w:p>
        </w:tc>
      </w:tr>
      <w:tr w:rsidR="003F26A5" w:rsidRPr="00367300" w14:paraId="0E019623" w14:textId="77777777" w:rsidTr="003F26A5">
        <w:trPr>
          <w:gridAfter w:val="1"/>
          <w:wAfter w:w="3" w:type="pct"/>
          <w:trHeight w:val="283"/>
        </w:trPr>
        <w:tc>
          <w:tcPr>
            <w:tcW w:w="335" w:type="pct"/>
          </w:tcPr>
          <w:p w14:paraId="15782270"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17.2</w:t>
            </w:r>
          </w:p>
        </w:tc>
        <w:tc>
          <w:tcPr>
            <w:tcW w:w="1108" w:type="pct"/>
          </w:tcPr>
          <w:p w14:paraId="3CCDE84C"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Проведение мониторинга о ходе трудоустройства выпускников профессиональных образовательных учреждений Новосибирской области</w:t>
            </w:r>
          </w:p>
        </w:tc>
        <w:tc>
          <w:tcPr>
            <w:tcW w:w="723" w:type="pct"/>
            <w:shd w:val="clear" w:color="auto" w:fill="auto"/>
          </w:tcPr>
          <w:p w14:paraId="42557BA2" w14:textId="77777777" w:rsidR="003F26A5" w:rsidRPr="00367300" w:rsidRDefault="003F26A5" w:rsidP="00367300">
            <w:pPr>
              <w:contextualSpacing/>
              <w:rPr>
                <w:rFonts w:ascii="Times New Roman" w:hAnsi="Times New Roman" w:cs="Times New Roman"/>
                <w:sz w:val="24"/>
                <w:szCs w:val="24"/>
              </w:rPr>
            </w:pPr>
            <w:r w:rsidRPr="00367300">
              <w:rPr>
                <w:rFonts w:ascii="Times New Roman" w:hAnsi="Times New Roman" w:cs="Times New Roman"/>
                <w:sz w:val="24"/>
                <w:szCs w:val="24"/>
              </w:rPr>
              <w:t xml:space="preserve">Увеличение количества выпускников, трудоустроенных </w:t>
            </w:r>
          </w:p>
          <w:p w14:paraId="6474CF64" w14:textId="77777777" w:rsidR="003F26A5" w:rsidRPr="00367300" w:rsidRDefault="003F26A5" w:rsidP="00367300">
            <w:pPr>
              <w:contextualSpacing/>
              <w:rPr>
                <w:rFonts w:ascii="Times New Roman" w:hAnsi="Times New Roman" w:cs="Times New Roman"/>
                <w:sz w:val="24"/>
                <w:szCs w:val="24"/>
              </w:rPr>
            </w:pPr>
            <w:r w:rsidRPr="00367300">
              <w:rPr>
                <w:rFonts w:ascii="Times New Roman" w:hAnsi="Times New Roman" w:cs="Times New Roman"/>
                <w:sz w:val="24"/>
                <w:szCs w:val="24"/>
              </w:rPr>
              <w:t xml:space="preserve">по полученной профессии </w:t>
            </w:r>
          </w:p>
          <w:p w14:paraId="70450B7D"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по месту прохождения производственной практики</w:t>
            </w:r>
          </w:p>
        </w:tc>
        <w:tc>
          <w:tcPr>
            <w:tcW w:w="337" w:type="pct"/>
            <w:shd w:val="clear" w:color="auto" w:fill="auto"/>
          </w:tcPr>
          <w:p w14:paraId="23D6A449"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Постоянно</w:t>
            </w:r>
          </w:p>
        </w:tc>
        <w:tc>
          <w:tcPr>
            <w:tcW w:w="463" w:type="pct"/>
          </w:tcPr>
          <w:p w14:paraId="7C695151" w14:textId="77777777" w:rsidR="003F26A5" w:rsidRPr="00FC74FE" w:rsidRDefault="003F26A5" w:rsidP="00891093">
            <w:pPr>
              <w:contextualSpacing/>
              <w:rPr>
                <w:rFonts w:ascii="Times New Roman" w:hAnsi="Times New Roman" w:cs="Times New Roman"/>
                <w:bCs/>
                <w:sz w:val="24"/>
                <w:szCs w:val="24"/>
              </w:rPr>
            </w:pPr>
            <w:r w:rsidRPr="00AE06D3">
              <w:rPr>
                <w:rFonts w:ascii="Times New Roman" w:eastAsia="Times New Roman" w:hAnsi="Times New Roman" w:cs="Times New Roman"/>
                <w:sz w:val="24"/>
                <w:szCs w:val="24"/>
              </w:rPr>
              <w:t>Минобразования НСО</w:t>
            </w:r>
          </w:p>
        </w:tc>
        <w:tc>
          <w:tcPr>
            <w:tcW w:w="2031" w:type="pct"/>
          </w:tcPr>
          <w:p w14:paraId="6F619798" w14:textId="77777777" w:rsidR="003F26A5" w:rsidRPr="00367300" w:rsidRDefault="003F26A5" w:rsidP="00891093">
            <w:pPr>
              <w:ind w:left="57" w:right="57" w:firstLine="340"/>
              <w:contextualSpacing/>
              <w:jc w:val="both"/>
              <w:rPr>
                <w:rFonts w:ascii="Times New Roman" w:eastAsia="Times New Roman" w:hAnsi="Times New Roman" w:cs="Times New Roman"/>
                <w:sz w:val="24"/>
                <w:szCs w:val="24"/>
              </w:rPr>
            </w:pPr>
            <w:r w:rsidRPr="009B4FC0">
              <w:rPr>
                <w:rFonts w:ascii="Times New Roman" w:hAnsi="Times New Roman" w:cs="Times New Roman"/>
                <w:sz w:val="24"/>
                <w:szCs w:val="24"/>
              </w:rPr>
              <w:t>По данным мониторинга о ходе трудоустройства выпускников, завершивших в 2019 году обучение по программам среднего профессионального образования в профессиональных образовательных учреждениях, подведомственных исполните</w:t>
            </w:r>
            <w:r w:rsidRPr="00367300">
              <w:rPr>
                <w:rFonts w:ascii="Times New Roman" w:hAnsi="Times New Roman" w:cs="Times New Roman"/>
                <w:sz w:val="24"/>
                <w:szCs w:val="24"/>
              </w:rPr>
              <w:t>льным органам государственной власти Новосибирской области, по состоянию на 01.10.2019 доля трудоустроенных выпускников очной формы обучения составила 82%, в том числе трудоустроены по полученной профессии  (специальности) – 78%, по месту прохождения производственной (преддипломной практики) – 40%. Занятость выпускников с учетом продолживших дальнейшее обучение, призванных в Вооруженные Силы РФ и находящихся в отпуске по уходу за ребенком, составила 97%.</w:t>
            </w:r>
          </w:p>
        </w:tc>
      </w:tr>
      <w:tr w:rsidR="003F26A5" w:rsidRPr="00367300" w14:paraId="2F81D979" w14:textId="77777777" w:rsidTr="003F26A5">
        <w:trPr>
          <w:trHeight w:val="283"/>
        </w:trPr>
        <w:tc>
          <w:tcPr>
            <w:tcW w:w="5000" w:type="pct"/>
            <w:gridSpan w:val="7"/>
            <w:shd w:val="clear" w:color="auto" w:fill="auto"/>
          </w:tcPr>
          <w:p w14:paraId="6DE97030" w14:textId="77777777" w:rsidR="003F26A5" w:rsidRPr="00367300" w:rsidRDefault="003F26A5" w:rsidP="00367300">
            <w:pPr>
              <w:autoSpaceDE w:val="0"/>
              <w:autoSpaceDN w:val="0"/>
              <w:adjustRightInd w:val="0"/>
              <w:ind w:left="57" w:firstLine="539"/>
              <w:rPr>
                <w:rFonts w:ascii="Times New Roman" w:hAnsi="Times New Roman" w:cs="Times New Roman"/>
                <w:b/>
                <w:bCs/>
                <w:sz w:val="24"/>
                <w:szCs w:val="24"/>
              </w:rPr>
            </w:pPr>
            <w:r w:rsidRPr="00367300">
              <w:rPr>
                <w:rFonts w:ascii="Times New Roman" w:hAnsi="Times New Roman" w:cs="Times New Roman"/>
                <w:b/>
                <w:bCs/>
                <w:sz w:val="24"/>
                <w:szCs w:val="24"/>
              </w:rPr>
              <w:t>18. Создание институциональной среды, способствующей внедрению инноваций и увеличению возможности хозяйствующих субъектов по внедрению новых технологических решений</w:t>
            </w:r>
          </w:p>
        </w:tc>
      </w:tr>
      <w:tr w:rsidR="003F26A5" w:rsidRPr="00367300" w14:paraId="383F7150" w14:textId="77777777" w:rsidTr="003F26A5">
        <w:trPr>
          <w:gridAfter w:val="1"/>
          <w:wAfter w:w="3" w:type="pct"/>
          <w:trHeight w:val="283"/>
        </w:trPr>
        <w:tc>
          <w:tcPr>
            <w:tcW w:w="335" w:type="pct"/>
            <w:shd w:val="clear" w:color="auto" w:fill="FFFFFF" w:themeFill="background1"/>
          </w:tcPr>
          <w:p w14:paraId="2380D080"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18.1</w:t>
            </w:r>
          </w:p>
        </w:tc>
        <w:tc>
          <w:tcPr>
            <w:tcW w:w="1108" w:type="pct"/>
            <w:shd w:val="clear" w:color="auto" w:fill="FFFFFF" w:themeFill="background1"/>
          </w:tcPr>
          <w:p w14:paraId="1FCB744D"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Предоставление мер государственной поддержки управляющим компаниям технопарков</w:t>
            </w:r>
          </w:p>
        </w:tc>
        <w:tc>
          <w:tcPr>
            <w:tcW w:w="723" w:type="pct"/>
            <w:shd w:val="clear" w:color="auto" w:fill="FFFFFF" w:themeFill="background1"/>
          </w:tcPr>
          <w:p w14:paraId="5B39717B" w14:textId="77777777" w:rsidR="003F26A5" w:rsidRPr="00367300" w:rsidRDefault="003F26A5" w:rsidP="00367300">
            <w:pPr>
              <w:autoSpaceDE w:val="0"/>
              <w:autoSpaceDN w:val="0"/>
              <w:adjustRightInd w:val="0"/>
              <w:contextualSpacing/>
              <w:rPr>
                <w:rFonts w:ascii="Times New Roman" w:hAnsi="Times New Roman" w:cs="Times New Roman"/>
                <w:sz w:val="24"/>
                <w:szCs w:val="24"/>
              </w:rPr>
            </w:pPr>
            <w:r w:rsidRPr="00367300">
              <w:rPr>
                <w:rFonts w:ascii="Times New Roman" w:hAnsi="Times New Roman" w:cs="Times New Roman"/>
                <w:sz w:val="24"/>
                <w:szCs w:val="24"/>
              </w:rPr>
              <w:t xml:space="preserve">Создание условий </w:t>
            </w:r>
          </w:p>
          <w:p w14:paraId="45C36EC6" w14:textId="77777777" w:rsidR="003F26A5" w:rsidRPr="00891093" w:rsidRDefault="003F26A5" w:rsidP="00367300">
            <w:pPr>
              <w:autoSpaceDE w:val="0"/>
              <w:autoSpaceDN w:val="0"/>
              <w:adjustRightInd w:val="0"/>
              <w:contextualSpacing/>
              <w:rPr>
                <w:rFonts w:ascii="Times New Roman" w:hAnsi="Times New Roman" w:cs="Times New Roman"/>
                <w:sz w:val="24"/>
                <w:szCs w:val="24"/>
              </w:rPr>
            </w:pPr>
            <w:r w:rsidRPr="00367300">
              <w:rPr>
                <w:rFonts w:ascii="Times New Roman" w:hAnsi="Times New Roman" w:cs="Times New Roman"/>
                <w:sz w:val="24"/>
                <w:szCs w:val="24"/>
              </w:rPr>
              <w:t>для генерации и</w:t>
            </w:r>
            <w:r w:rsidRPr="00891093">
              <w:rPr>
                <w:rFonts w:ascii="Times New Roman" w:hAnsi="Times New Roman" w:cs="Times New Roman"/>
                <w:sz w:val="24"/>
                <w:szCs w:val="24"/>
              </w:rPr>
              <w:t xml:space="preserve"> развития инновационных компаний, </w:t>
            </w:r>
          </w:p>
          <w:p w14:paraId="757D7BC4" w14:textId="77777777" w:rsidR="003F26A5" w:rsidRPr="00891093" w:rsidRDefault="003F26A5" w:rsidP="00891093">
            <w:pPr>
              <w:autoSpaceDE w:val="0"/>
              <w:autoSpaceDN w:val="0"/>
              <w:adjustRightInd w:val="0"/>
              <w:contextualSpacing/>
              <w:rPr>
                <w:rFonts w:ascii="Times New Roman" w:hAnsi="Times New Roman" w:cs="Times New Roman"/>
                <w:sz w:val="24"/>
                <w:szCs w:val="24"/>
              </w:rPr>
            </w:pPr>
            <w:r w:rsidRPr="00891093">
              <w:rPr>
                <w:rFonts w:ascii="Times New Roman" w:hAnsi="Times New Roman" w:cs="Times New Roman"/>
                <w:sz w:val="24"/>
                <w:szCs w:val="24"/>
              </w:rPr>
              <w:t>а также успешного развития действующих высокотехнологичных предприятий, превращение их в одну из основных движущих сил экономического роста региона</w:t>
            </w:r>
          </w:p>
        </w:tc>
        <w:tc>
          <w:tcPr>
            <w:tcW w:w="337" w:type="pct"/>
            <w:shd w:val="clear" w:color="auto" w:fill="FFFFFF" w:themeFill="background1"/>
          </w:tcPr>
          <w:p w14:paraId="6A02063C"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2020-2022 годы</w:t>
            </w:r>
          </w:p>
        </w:tc>
        <w:tc>
          <w:tcPr>
            <w:tcW w:w="463" w:type="pct"/>
            <w:shd w:val="clear" w:color="auto" w:fill="FFFFFF" w:themeFill="background1"/>
          </w:tcPr>
          <w:p w14:paraId="6AB62BB2" w14:textId="77777777" w:rsidR="003F26A5" w:rsidRPr="00367300" w:rsidRDefault="00E3307E" w:rsidP="00891093">
            <w:pPr>
              <w:shd w:val="clear" w:color="auto" w:fill="FFFFFF"/>
              <w:rPr>
                <w:rFonts w:ascii="Times New Roman" w:hAnsi="Times New Roman" w:cs="Times New Roman"/>
                <w:sz w:val="24"/>
                <w:szCs w:val="24"/>
              </w:rPr>
            </w:pPr>
            <w:hyperlink r:id="rId121" w:history="1">
              <w:r w:rsidR="003F26A5" w:rsidRPr="00367300">
                <w:rPr>
                  <w:rFonts w:ascii="Times New Roman" w:hAnsi="Times New Roman" w:cs="Times New Roman"/>
                  <w:sz w:val="24"/>
                  <w:szCs w:val="24"/>
                </w:rPr>
                <w:t>Миннауки НСО</w:t>
              </w:r>
            </w:hyperlink>
          </w:p>
        </w:tc>
        <w:tc>
          <w:tcPr>
            <w:tcW w:w="2031" w:type="pct"/>
            <w:shd w:val="clear" w:color="auto" w:fill="FFFFFF" w:themeFill="background1"/>
          </w:tcPr>
          <w:p w14:paraId="69B74E30" w14:textId="77777777" w:rsidR="003F26A5" w:rsidRPr="00367300" w:rsidRDefault="003F26A5" w:rsidP="00891093">
            <w:pPr>
              <w:shd w:val="clear" w:color="auto" w:fill="FFFFFF"/>
              <w:ind w:left="57"/>
              <w:rPr>
                <w:rFonts w:ascii="Times New Roman" w:hAnsi="Times New Roman" w:cs="Times New Roman"/>
                <w:sz w:val="24"/>
                <w:szCs w:val="24"/>
              </w:rPr>
            </w:pPr>
            <w:r w:rsidRPr="00367300">
              <w:rPr>
                <w:rFonts w:ascii="Times New Roman" w:hAnsi="Times New Roman" w:cs="Times New Roman"/>
                <w:sz w:val="24"/>
                <w:szCs w:val="24"/>
              </w:rPr>
              <w:t>Срок реализации мероприятия – 2020-2022 годы</w:t>
            </w:r>
            <w:r w:rsidR="00A55AC7" w:rsidRPr="00367300">
              <w:rPr>
                <w:rFonts w:ascii="Times New Roman" w:hAnsi="Times New Roman" w:cs="Times New Roman"/>
                <w:sz w:val="24"/>
                <w:szCs w:val="24"/>
              </w:rPr>
              <w:t>.</w:t>
            </w:r>
          </w:p>
        </w:tc>
      </w:tr>
      <w:tr w:rsidR="003F26A5" w:rsidRPr="00367300" w14:paraId="26316A5A" w14:textId="77777777" w:rsidTr="003F26A5">
        <w:trPr>
          <w:gridAfter w:val="1"/>
          <w:wAfter w:w="3" w:type="pct"/>
          <w:trHeight w:val="283"/>
        </w:trPr>
        <w:tc>
          <w:tcPr>
            <w:tcW w:w="335" w:type="pct"/>
            <w:shd w:val="clear" w:color="auto" w:fill="FFFFFF" w:themeFill="background1"/>
          </w:tcPr>
          <w:p w14:paraId="74EAD6C9"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18.2</w:t>
            </w:r>
          </w:p>
        </w:tc>
        <w:tc>
          <w:tcPr>
            <w:tcW w:w="1108" w:type="pct"/>
            <w:shd w:val="clear" w:color="auto" w:fill="FFFFFF" w:themeFill="background1"/>
          </w:tcPr>
          <w:p w14:paraId="703EDD38"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Предоставление мер государственной поддержки бизнес-инкубаторам, в том числе бизнес-акселераторам и центрам молодежного инновационного творчества, на компенсацию затрат за предоставленные услуги субъектам инновационной деятельности</w:t>
            </w:r>
          </w:p>
        </w:tc>
        <w:tc>
          <w:tcPr>
            <w:tcW w:w="723" w:type="pct"/>
            <w:shd w:val="clear" w:color="auto" w:fill="FFFFFF" w:themeFill="background1"/>
          </w:tcPr>
          <w:p w14:paraId="36B9A574" w14:textId="77777777" w:rsidR="003F26A5" w:rsidRPr="00367300" w:rsidRDefault="003F26A5" w:rsidP="00367300">
            <w:pPr>
              <w:autoSpaceDE w:val="0"/>
              <w:autoSpaceDN w:val="0"/>
              <w:adjustRightInd w:val="0"/>
              <w:contextualSpacing/>
              <w:rPr>
                <w:rFonts w:ascii="Times New Roman" w:hAnsi="Times New Roman" w:cs="Times New Roman"/>
                <w:sz w:val="24"/>
                <w:szCs w:val="24"/>
              </w:rPr>
            </w:pPr>
            <w:r w:rsidRPr="00367300">
              <w:rPr>
                <w:rFonts w:ascii="Times New Roman" w:hAnsi="Times New Roman" w:cs="Times New Roman"/>
                <w:sz w:val="24"/>
                <w:szCs w:val="24"/>
              </w:rPr>
              <w:t xml:space="preserve">Создание благоприятной экономической среды </w:t>
            </w:r>
          </w:p>
          <w:p w14:paraId="0B0D3394" w14:textId="77777777" w:rsidR="003F26A5" w:rsidRPr="00891093" w:rsidRDefault="003F26A5" w:rsidP="00891093">
            <w:pPr>
              <w:autoSpaceDE w:val="0"/>
              <w:autoSpaceDN w:val="0"/>
              <w:adjustRightInd w:val="0"/>
              <w:contextualSpacing/>
              <w:rPr>
                <w:rFonts w:ascii="Times New Roman" w:hAnsi="Times New Roman" w:cs="Times New Roman"/>
                <w:sz w:val="24"/>
                <w:szCs w:val="24"/>
              </w:rPr>
            </w:pPr>
            <w:r w:rsidRPr="00891093">
              <w:rPr>
                <w:rFonts w:ascii="Times New Roman" w:hAnsi="Times New Roman" w:cs="Times New Roman"/>
                <w:sz w:val="24"/>
                <w:szCs w:val="24"/>
              </w:rPr>
              <w:t>для субъектов инновационной деятельности.</w:t>
            </w:r>
          </w:p>
          <w:p w14:paraId="14805F7A"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 xml:space="preserve">Оформление стартапов, прошедших обучение </w:t>
            </w:r>
          </w:p>
          <w:p w14:paraId="1BDB9354" w14:textId="77777777" w:rsidR="003F26A5" w:rsidRPr="00AE06D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 xml:space="preserve">в бизнес-инкубаторе технопарка Новосибирского Академгородка, в действующие на территории региона компании и </w:t>
            </w:r>
            <w:r w:rsidRPr="00891093">
              <w:rPr>
                <w:rFonts w:ascii="Times New Roman" w:hAnsi="Times New Roman" w:cs="Times New Roman"/>
                <w:sz w:val="24"/>
                <w:szCs w:val="24"/>
              </w:rPr>
              <w:lastRenderedPageBreak/>
              <w:t>рекомендованные в резиденты бизнес-инкубаторов</w:t>
            </w:r>
          </w:p>
        </w:tc>
        <w:tc>
          <w:tcPr>
            <w:tcW w:w="337" w:type="pct"/>
            <w:shd w:val="clear" w:color="auto" w:fill="FFFFFF" w:themeFill="background1"/>
          </w:tcPr>
          <w:p w14:paraId="51AFC658" w14:textId="77777777" w:rsidR="003F26A5" w:rsidRPr="009B4FC0" w:rsidRDefault="003F26A5" w:rsidP="00891093">
            <w:pPr>
              <w:contextualSpacing/>
              <w:rPr>
                <w:rFonts w:ascii="Times New Roman" w:hAnsi="Times New Roman" w:cs="Times New Roman"/>
                <w:bCs/>
                <w:sz w:val="24"/>
                <w:szCs w:val="24"/>
              </w:rPr>
            </w:pPr>
            <w:r w:rsidRPr="00FC74FE">
              <w:rPr>
                <w:rFonts w:ascii="Times New Roman" w:hAnsi="Times New Roman" w:cs="Times New Roman"/>
                <w:sz w:val="24"/>
                <w:szCs w:val="24"/>
              </w:rPr>
              <w:lastRenderedPageBreak/>
              <w:t>2020-2022 годы</w:t>
            </w:r>
          </w:p>
        </w:tc>
        <w:tc>
          <w:tcPr>
            <w:tcW w:w="463" w:type="pct"/>
            <w:shd w:val="clear" w:color="auto" w:fill="FFFFFF" w:themeFill="background1"/>
          </w:tcPr>
          <w:p w14:paraId="5F590D16" w14:textId="77777777" w:rsidR="003F26A5" w:rsidRPr="00367300" w:rsidRDefault="00E3307E" w:rsidP="00AE06D3">
            <w:pPr>
              <w:shd w:val="clear" w:color="auto" w:fill="FFFFFF"/>
              <w:rPr>
                <w:rFonts w:ascii="Times New Roman" w:hAnsi="Times New Roman" w:cs="Times New Roman"/>
                <w:bCs/>
                <w:sz w:val="24"/>
                <w:szCs w:val="24"/>
              </w:rPr>
            </w:pPr>
            <w:hyperlink r:id="rId122" w:history="1">
              <w:r w:rsidR="003F26A5" w:rsidRPr="00367300">
                <w:rPr>
                  <w:rFonts w:ascii="Times New Roman" w:hAnsi="Times New Roman" w:cs="Times New Roman"/>
                  <w:sz w:val="24"/>
                  <w:szCs w:val="24"/>
                </w:rPr>
                <w:t>Миннауки НСО</w:t>
              </w:r>
            </w:hyperlink>
          </w:p>
        </w:tc>
        <w:tc>
          <w:tcPr>
            <w:tcW w:w="2031" w:type="pct"/>
            <w:shd w:val="clear" w:color="auto" w:fill="FFFFFF" w:themeFill="background1"/>
          </w:tcPr>
          <w:p w14:paraId="7657ED24" w14:textId="77777777" w:rsidR="003F26A5" w:rsidRPr="00367300" w:rsidRDefault="003F26A5" w:rsidP="00FC74FE">
            <w:pPr>
              <w:shd w:val="clear" w:color="auto" w:fill="FFFFFF"/>
              <w:ind w:left="57" w:firstLine="340"/>
              <w:rPr>
                <w:rFonts w:ascii="Times New Roman" w:hAnsi="Times New Roman" w:cs="Times New Roman"/>
                <w:sz w:val="24"/>
                <w:szCs w:val="24"/>
              </w:rPr>
            </w:pPr>
            <w:r w:rsidRPr="00367300">
              <w:rPr>
                <w:rFonts w:ascii="Times New Roman" w:hAnsi="Times New Roman" w:cs="Times New Roman"/>
                <w:sz w:val="24"/>
                <w:szCs w:val="24"/>
              </w:rPr>
              <w:t>Срок реализации мероприятия – 2020-2022 годы</w:t>
            </w:r>
            <w:r w:rsidR="00A55AC7" w:rsidRPr="00367300">
              <w:rPr>
                <w:rFonts w:ascii="Times New Roman" w:hAnsi="Times New Roman" w:cs="Times New Roman"/>
                <w:sz w:val="24"/>
                <w:szCs w:val="24"/>
              </w:rPr>
              <w:t>.</w:t>
            </w:r>
          </w:p>
        </w:tc>
      </w:tr>
      <w:tr w:rsidR="003F26A5" w:rsidRPr="00367300" w14:paraId="44644DDC" w14:textId="77777777" w:rsidTr="003F26A5">
        <w:trPr>
          <w:gridAfter w:val="1"/>
          <w:wAfter w:w="3" w:type="pct"/>
          <w:trHeight w:val="283"/>
        </w:trPr>
        <w:tc>
          <w:tcPr>
            <w:tcW w:w="335" w:type="pct"/>
          </w:tcPr>
          <w:p w14:paraId="50C9C44E"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18.3</w:t>
            </w:r>
          </w:p>
        </w:tc>
        <w:tc>
          <w:tcPr>
            <w:tcW w:w="1108" w:type="pct"/>
          </w:tcPr>
          <w:p w14:paraId="677CB45B"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Создание городской площадки бизнес-инкубатора Академпарка при ключевых вузах </w:t>
            </w:r>
          </w:p>
          <w:p w14:paraId="362006F6"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г. Новосибирска, организация менторского сопровождения </w:t>
            </w:r>
          </w:p>
          <w:p w14:paraId="05B7E788"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из числа специалистов инновационных компаний</w:t>
            </w:r>
          </w:p>
        </w:tc>
        <w:tc>
          <w:tcPr>
            <w:tcW w:w="723" w:type="pct"/>
          </w:tcPr>
          <w:p w14:paraId="7B3A0FEA" w14:textId="77777777" w:rsidR="003F26A5" w:rsidRPr="00891093" w:rsidRDefault="003F26A5" w:rsidP="00891093">
            <w:pPr>
              <w:autoSpaceDE w:val="0"/>
              <w:autoSpaceDN w:val="0"/>
              <w:adjustRightInd w:val="0"/>
              <w:contextualSpacing/>
              <w:rPr>
                <w:rFonts w:ascii="Times New Roman" w:hAnsi="Times New Roman" w:cs="Times New Roman"/>
                <w:sz w:val="24"/>
                <w:szCs w:val="24"/>
              </w:rPr>
            </w:pPr>
            <w:r w:rsidRPr="00891093">
              <w:rPr>
                <w:rFonts w:ascii="Times New Roman" w:hAnsi="Times New Roman" w:cs="Times New Roman"/>
                <w:sz w:val="24"/>
                <w:szCs w:val="24"/>
              </w:rPr>
              <w:t xml:space="preserve">Развитие технологических мощностей технопарков </w:t>
            </w:r>
          </w:p>
          <w:p w14:paraId="7D817718" w14:textId="77777777" w:rsidR="003F26A5" w:rsidRPr="00891093" w:rsidRDefault="003F26A5" w:rsidP="00891093">
            <w:pPr>
              <w:autoSpaceDE w:val="0"/>
              <w:autoSpaceDN w:val="0"/>
              <w:adjustRightInd w:val="0"/>
              <w:contextualSpacing/>
              <w:rPr>
                <w:rFonts w:ascii="Times New Roman" w:hAnsi="Times New Roman" w:cs="Times New Roman"/>
                <w:sz w:val="24"/>
                <w:szCs w:val="24"/>
              </w:rPr>
            </w:pPr>
            <w:r w:rsidRPr="00891093">
              <w:rPr>
                <w:rFonts w:ascii="Times New Roman" w:hAnsi="Times New Roman" w:cs="Times New Roman"/>
                <w:sz w:val="24"/>
                <w:szCs w:val="24"/>
              </w:rPr>
              <w:t xml:space="preserve">и бизнес-инкубаторов </w:t>
            </w:r>
          </w:p>
          <w:p w14:paraId="6AC2D3EB" w14:textId="77777777" w:rsidR="003F26A5" w:rsidRPr="00891093" w:rsidRDefault="003F26A5" w:rsidP="00891093">
            <w:pPr>
              <w:autoSpaceDE w:val="0"/>
              <w:autoSpaceDN w:val="0"/>
              <w:adjustRightInd w:val="0"/>
              <w:contextualSpacing/>
              <w:rPr>
                <w:rFonts w:ascii="Times New Roman" w:hAnsi="Times New Roman" w:cs="Times New Roman"/>
                <w:sz w:val="24"/>
                <w:szCs w:val="24"/>
              </w:rPr>
            </w:pPr>
            <w:r w:rsidRPr="00891093">
              <w:rPr>
                <w:rFonts w:ascii="Times New Roman" w:hAnsi="Times New Roman" w:cs="Times New Roman"/>
                <w:sz w:val="24"/>
                <w:szCs w:val="24"/>
              </w:rPr>
              <w:t>на территории Новосибирской области</w:t>
            </w:r>
          </w:p>
        </w:tc>
        <w:tc>
          <w:tcPr>
            <w:tcW w:w="337" w:type="pct"/>
          </w:tcPr>
          <w:p w14:paraId="4F48D67B"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Постоянно</w:t>
            </w:r>
          </w:p>
        </w:tc>
        <w:tc>
          <w:tcPr>
            <w:tcW w:w="463" w:type="pct"/>
          </w:tcPr>
          <w:p w14:paraId="38590D0B" w14:textId="77777777" w:rsidR="003F26A5" w:rsidRPr="00AE06D3" w:rsidRDefault="003F26A5" w:rsidP="00AE06D3">
            <w:pPr>
              <w:shd w:val="clear" w:color="auto" w:fill="FFFFFF"/>
              <w:rPr>
                <w:rFonts w:ascii="Times New Roman" w:hAnsi="Times New Roman" w:cs="Times New Roman"/>
                <w:sz w:val="24"/>
                <w:szCs w:val="24"/>
              </w:rPr>
            </w:pPr>
            <w:r w:rsidRPr="00AE06D3">
              <w:rPr>
                <w:rFonts w:ascii="Times New Roman" w:hAnsi="Times New Roman" w:cs="Times New Roman"/>
                <w:sz w:val="24"/>
                <w:szCs w:val="24"/>
              </w:rPr>
              <w:t>Минобразования НСО</w:t>
            </w:r>
          </w:p>
        </w:tc>
        <w:tc>
          <w:tcPr>
            <w:tcW w:w="2031" w:type="pct"/>
          </w:tcPr>
          <w:p w14:paraId="4B56291A" w14:textId="77777777" w:rsidR="003F26A5" w:rsidRPr="00367300" w:rsidRDefault="003F26A5" w:rsidP="00FC74FE">
            <w:pPr>
              <w:pStyle w:val="ConsPlusNormal"/>
              <w:ind w:left="57" w:right="57" w:firstLine="340"/>
              <w:jc w:val="both"/>
              <w:rPr>
                <w:rFonts w:ascii="Times New Roman" w:hAnsi="Times New Roman" w:cs="Times New Roman"/>
                <w:sz w:val="24"/>
                <w:szCs w:val="24"/>
              </w:rPr>
            </w:pPr>
            <w:r w:rsidRPr="00FC74FE">
              <w:rPr>
                <w:rFonts w:ascii="Times New Roman" w:hAnsi="Times New Roman" w:cs="Times New Roman"/>
                <w:sz w:val="24"/>
                <w:szCs w:val="24"/>
              </w:rPr>
              <w:t>В апреле 2019 года создан сетевой межвузовский студенческий</w:t>
            </w:r>
            <w:r w:rsidRPr="009B4FC0">
              <w:rPr>
                <w:rFonts w:ascii="Times New Roman" w:hAnsi="Times New Roman" w:cs="Times New Roman"/>
                <w:sz w:val="24"/>
                <w:szCs w:val="24"/>
              </w:rPr>
              <w:t xml:space="preserve"> бизнес-инкубатор с целью обеспечения необходимой инфраструктуры для формирования и продвижения инновационных проектов и стартапов вузов г. Новосибирска. Сейчас в сетевой межвузовский бизнес-инкубатор уже входит пять вузов: НГТУ, НГАУ, НГАСУ (Сибстрин), НГ</w:t>
            </w:r>
            <w:r w:rsidRPr="00367300">
              <w:rPr>
                <w:rFonts w:ascii="Times New Roman" w:hAnsi="Times New Roman" w:cs="Times New Roman"/>
                <w:sz w:val="24"/>
                <w:szCs w:val="24"/>
              </w:rPr>
              <w:t xml:space="preserve">УАДИ, СибУПК. Участники формируют совместный календарь мероприятий и совместными усилиями работают над формированием и развитием как внутривузовских, так и межвузовских стартап-команд. Так же на базе НГТУ создана якорная площадка сетевого межвузовского бизнес-инкубатора для работы межвузовских студенческих команд, которая включает коворкинг-зону, помещение для резидентов, мастерские с оборудованием для изготовления прототипов. Ее общая площадь составляет около 500 м2. НГТУ за собственные средства произвел реконструкцию, ремонт и оснащение помещений оборудованием для успешной работы межвузовских стартап-команд. В случае дополнительного финансирования межвузовского студенческого бизнес-инкубатора возможно дооснащение помещений специализированным оборудованием для выполнения проектов межвузовскими стартап-командами.  </w:t>
            </w:r>
          </w:p>
          <w:p w14:paraId="43739693" w14:textId="77777777" w:rsidR="003F26A5" w:rsidRPr="00367300" w:rsidRDefault="003F26A5" w:rsidP="00FC74FE">
            <w:pPr>
              <w:shd w:val="clear" w:color="auto" w:fill="FFFFFF"/>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ходе работы будет формироваться продуктивная среда для общения студентов, представителей бизнеса, ученых и стартаперов, что позволит в дальнейшем обеспечить появление новых инновационных компаний в регионе и повышение инновационной активности уже действующих предприятий.</w:t>
            </w:r>
          </w:p>
        </w:tc>
      </w:tr>
      <w:tr w:rsidR="003F26A5" w:rsidRPr="00367300" w14:paraId="786623EB" w14:textId="77777777" w:rsidTr="003F26A5">
        <w:trPr>
          <w:trHeight w:val="283"/>
        </w:trPr>
        <w:tc>
          <w:tcPr>
            <w:tcW w:w="5000" w:type="pct"/>
            <w:gridSpan w:val="7"/>
            <w:shd w:val="clear" w:color="auto" w:fill="auto"/>
          </w:tcPr>
          <w:p w14:paraId="570BBD33" w14:textId="77777777" w:rsidR="003F26A5" w:rsidRPr="00367300" w:rsidRDefault="003F26A5" w:rsidP="00367300">
            <w:pPr>
              <w:autoSpaceDE w:val="0"/>
              <w:autoSpaceDN w:val="0"/>
              <w:adjustRightInd w:val="0"/>
              <w:ind w:left="57" w:firstLine="539"/>
              <w:rPr>
                <w:rFonts w:ascii="Times New Roman" w:hAnsi="Times New Roman" w:cs="Times New Roman"/>
                <w:b/>
                <w:bCs/>
                <w:sz w:val="24"/>
                <w:szCs w:val="24"/>
              </w:rPr>
            </w:pPr>
            <w:r w:rsidRPr="00367300">
              <w:rPr>
                <w:rFonts w:ascii="Times New Roman" w:hAnsi="Times New Roman" w:cs="Times New Roman"/>
                <w:b/>
                <w:bCs/>
                <w:sz w:val="24"/>
                <w:szCs w:val="24"/>
              </w:rPr>
              <w:lastRenderedPageBreak/>
              <w:t>19. Содействие созданию и развитию институтов поддержки субъектов малого предпринимательства в инновационной деятельности (прежде всего финансирование начальной стадии развития организации и гарантия непрерывности поддержки), обеспечивающих благоприятную экономическую среду для среднего и крупного бизнеса</w:t>
            </w:r>
          </w:p>
        </w:tc>
      </w:tr>
      <w:tr w:rsidR="003F26A5" w:rsidRPr="00367300" w14:paraId="53C45B11" w14:textId="77777777" w:rsidTr="003F26A5">
        <w:trPr>
          <w:gridAfter w:val="1"/>
          <w:wAfter w:w="3" w:type="pct"/>
          <w:trHeight w:val="283"/>
        </w:trPr>
        <w:tc>
          <w:tcPr>
            <w:tcW w:w="335" w:type="pct"/>
            <w:shd w:val="clear" w:color="auto" w:fill="FFFFFF" w:themeFill="background1"/>
          </w:tcPr>
          <w:p w14:paraId="017CD8C6"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19.1</w:t>
            </w:r>
          </w:p>
        </w:tc>
        <w:tc>
          <w:tcPr>
            <w:tcW w:w="1108" w:type="pct"/>
            <w:shd w:val="clear" w:color="auto" w:fill="FFFFFF" w:themeFill="background1"/>
          </w:tcPr>
          <w:p w14:paraId="2D94D4B6" w14:textId="77777777" w:rsidR="003F26A5" w:rsidRPr="00367300" w:rsidRDefault="003F26A5" w:rsidP="00367300">
            <w:pPr>
              <w:ind w:left="57" w:right="57"/>
              <w:contextualSpacing/>
              <w:jc w:val="left"/>
              <w:rPr>
                <w:rFonts w:ascii="Times New Roman" w:hAnsi="Times New Roman" w:cs="Times New Roman"/>
                <w:sz w:val="24"/>
                <w:szCs w:val="24"/>
              </w:rPr>
            </w:pPr>
            <w:r w:rsidRPr="00367300">
              <w:rPr>
                <w:rFonts w:ascii="Times New Roman" w:hAnsi="Times New Roman" w:cs="Times New Roman"/>
                <w:sz w:val="24"/>
                <w:szCs w:val="24"/>
              </w:rPr>
              <w:t xml:space="preserve">Содействие субъектам инновационной деятельности </w:t>
            </w:r>
          </w:p>
          <w:p w14:paraId="41B1071C" w14:textId="77777777" w:rsidR="003F26A5" w:rsidRPr="00367300" w:rsidRDefault="003F26A5" w:rsidP="00367300">
            <w:pPr>
              <w:ind w:left="57" w:right="57"/>
              <w:contextualSpacing/>
              <w:jc w:val="left"/>
              <w:rPr>
                <w:rFonts w:ascii="Times New Roman" w:hAnsi="Times New Roman" w:cs="Times New Roman"/>
                <w:sz w:val="24"/>
                <w:szCs w:val="24"/>
              </w:rPr>
            </w:pPr>
            <w:r w:rsidRPr="00367300">
              <w:rPr>
                <w:rFonts w:ascii="Times New Roman" w:hAnsi="Times New Roman" w:cs="Times New Roman"/>
                <w:sz w:val="24"/>
                <w:szCs w:val="24"/>
              </w:rPr>
              <w:t xml:space="preserve">в развитии и продвижении инновационных проектов </w:t>
            </w:r>
          </w:p>
          <w:p w14:paraId="3F6A9CF8" w14:textId="77777777" w:rsidR="003F26A5" w:rsidRPr="00367300" w:rsidRDefault="003F26A5" w:rsidP="00367300">
            <w:pPr>
              <w:ind w:left="57" w:right="57"/>
              <w:contextualSpacing/>
              <w:jc w:val="left"/>
              <w:rPr>
                <w:rFonts w:ascii="Times New Roman" w:hAnsi="Times New Roman" w:cs="Times New Roman"/>
                <w:sz w:val="24"/>
                <w:szCs w:val="24"/>
              </w:rPr>
            </w:pPr>
            <w:r w:rsidRPr="00367300">
              <w:rPr>
                <w:rFonts w:ascii="Times New Roman" w:hAnsi="Times New Roman" w:cs="Times New Roman"/>
                <w:sz w:val="24"/>
                <w:szCs w:val="24"/>
              </w:rPr>
              <w:t xml:space="preserve">и созданию условий </w:t>
            </w:r>
          </w:p>
          <w:p w14:paraId="7814A584" w14:textId="77777777" w:rsidR="003F26A5" w:rsidRPr="00891093" w:rsidRDefault="003F26A5" w:rsidP="00891093">
            <w:pPr>
              <w:ind w:left="57" w:right="57"/>
              <w:contextualSpacing/>
              <w:jc w:val="left"/>
              <w:rPr>
                <w:rFonts w:ascii="Times New Roman" w:hAnsi="Times New Roman" w:cs="Times New Roman"/>
                <w:bCs/>
                <w:sz w:val="24"/>
                <w:szCs w:val="24"/>
              </w:rPr>
            </w:pPr>
            <w:r w:rsidRPr="00891093">
              <w:rPr>
                <w:rFonts w:ascii="Times New Roman" w:hAnsi="Times New Roman" w:cs="Times New Roman"/>
                <w:sz w:val="24"/>
                <w:szCs w:val="24"/>
              </w:rPr>
              <w:t>для инновационного развития предприятий</w:t>
            </w:r>
          </w:p>
        </w:tc>
        <w:tc>
          <w:tcPr>
            <w:tcW w:w="723" w:type="pct"/>
            <w:shd w:val="clear" w:color="auto" w:fill="FFFFFF" w:themeFill="background1"/>
          </w:tcPr>
          <w:p w14:paraId="4B1EA779" w14:textId="77777777" w:rsidR="003F26A5" w:rsidRPr="00891093" w:rsidRDefault="003F26A5" w:rsidP="00891093">
            <w:pPr>
              <w:autoSpaceDE w:val="0"/>
              <w:autoSpaceDN w:val="0"/>
              <w:adjustRightInd w:val="0"/>
              <w:contextualSpacing/>
              <w:rPr>
                <w:rFonts w:ascii="Times New Roman" w:hAnsi="Times New Roman" w:cs="Times New Roman"/>
                <w:sz w:val="24"/>
                <w:szCs w:val="24"/>
              </w:rPr>
            </w:pPr>
            <w:r w:rsidRPr="00891093">
              <w:rPr>
                <w:rFonts w:ascii="Times New Roman" w:hAnsi="Times New Roman" w:cs="Times New Roman"/>
                <w:sz w:val="24"/>
                <w:szCs w:val="24"/>
              </w:rPr>
              <w:t xml:space="preserve">Подготовка проектов субъектов инновационной деятельности к участию </w:t>
            </w:r>
          </w:p>
          <w:p w14:paraId="720BA3CC" w14:textId="77777777" w:rsidR="003F26A5" w:rsidRPr="00891093" w:rsidRDefault="003F26A5" w:rsidP="00891093">
            <w:pPr>
              <w:autoSpaceDE w:val="0"/>
              <w:autoSpaceDN w:val="0"/>
              <w:adjustRightInd w:val="0"/>
              <w:contextualSpacing/>
              <w:rPr>
                <w:rFonts w:ascii="Times New Roman" w:hAnsi="Times New Roman" w:cs="Times New Roman"/>
                <w:sz w:val="24"/>
                <w:szCs w:val="24"/>
              </w:rPr>
            </w:pPr>
            <w:r w:rsidRPr="00891093">
              <w:rPr>
                <w:rFonts w:ascii="Times New Roman" w:hAnsi="Times New Roman" w:cs="Times New Roman"/>
                <w:sz w:val="24"/>
                <w:szCs w:val="24"/>
              </w:rPr>
              <w:t>в конкурсах и представлению инвесторам:</w:t>
            </w:r>
          </w:p>
          <w:p w14:paraId="4397B6F4" w14:textId="77777777" w:rsidR="003F26A5" w:rsidRPr="00891093" w:rsidRDefault="003F26A5" w:rsidP="00891093">
            <w:pPr>
              <w:autoSpaceDE w:val="0"/>
              <w:autoSpaceDN w:val="0"/>
              <w:adjustRightInd w:val="0"/>
              <w:contextualSpacing/>
              <w:rPr>
                <w:rFonts w:ascii="Times New Roman" w:hAnsi="Times New Roman" w:cs="Times New Roman"/>
                <w:sz w:val="24"/>
                <w:szCs w:val="24"/>
              </w:rPr>
            </w:pPr>
            <w:r w:rsidRPr="00891093">
              <w:rPr>
                <w:rFonts w:ascii="Times New Roman" w:hAnsi="Times New Roman" w:cs="Times New Roman"/>
                <w:sz w:val="24"/>
                <w:szCs w:val="24"/>
              </w:rPr>
              <w:t xml:space="preserve">инновационных проектов </w:t>
            </w:r>
          </w:p>
          <w:p w14:paraId="2E529392" w14:textId="77777777" w:rsidR="003F26A5" w:rsidRPr="00AE06D3" w:rsidRDefault="003F26A5" w:rsidP="00AE06D3">
            <w:pPr>
              <w:autoSpaceDE w:val="0"/>
              <w:autoSpaceDN w:val="0"/>
              <w:adjustRightInd w:val="0"/>
              <w:contextualSpacing/>
              <w:rPr>
                <w:rFonts w:ascii="Times New Roman" w:hAnsi="Times New Roman" w:cs="Times New Roman"/>
                <w:sz w:val="24"/>
                <w:szCs w:val="24"/>
              </w:rPr>
            </w:pPr>
            <w:r w:rsidRPr="00AE06D3">
              <w:rPr>
                <w:rFonts w:ascii="Times New Roman" w:hAnsi="Times New Roman" w:cs="Times New Roman"/>
                <w:sz w:val="24"/>
                <w:szCs w:val="24"/>
              </w:rPr>
              <w:t>на ярмарках, выставках, форумах;</w:t>
            </w:r>
          </w:p>
          <w:p w14:paraId="30F41537" w14:textId="77777777" w:rsidR="003F26A5" w:rsidRPr="00FC74FE" w:rsidRDefault="003F26A5" w:rsidP="00FC74FE">
            <w:pPr>
              <w:autoSpaceDE w:val="0"/>
              <w:autoSpaceDN w:val="0"/>
              <w:adjustRightInd w:val="0"/>
              <w:contextualSpacing/>
              <w:rPr>
                <w:rFonts w:ascii="Times New Roman" w:hAnsi="Times New Roman" w:cs="Times New Roman"/>
                <w:sz w:val="24"/>
                <w:szCs w:val="24"/>
              </w:rPr>
            </w:pPr>
            <w:r w:rsidRPr="00FC74FE">
              <w:rPr>
                <w:rFonts w:ascii="Times New Roman" w:hAnsi="Times New Roman" w:cs="Times New Roman"/>
                <w:sz w:val="24"/>
                <w:szCs w:val="24"/>
              </w:rPr>
              <w:t>проектов бизнес-планов инновационных проектов.</w:t>
            </w:r>
          </w:p>
          <w:p w14:paraId="1EDEBC45" w14:textId="77777777" w:rsidR="003F26A5" w:rsidRPr="00367300" w:rsidRDefault="003F26A5" w:rsidP="009B4FC0">
            <w:pPr>
              <w:contextualSpacing/>
              <w:rPr>
                <w:rFonts w:ascii="Times New Roman" w:hAnsi="Times New Roman" w:cs="Times New Roman"/>
                <w:sz w:val="24"/>
                <w:szCs w:val="24"/>
              </w:rPr>
            </w:pPr>
            <w:r w:rsidRPr="009B4FC0">
              <w:rPr>
                <w:rFonts w:ascii="Times New Roman" w:hAnsi="Times New Roman" w:cs="Times New Roman"/>
                <w:sz w:val="24"/>
                <w:szCs w:val="24"/>
              </w:rPr>
              <w:t>Обеспеч</w:t>
            </w:r>
            <w:r w:rsidRPr="00367300">
              <w:rPr>
                <w:rFonts w:ascii="Times New Roman" w:hAnsi="Times New Roman" w:cs="Times New Roman"/>
                <w:sz w:val="24"/>
                <w:szCs w:val="24"/>
              </w:rPr>
              <w:t xml:space="preserve">ение организации и проведения обучающих мероприятий </w:t>
            </w:r>
          </w:p>
          <w:p w14:paraId="61E95C03" w14:textId="77777777" w:rsidR="003F26A5" w:rsidRPr="00367300" w:rsidRDefault="003F26A5">
            <w:pPr>
              <w:contextualSpacing/>
              <w:rPr>
                <w:rFonts w:ascii="Times New Roman" w:hAnsi="Times New Roman" w:cs="Times New Roman"/>
                <w:sz w:val="24"/>
                <w:szCs w:val="24"/>
              </w:rPr>
            </w:pPr>
            <w:r w:rsidRPr="00367300">
              <w:rPr>
                <w:rFonts w:ascii="Times New Roman" w:hAnsi="Times New Roman" w:cs="Times New Roman"/>
                <w:sz w:val="24"/>
                <w:szCs w:val="24"/>
              </w:rPr>
              <w:t xml:space="preserve">для представителей инновационных компаний </w:t>
            </w:r>
          </w:p>
          <w:p w14:paraId="507BBABA" w14:textId="77777777" w:rsidR="003F26A5" w:rsidRPr="00367300" w:rsidRDefault="003F26A5">
            <w:pPr>
              <w:contextualSpacing/>
              <w:rPr>
                <w:rFonts w:ascii="Times New Roman" w:hAnsi="Times New Roman" w:cs="Times New Roman"/>
                <w:bCs/>
                <w:sz w:val="24"/>
                <w:szCs w:val="24"/>
              </w:rPr>
            </w:pPr>
            <w:r w:rsidRPr="00367300">
              <w:rPr>
                <w:rFonts w:ascii="Times New Roman" w:hAnsi="Times New Roman" w:cs="Times New Roman"/>
                <w:sz w:val="24"/>
                <w:szCs w:val="24"/>
              </w:rPr>
              <w:t xml:space="preserve">по вопросам развития и продвижения инновационных проектов – не менее </w:t>
            </w:r>
            <w:r w:rsidRPr="00367300">
              <w:rPr>
                <w:rFonts w:ascii="Times New Roman" w:hAnsi="Times New Roman" w:cs="Times New Roman"/>
                <w:sz w:val="24"/>
                <w:szCs w:val="24"/>
              </w:rPr>
              <w:lastRenderedPageBreak/>
              <w:t>5 мероприятий в виде тренингов, коучингов, семинаров (ежегодно)</w:t>
            </w:r>
          </w:p>
        </w:tc>
        <w:tc>
          <w:tcPr>
            <w:tcW w:w="337" w:type="pct"/>
            <w:shd w:val="clear" w:color="auto" w:fill="FFFFFF" w:themeFill="background1"/>
          </w:tcPr>
          <w:p w14:paraId="35B75108" w14:textId="77777777" w:rsidR="003F26A5" w:rsidRPr="00367300" w:rsidRDefault="003F26A5">
            <w:pPr>
              <w:contextualSpacing/>
              <w:rPr>
                <w:rFonts w:ascii="Times New Roman" w:hAnsi="Times New Roman" w:cs="Times New Roman"/>
                <w:bCs/>
                <w:sz w:val="24"/>
                <w:szCs w:val="24"/>
              </w:rPr>
            </w:pPr>
            <w:r w:rsidRPr="00367300">
              <w:rPr>
                <w:rFonts w:ascii="Times New Roman" w:hAnsi="Times New Roman" w:cs="Times New Roman"/>
                <w:sz w:val="24"/>
                <w:szCs w:val="24"/>
              </w:rPr>
              <w:lastRenderedPageBreak/>
              <w:t>2020-2022 годы</w:t>
            </w:r>
          </w:p>
        </w:tc>
        <w:tc>
          <w:tcPr>
            <w:tcW w:w="463" w:type="pct"/>
            <w:shd w:val="clear" w:color="auto" w:fill="FFFFFF" w:themeFill="background1"/>
          </w:tcPr>
          <w:p w14:paraId="54AC631E" w14:textId="77777777" w:rsidR="003F26A5" w:rsidRPr="00367300" w:rsidRDefault="003F26A5">
            <w:pPr>
              <w:autoSpaceDE w:val="0"/>
              <w:autoSpaceDN w:val="0"/>
              <w:adjustRightInd w:val="0"/>
              <w:contextualSpacing/>
              <w:rPr>
                <w:rFonts w:ascii="Times New Roman" w:hAnsi="Times New Roman" w:cs="Times New Roman"/>
                <w:sz w:val="24"/>
                <w:szCs w:val="24"/>
              </w:rPr>
            </w:pPr>
            <w:r w:rsidRPr="00367300">
              <w:rPr>
                <w:rFonts w:ascii="Times New Roman" w:hAnsi="Times New Roman" w:cs="Times New Roman"/>
                <w:sz w:val="24"/>
                <w:szCs w:val="24"/>
              </w:rPr>
              <w:t>ГАУ НСО «Новосибирский областной инновационный фонд»</w:t>
            </w:r>
          </w:p>
          <w:p w14:paraId="74634D1D" w14:textId="77777777" w:rsidR="003F26A5" w:rsidRPr="00367300" w:rsidRDefault="003F26A5">
            <w:pPr>
              <w:autoSpaceDE w:val="0"/>
              <w:autoSpaceDN w:val="0"/>
              <w:adjustRightInd w:val="0"/>
              <w:contextualSpacing/>
              <w:rPr>
                <w:rFonts w:ascii="Times New Roman" w:hAnsi="Times New Roman" w:cs="Times New Roman"/>
                <w:sz w:val="24"/>
                <w:szCs w:val="24"/>
              </w:rPr>
            </w:pPr>
            <w:r w:rsidRPr="00367300">
              <w:rPr>
                <w:rFonts w:ascii="Times New Roman" w:hAnsi="Times New Roman" w:cs="Times New Roman"/>
                <w:sz w:val="24"/>
                <w:szCs w:val="24"/>
              </w:rPr>
              <w:t>(по согласованию),</w:t>
            </w:r>
          </w:p>
          <w:p w14:paraId="20923BDC" w14:textId="77777777" w:rsidR="003F26A5" w:rsidRPr="00367300" w:rsidRDefault="00E3307E">
            <w:pPr>
              <w:shd w:val="clear" w:color="auto" w:fill="FFFFFF"/>
              <w:rPr>
                <w:rFonts w:ascii="Times New Roman" w:hAnsi="Times New Roman" w:cs="Times New Roman"/>
                <w:bCs/>
                <w:sz w:val="24"/>
                <w:szCs w:val="24"/>
              </w:rPr>
            </w:pPr>
            <w:hyperlink r:id="rId123" w:history="1">
              <w:r w:rsidR="003F26A5" w:rsidRPr="00367300">
                <w:rPr>
                  <w:rFonts w:ascii="Times New Roman" w:hAnsi="Times New Roman" w:cs="Times New Roman"/>
                  <w:sz w:val="24"/>
                  <w:szCs w:val="24"/>
                </w:rPr>
                <w:t>Миннауки НСО</w:t>
              </w:r>
            </w:hyperlink>
          </w:p>
        </w:tc>
        <w:tc>
          <w:tcPr>
            <w:tcW w:w="2031" w:type="pct"/>
            <w:shd w:val="clear" w:color="auto" w:fill="FFFFFF" w:themeFill="background1"/>
          </w:tcPr>
          <w:p w14:paraId="250F372C" w14:textId="77777777" w:rsidR="003F26A5" w:rsidRPr="00367300" w:rsidRDefault="003F26A5">
            <w:pPr>
              <w:autoSpaceDE w:val="0"/>
              <w:autoSpaceDN w:val="0"/>
              <w:adjustRightInd w:val="0"/>
              <w:ind w:left="57" w:firstLine="340"/>
              <w:contextualSpacing/>
              <w:rPr>
                <w:rFonts w:ascii="Times New Roman" w:hAnsi="Times New Roman" w:cs="Times New Roman"/>
                <w:sz w:val="24"/>
                <w:szCs w:val="24"/>
              </w:rPr>
            </w:pPr>
            <w:r w:rsidRPr="00367300">
              <w:rPr>
                <w:rFonts w:ascii="Times New Roman" w:hAnsi="Times New Roman" w:cs="Times New Roman"/>
                <w:sz w:val="24"/>
                <w:szCs w:val="24"/>
              </w:rPr>
              <w:t>Срок реализации мероприятия – 2020-2022 годы</w:t>
            </w:r>
            <w:r w:rsidR="00A55AC7" w:rsidRPr="00367300">
              <w:rPr>
                <w:rFonts w:ascii="Times New Roman" w:hAnsi="Times New Roman" w:cs="Times New Roman"/>
                <w:sz w:val="24"/>
                <w:szCs w:val="24"/>
              </w:rPr>
              <w:t>.</w:t>
            </w:r>
          </w:p>
        </w:tc>
      </w:tr>
      <w:tr w:rsidR="003F26A5" w:rsidRPr="00367300" w14:paraId="7301F85F" w14:textId="77777777" w:rsidTr="003F26A5">
        <w:trPr>
          <w:gridAfter w:val="1"/>
          <w:wAfter w:w="3" w:type="pct"/>
          <w:trHeight w:val="283"/>
        </w:trPr>
        <w:tc>
          <w:tcPr>
            <w:tcW w:w="335" w:type="pct"/>
          </w:tcPr>
          <w:p w14:paraId="2EE66AFA"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19.2</w:t>
            </w:r>
          </w:p>
        </w:tc>
        <w:tc>
          <w:tcPr>
            <w:tcW w:w="1108" w:type="pct"/>
          </w:tcPr>
          <w:p w14:paraId="58A2BD74" w14:textId="77777777" w:rsidR="003F26A5" w:rsidRPr="00367300" w:rsidRDefault="003F26A5" w:rsidP="00367300">
            <w:pPr>
              <w:autoSpaceDE w:val="0"/>
              <w:autoSpaceDN w:val="0"/>
              <w:adjustRightInd w:val="0"/>
              <w:ind w:left="57" w:right="57"/>
              <w:jc w:val="left"/>
              <w:rPr>
                <w:rFonts w:ascii="Times New Roman" w:hAnsi="Times New Roman" w:cs="Times New Roman"/>
                <w:sz w:val="24"/>
                <w:szCs w:val="24"/>
              </w:rPr>
            </w:pPr>
            <w:r w:rsidRPr="00367300">
              <w:rPr>
                <w:rFonts w:ascii="Times New Roman" w:hAnsi="Times New Roman" w:cs="Times New Roman"/>
                <w:sz w:val="24"/>
                <w:szCs w:val="24"/>
              </w:rPr>
              <w:t>Проведение форума технологического развития «Технопром»</w:t>
            </w:r>
          </w:p>
        </w:tc>
        <w:tc>
          <w:tcPr>
            <w:tcW w:w="723" w:type="pct"/>
          </w:tcPr>
          <w:p w14:paraId="764AF3AA" w14:textId="77777777" w:rsidR="003F26A5" w:rsidRPr="00367300" w:rsidRDefault="003F26A5" w:rsidP="00367300">
            <w:pPr>
              <w:autoSpaceDE w:val="0"/>
              <w:autoSpaceDN w:val="0"/>
              <w:adjustRightInd w:val="0"/>
              <w:rPr>
                <w:rFonts w:ascii="Times New Roman" w:hAnsi="Times New Roman" w:cs="Times New Roman"/>
                <w:sz w:val="24"/>
                <w:szCs w:val="24"/>
              </w:rPr>
            </w:pPr>
            <w:r w:rsidRPr="00367300">
              <w:rPr>
                <w:rFonts w:ascii="Times New Roman" w:hAnsi="Times New Roman" w:cs="Times New Roman"/>
                <w:sz w:val="24"/>
                <w:szCs w:val="24"/>
              </w:rPr>
              <w:t>Продвижение отечественных научных разработок и инноваций</w:t>
            </w:r>
          </w:p>
        </w:tc>
        <w:tc>
          <w:tcPr>
            <w:tcW w:w="337" w:type="pct"/>
          </w:tcPr>
          <w:p w14:paraId="3472A982" w14:textId="77777777" w:rsidR="003F26A5" w:rsidRPr="00367300" w:rsidRDefault="003F26A5" w:rsidP="00367300">
            <w:pPr>
              <w:contextualSpacing/>
              <w:rPr>
                <w:rFonts w:ascii="Times New Roman" w:hAnsi="Times New Roman" w:cs="Times New Roman"/>
                <w:sz w:val="24"/>
                <w:szCs w:val="24"/>
              </w:rPr>
            </w:pPr>
            <w:r w:rsidRPr="00367300">
              <w:rPr>
                <w:rFonts w:ascii="Times New Roman" w:hAnsi="Times New Roman" w:cs="Times New Roman"/>
                <w:sz w:val="24"/>
                <w:szCs w:val="24"/>
              </w:rPr>
              <w:t>Ежегодно</w:t>
            </w:r>
          </w:p>
        </w:tc>
        <w:tc>
          <w:tcPr>
            <w:tcW w:w="463" w:type="pct"/>
          </w:tcPr>
          <w:p w14:paraId="2DDDB7AB" w14:textId="77777777" w:rsidR="003F26A5" w:rsidRPr="00891093" w:rsidRDefault="003F26A5" w:rsidP="00891093">
            <w:pPr>
              <w:autoSpaceDE w:val="0"/>
              <w:autoSpaceDN w:val="0"/>
              <w:adjustRightInd w:val="0"/>
              <w:contextualSpacing/>
              <w:rPr>
                <w:rFonts w:ascii="Times New Roman" w:hAnsi="Times New Roman" w:cs="Times New Roman"/>
                <w:sz w:val="24"/>
                <w:szCs w:val="24"/>
              </w:rPr>
            </w:pPr>
            <w:r w:rsidRPr="00891093">
              <w:rPr>
                <w:rFonts w:ascii="Times New Roman" w:hAnsi="Times New Roman" w:cs="Times New Roman"/>
                <w:sz w:val="24"/>
                <w:szCs w:val="24"/>
              </w:rPr>
              <w:t>Минэкономразвития НСО,</w:t>
            </w:r>
          </w:p>
          <w:p w14:paraId="2DDBF3FD" w14:textId="77777777" w:rsidR="003F26A5" w:rsidRPr="00891093" w:rsidRDefault="003F26A5" w:rsidP="00891093">
            <w:pPr>
              <w:autoSpaceDE w:val="0"/>
              <w:autoSpaceDN w:val="0"/>
              <w:adjustRightInd w:val="0"/>
              <w:contextualSpacing/>
              <w:rPr>
                <w:rFonts w:ascii="Times New Roman" w:hAnsi="Times New Roman" w:cs="Times New Roman"/>
                <w:sz w:val="24"/>
                <w:szCs w:val="24"/>
              </w:rPr>
            </w:pPr>
            <w:r w:rsidRPr="00891093">
              <w:rPr>
                <w:rFonts w:ascii="Times New Roman" w:hAnsi="Times New Roman" w:cs="Times New Roman"/>
                <w:sz w:val="24"/>
                <w:szCs w:val="24"/>
              </w:rPr>
              <w:t>Минпромторг НСО,</w:t>
            </w:r>
          </w:p>
          <w:p w14:paraId="6A2BF4B8" w14:textId="77777777" w:rsidR="003F26A5" w:rsidRPr="00367300" w:rsidRDefault="00E3307E" w:rsidP="00891093">
            <w:pPr>
              <w:shd w:val="clear" w:color="auto" w:fill="FFFFFF"/>
              <w:rPr>
                <w:rFonts w:ascii="Times New Roman" w:hAnsi="Times New Roman" w:cs="Times New Roman"/>
                <w:sz w:val="24"/>
                <w:szCs w:val="24"/>
              </w:rPr>
            </w:pPr>
            <w:hyperlink r:id="rId124" w:history="1">
              <w:r w:rsidR="003F26A5" w:rsidRPr="00367300">
                <w:rPr>
                  <w:rFonts w:ascii="Times New Roman" w:hAnsi="Times New Roman" w:cs="Times New Roman"/>
                  <w:sz w:val="24"/>
                  <w:szCs w:val="24"/>
                </w:rPr>
                <w:t>Миннауки НСО</w:t>
              </w:r>
            </w:hyperlink>
            <w:r w:rsidR="003F26A5" w:rsidRPr="00367300">
              <w:rPr>
                <w:rFonts w:ascii="Times New Roman" w:hAnsi="Times New Roman" w:cs="Times New Roman"/>
                <w:sz w:val="24"/>
                <w:szCs w:val="24"/>
              </w:rPr>
              <w:t>,</w:t>
            </w:r>
          </w:p>
          <w:p w14:paraId="33581F72" w14:textId="77777777" w:rsidR="003F26A5" w:rsidRPr="00367300" w:rsidRDefault="003F26A5" w:rsidP="00891093">
            <w:pPr>
              <w:autoSpaceDE w:val="0"/>
              <w:autoSpaceDN w:val="0"/>
              <w:adjustRightInd w:val="0"/>
              <w:contextualSpacing/>
              <w:rPr>
                <w:rFonts w:ascii="Times New Roman" w:hAnsi="Times New Roman" w:cs="Times New Roman"/>
                <w:sz w:val="24"/>
                <w:szCs w:val="24"/>
              </w:rPr>
            </w:pPr>
            <w:r w:rsidRPr="00367300">
              <w:rPr>
                <w:rFonts w:ascii="Times New Roman" w:hAnsi="Times New Roman" w:cs="Times New Roman"/>
                <w:sz w:val="24"/>
                <w:szCs w:val="24"/>
              </w:rPr>
              <w:t>Минцифра НСО</w:t>
            </w:r>
          </w:p>
        </w:tc>
        <w:tc>
          <w:tcPr>
            <w:tcW w:w="2031" w:type="pct"/>
          </w:tcPr>
          <w:p w14:paraId="56BB21C5" w14:textId="77777777" w:rsidR="003F26A5" w:rsidRPr="00367300" w:rsidRDefault="003F26A5" w:rsidP="00891093">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VII Международная выставка технологического развития состоялась 18.09.2019 - 20.09.2019.</w:t>
            </w:r>
          </w:p>
          <w:p w14:paraId="640B55BC" w14:textId="77777777" w:rsidR="003F26A5" w:rsidRPr="00891093" w:rsidRDefault="003F26A5" w:rsidP="00AE06D3">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В рамках </w:t>
            </w:r>
            <w:r w:rsidRPr="00891093">
              <w:rPr>
                <w:rFonts w:ascii="Times New Roman" w:hAnsi="Times New Roman" w:cs="Times New Roman"/>
                <w:sz w:val="24"/>
                <w:szCs w:val="24"/>
              </w:rPr>
              <w:t xml:space="preserve">форума технологического развития «Технопром-2019» была организована выставка. На территории выставки были размещены 65 компаний-экспонентов, в том числе на едином стенде Новосибирской области: </w:t>
            </w:r>
          </w:p>
          <w:p w14:paraId="21E4FEF7" w14:textId="77777777" w:rsidR="003F26A5" w:rsidRPr="00891093" w:rsidRDefault="003F26A5" w:rsidP="00FC74FE">
            <w:pPr>
              <w:autoSpaceDE w:val="0"/>
              <w:autoSpaceDN w:val="0"/>
              <w:adjustRightInd w:val="0"/>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АО «СКТБ «Катализатор»;</w:t>
            </w:r>
          </w:p>
          <w:p w14:paraId="69161242" w14:textId="77777777" w:rsidR="003F26A5" w:rsidRPr="00AE06D3" w:rsidRDefault="003F26A5" w:rsidP="009B4FC0">
            <w:pPr>
              <w:autoSpaceDE w:val="0"/>
              <w:autoSpaceDN w:val="0"/>
              <w:adjustRightInd w:val="0"/>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 xml:space="preserve">АО Ситроникс, </w:t>
            </w:r>
            <w:r w:rsidR="00ED2DB5" w:rsidRPr="00891093">
              <w:rPr>
                <w:rFonts w:ascii="Times New Roman" w:hAnsi="Times New Roman" w:cs="Times New Roman"/>
                <w:sz w:val="24"/>
                <w:szCs w:val="24"/>
              </w:rPr>
              <w:t>НППА, ООО</w:t>
            </w:r>
            <w:r w:rsidRPr="00AE06D3">
              <w:rPr>
                <w:rFonts w:ascii="Times New Roman" w:hAnsi="Times New Roman" w:cs="Times New Roman"/>
                <w:sz w:val="24"/>
                <w:szCs w:val="24"/>
              </w:rPr>
              <w:t xml:space="preserve"> «Новотелеком»; </w:t>
            </w:r>
          </w:p>
          <w:p w14:paraId="0EC76797" w14:textId="77777777" w:rsidR="003F26A5" w:rsidRPr="009B4FC0" w:rsidRDefault="003F26A5">
            <w:pPr>
              <w:autoSpaceDE w:val="0"/>
              <w:autoSpaceDN w:val="0"/>
              <w:adjustRightInd w:val="0"/>
              <w:ind w:left="57" w:right="57" w:firstLine="340"/>
              <w:jc w:val="both"/>
              <w:rPr>
                <w:rFonts w:ascii="Times New Roman" w:hAnsi="Times New Roman" w:cs="Times New Roman"/>
                <w:sz w:val="24"/>
                <w:szCs w:val="24"/>
              </w:rPr>
            </w:pPr>
            <w:r w:rsidRPr="00FC74FE">
              <w:rPr>
                <w:rFonts w:ascii="Times New Roman" w:hAnsi="Times New Roman" w:cs="Times New Roman"/>
                <w:sz w:val="24"/>
                <w:szCs w:val="24"/>
              </w:rPr>
              <w:t xml:space="preserve">ФГБУ «НМИЦ им. ак. Е.Н. </w:t>
            </w:r>
            <w:r w:rsidRPr="009B4FC0">
              <w:rPr>
                <w:rFonts w:ascii="Times New Roman" w:hAnsi="Times New Roman" w:cs="Times New Roman"/>
                <w:sz w:val="24"/>
                <w:szCs w:val="24"/>
              </w:rPr>
              <w:t xml:space="preserve">Мешалкина»; </w:t>
            </w:r>
          </w:p>
          <w:p w14:paraId="12DDB7C4"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АО «Вектор-БиАльгам»; </w:t>
            </w:r>
          </w:p>
          <w:p w14:paraId="5EDF9E9C"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АО «Вектор Медика»; </w:t>
            </w:r>
          </w:p>
          <w:p w14:paraId="43D4C0A8"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ООО «Эндосервис»; </w:t>
            </w:r>
          </w:p>
          <w:p w14:paraId="53EFBBC8"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Компания OCSiAl;  </w:t>
            </w:r>
          </w:p>
          <w:p w14:paraId="2F03BDD3"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АО «Экран оптические системы»; </w:t>
            </w:r>
          </w:p>
          <w:p w14:paraId="3D961D25"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ООО «ФайберТрейд».</w:t>
            </w:r>
          </w:p>
          <w:p w14:paraId="42E8F7F2"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Общая площадь, занимаемая экспонентами, составила 1274 кв.м.</w:t>
            </w:r>
          </w:p>
          <w:p w14:paraId="7E7CE124" w14:textId="77777777" w:rsidR="003F26A5" w:rsidRPr="00367300" w:rsidRDefault="003F26A5">
            <w:pPr>
              <w:autoSpaceDE w:val="0"/>
              <w:autoSpaceDN w:val="0"/>
              <w:adjustRightInd w:val="0"/>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Среди иностранных компаний в выставке приняла участие компания Cisco (Франция), которая является мировым лидером в области информационных технологий.</w:t>
            </w:r>
          </w:p>
          <w:p w14:paraId="17D6274E" w14:textId="77777777" w:rsidR="003F26A5" w:rsidRPr="00367300" w:rsidRDefault="003F26A5">
            <w:pPr>
              <w:autoSpaceDE w:val="0"/>
              <w:autoSpaceDN w:val="0"/>
              <w:adjustRightInd w:val="0"/>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По итогам форума было подписано 23 соглашения о сотрудничестве. В рамках Форума состоялась организованная ГАУ НСО «Новосибирский областной инновационный фонд» Сибирская венчурная ярмарка, в которой приняли участие свыше 60 спикеров и более 400 участников. Экспозиции своих разработок представили </w:t>
            </w:r>
            <w:r w:rsidRPr="00367300">
              <w:rPr>
                <w:rFonts w:ascii="Times New Roman" w:hAnsi="Times New Roman" w:cs="Times New Roman"/>
                <w:sz w:val="24"/>
                <w:szCs w:val="24"/>
              </w:rPr>
              <w:lastRenderedPageBreak/>
              <w:t>20 инновационных компаний. Объем инвестиций, привлеченных - 8 компаниями сектора технологических инноваций благодаря проведению Сибирской венчурной ярмарки за прошедшие два года, составил 223 млн. руб.</w:t>
            </w:r>
          </w:p>
          <w:p w14:paraId="0DAE8D51" w14:textId="77777777" w:rsidR="003F26A5" w:rsidRPr="00367300" w:rsidRDefault="003F26A5">
            <w:pPr>
              <w:pStyle w:val="ConsPlusNormal"/>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2019 году состоялся международный Сибирский Форум «Индустрия Информационных Систем» – одно из крупнейших в России отраслевых мероприятий, как мероприятие-спутник международного форума технологического развития «Технопром-2019».</w:t>
            </w:r>
          </w:p>
          <w:p w14:paraId="7C7015D1" w14:textId="77777777" w:rsidR="003F26A5" w:rsidRPr="00367300" w:rsidRDefault="003F26A5">
            <w:pPr>
              <w:autoSpaceDE w:val="0"/>
              <w:autoSpaceDN w:val="0"/>
              <w:adjustRightInd w:val="0"/>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Основными темами форума стали: развитие экспорта ИТ-услуг, информационные технологии в науке и образовании, развитие креативных индустрий, искусственного интеллекта в геоинформационных системах. Разработкам компаний сферы информационных технологий была посвящена выставка «Войти в АйТи».</w:t>
            </w:r>
          </w:p>
        </w:tc>
      </w:tr>
      <w:tr w:rsidR="003F26A5" w:rsidRPr="00367300" w14:paraId="538A6138" w14:textId="77777777" w:rsidTr="003F26A5">
        <w:trPr>
          <w:gridAfter w:val="1"/>
          <w:wAfter w:w="3" w:type="pct"/>
          <w:trHeight w:val="283"/>
        </w:trPr>
        <w:tc>
          <w:tcPr>
            <w:tcW w:w="335" w:type="pct"/>
          </w:tcPr>
          <w:p w14:paraId="2DA241AF"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19.3</w:t>
            </w:r>
          </w:p>
        </w:tc>
        <w:tc>
          <w:tcPr>
            <w:tcW w:w="1108" w:type="pct"/>
          </w:tcPr>
          <w:p w14:paraId="44BEA313"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Проведение ежегодного Международного форума индустриально-парковых проектов «InPark»</w:t>
            </w:r>
          </w:p>
        </w:tc>
        <w:tc>
          <w:tcPr>
            <w:tcW w:w="723" w:type="pct"/>
          </w:tcPr>
          <w:p w14:paraId="6082FB33" w14:textId="77777777" w:rsidR="003F26A5" w:rsidRPr="00367300" w:rsidRDefault="003F26A5" w:rsidP="00367300">
            <w:pPr>
              <w:autoSpaceDE w:val="0"/>
              <w:autoSpaceDN w:val="0"/>
              <w:adjustRightInd w:val="0"/>
              <w:rPr>
                <w:rFonts w:ascii="Times New Roman" w:hAnsi="Times New Roman" w:cs="Times New Roman"/>
                <w:sz w:val="24"/>
                <w:szCs w:val="24"/>
              </w:rPr>
            </w:pPr>
            <w:r w:rsidRPr="00367300">
              <w:rPr>
                <w:rFonts w:ascii="Times New Roman" w:hAnsi="Times New Roman" w:cs="Times New Roman"/>
                <w:sz w:val="24"/>
                <w:szCs w:val="24"/>
              </w:rPr>
              <w:t>Повышение инновационной активности и ее поддержка</w:t>
            </w:r>
          </w:p>
        </w:tc>
        <w:tc>
          <w:tcPr>
            <w:tcW w:w="337" w:type="pct"/>
          </w:tcPr>
          <w:p w14:paraId="1BEBB191" w14:textId="77777777" w:rsidR="003F26A5" w:rsidRPr="00367300" w:rsidRDefault="003F26A5" w:rsidP="00367300">
            <w:pPr>
              <w:contextualSpacing/>
              <w:rPr>
                <w:rFonts w:ascii="Times New Roman" w:hAnsi="Times New Roman" w:cs="Times New Roman"/>
                <w:sz w:val="24"/>
                <w:szCs w:val="24"/>
              </w:rPr>
            </w:pPr>
            <w:r w:rsidRPr="00367300">
              <w:rPr>
                <w:rFonts w:ascii="Times New Roman" w:hAnsi="Times New Roman" w:cs="Times New Roman"/>
                <w:sz w:val="24"/>
                <w:szCs w:val="24"/>
              </w:rPr>
              <w:t>Ежегодно</w:t>
            </w:r>
          </w:p>
        </w:tc>
        <w:tc>
          <w:tcPr>
            <w:tcW w:w="463" w:type="pct"/>
          </w:tcPr>
          <w:p w14:paraId="3C07B994" w14:textId="77777777" w:rsidR="003F26A5" w:rsidRPr="00891093" w:rsidRDefault="003F26A5" w:rsidP="00891093">
            <w:pPr>
              <w:autoSpaceDE w:val="0"/>
              <w:autoSpaceDN w:val="0"/>
              <w:adjustRightInd w:val="0"/>
              <w:contextualSpacing/>
              <w:rPr>
                <w:rFonts w:ascii="Times New Roman" w:hAnsi="Times New Roman" w:cs="Times New Roman"/>
                <w:sz w:val="24"/>
                <w:szCs w:val="24"/>
              </w:rPr>
            </w:pPr>
            <w:r w:rsidRPr="00891093">
              <w:rPr>
                <w:rFonts w:ascii="Times New Roman" w:hAnsi="Times New Roman" w:cs="Times New Roman"/>
                <w:sz w:val="24"/>
                <w:szCs w:val="24"/>
              </w:rPr>
              <w:t>АО «Агентство инвестиционного развития Новосибирской области»</w:t>
            </w:r>
          </w:p>
        </w:tc>
        <w:tc>
          <w:tcPr>
            <w:tcW w:w="2031" w:type="pct"/>
          </w:tcPr>
          <w:p w14:paraId="0F673B8F" w14:textId="1DC6DD20" w:rsidR="003F26A5" w:rsidRPr="00367300" w:rsidRDefault="003F26A5" w:rsidP="00891093">
            <w:pPr>
              <w:autoSpaceDE w:val="0"/>
              <w:autoSpaceDN w:val="0"/>
              <w:adjustRightInd w:val="0"/>
              <w:ind w:left="57" w:right="57" w:firstLine="340"/>
              <w:contextualSpacing/>
              <w:jc w:val="both"/>
              <w:rPr>
                <w:rFonts w:ascii="Times New Roman" w:hAnsi="Times New Roman" w:cs="Times New Roman"/>
                <w:sz w:val="24"/>
                <w:szCs w:val="24"/>
              </w:rPr>
            </w:pPr>
            <w:r w:rsidRPr="00891093">
              <w:rPr>
                <w:rFonts w:ascii="Times New Roman" w:hAnsi="Times New Roman" w:cs="Times New Roman"/>
                <w:sz w:val="24"/>
                <w:szCs w:val="24"/>
              </w:rPr>
              <w:t xml:space="preserve">20-21 ноября 2019 с участием членов Правительства Новосибирской области, федеральных ведомств и крупнейших компаний страны состоялся </w:t>
            </w:r>
            <w:r w:rsidRPr="00891093">
              <w:rPr>
                <w:rFonts w:ascii="Times New Roman" w:hAnsi="Times New Roman" w:cs="Times New Roman"/>
                <w:sz w:val="24"/>
                <w:szCs w:val="24"/>
                <w:lang w:val="en-US"/>
              </w:rPr>
              <w:t>IX</w:t>
            </w:r>
            <w:r w:rsidRPr="00891093">
              <w:rPr>
                <w:rFonts w:ascii="Times New Roman" w:hAnsi="Times New Roman" w:cs="Times New Roman"/>
                <w:sz w:val="24"/>
                <w:szCs w:val="24"/>
              </w:rPr>
              <w:t> Международный форум территорий развития и инвестиций «InPark-2019». Орг</w:t>
            </w:r>
            <w:r w:rsidRPr="008A0E4E">
              <w:rPr>
                <w:rFonts w:ascii="Times New Roman" w:hAnsi="Times New Roman" w:cs="Times New Roman"/>
                <w:sz w:val="24"/>
                <w:szCs w:val="24"/>
              </w:rPr>
              <w:t>анизаторами Форума выступили Правительство Новос</w:t>
            </w:r>
            <w:r w:rsidR="00F56B3F">
              <w:rPr>
                <w:rFonts w:ascii="Times New Roman" w:hAnsi="Times New Roman" w:cs="Times New Roman"/>
                <w:sz w:val="24"/>
                <w:szCs w:val="24"/>
              </w:rPr>
              <w:t>ибирской области, АО «АИР», ПЛП.</w:t>
            </w:r>
            <w:r w:rsidR="00F56B3F" w:rsidRPr="00367300">
              <w:rPr>
                <w:rFonts w:ascii="Times New Roman" w:hAnsi="Times New Roman" w:cs="Times New Roman"/>
                <w:sz w:val="24"/>
                <w:szCs w:val="24"/>
              </w:rPr>
              <w:t xml:space="preserve"> </w:t>
            </w:r>
          </w:p>
          <w:p w14:paraId="066499CB" w14:textId="77777777" w:rsidR="003F26A5" w:rsidRPr="00367300" w:rsidRDefault="003F26A5" w:rsidP="00891093">
            <w:pPr>
              <w:autoSpaceDE w:val="0"/>
              <w:autoSpaceDN w:val="0"/>
              <w:adjustRightInd w:val="0"/>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В 2019 году Форум вышел за рамки рассмотрения вопросов исключительно индустриальных парков, расширив тематику до промышленных кластеров и технопарков и их роли в реализации нацпроектов. </w:t>
            </w:r>
          </w:p>
          <w:p w14:paraId="5C6CC71A" w14:textId="77777777" w:rsidR="003F26A5" w:rsidRPr="00367300" w:rsidRDefault="003F26A5" w:rsidP="00891093">
            <w:pPr>
              <w:autoSpaceDE w:val="0"/>
              <w:autoSpaceDN w:val="0"/>
              <w:adjustRightInd w:val="0"/>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Партнерами Международного форума InPark-2019 выступили Минпромторг России и Ассоциация кластеров и технопарков России.</w:t>
            </w:r>
          </w:p>
          <w:p w14:paraId="541F1FCA" w14:textId="77777777" w:rsidR="003F26A5" w:rsidRPr="00891093" w:rsidRDefault="003F26A5" w:rsidP="008A0E4E">
            <w:pPr>
              <w:autoSpaceDE w:val="0"/>
              <w:autoSpaceDN w:val="0"/>
              <w:adjustRightInd w:val="0"/>
              <w:ind w:left="57" w:right="57" w:firstLine="340"/>
              <w:contextualSpacing/>
              <w:jc w:val="both"/>
              <w:rPr>
                <w:rFonts w:ascii="Times New Roman" w:hAnsi="Times New Roman" w:cs="Times New Roman"/>
                <w:sz w:val="24"/>
                <w:szCs w:val="24"/>
              </w:rPr>
            </w:pPr>
            <w:r w:rsidRPr="00891093">
              <w:rPr>
                <w:rFonts w:ascii="Times New Roman" w:hAnsi="Times New Roman" w:cs="Times New Roman"/>
                <w:sz w:val="24"/>
                <w:szCs w:val="24"/>
              </w:rPr>
              <w:t xml:space="preserve">Форум InPark — это уникальное по своей тематике и экспертному охвату деловое событие, которое </w:t>
            </w:r>
            <w:r w:rsidRPr="00891093">
              <w:rPr>
                <w:rFonts w:ascii="Times New Roman" w:hAnsi="Times New Roman" w:cs="Times New Roman"/>
                <w:sz w:val="24"/>
                <w:szCs w:val="24"/>
              </w:rPr>
              <w:lastRenderedPageBreak/>
              <w:t xml:space="preserve">развивается, трансформируется в соответствии с повесткой сегодняшнего дня. </w:t>
            </w:r>
          </w:p>
          <w:p w14:paraId="49135F13" w14:textId="77777777" w:rsidR="003F26A5" w:rsidRPr="008A0E4E" w:rsidRDefault="003F26A5" w:rsidP="00FC74FE">
            <w:pPr>
              <w:autoSpaceDE w:val="0"/>
              <w:autoSpaceDN w:val="0"/>
              <w:adjustRightInd w:val="0"/>
              <w:ind w:left="57" w:right="57" w:firstLine="340"/>
              <w:contextualSpacing/>
              <w:jc w:val="both"/>
              <w:rPr>
                <w:rFonts w:ascii="Times New Roman" w:hAnsi="Times New Roman" w:cs="Times New Roman"/>
                <w:sz w:val="24"/>
                <w:szCs w:val="24"/>
              </w:rPr>
            </w:pPr>
            <w:r w:rsidRPr="00891093">
              <w:rPr>
                <w:rFonts w:ascii="Times New Roman" w:hAnsi="Times New Roman" w:cs="Times New Roman"/>
                <w:sz w:val="24"/>
                <w:szCs w:val="24"/>
              </w:rPr>
              <w:t>Ключевыми темами Форума 2019 стали «Реализация нацпроектов с учетом развития промышленной инфраструктуры – технопарков, промышленных технопарков, индустриальных парков», «Кластерная политика как инструмент повышения привлекательности региона», «Механизмы получения господдержки на развитие инфраструктурных проектов», «Финансовые и нефинансовые инструменты поддержки резидентов индустриальных парков, технопарков и участников кластеров», «Изменения в нормат</w:t>
            </w:r>
            <w:r w:rsidRPr="008A0E4E">
              <w:rPr>
                <w:rFonts w:ascii="Times New Roman" w:hAnsi="Times New Roman" w:cs="Times New Roman"/>
                <w:sz w:val="24"/>
                <w:szCs w:val="24"/>
              </w:rPr>
              <w:t>ивно-правовой базе, относящейся к развитию промышленной инфраструктуры».</w:t>
            </w:r>
          </w:p>
          <w:p w14:paraId="07333BD0" w14:textId="77777777" w:rsidR="003F26A5" w:rsidRPr="00FC74FE" w:rsidRDefault="003F26A5" w:rsidP="00FC74FE">
            <w:pPr>
              <w:autoSpaceDE w:val="0"/>
              <w:autoSpaceDN w:val="0"/>
              <w:adjustRightInd w:val="0"/>
              <w:ind w:left="57" w:right="57" w:firstLine="340"/>
              <w:contextualSpacing/>
              <w:jc w:val="both"/>
              <w:rPr>
                <w:rFonts w:ascii="Times New Roman" w:hAnsi="Times New Roman" w:cs="Times New Roman"/>
                <w:sz w:val="24"/>
                <w:szCs w:val="24"/>
              </w:rPr>
            </w:pPr>
            <w:r w:rsidRPr="00FC74FE">
              <w:rPr>
                <w:rFonts w:ascii="Times New Roman" w:hAnsi="Times New Roman" w:cs="Times New Roman"/>
                <w:sz w:val="24"/>
                <w:szCs w:val="24"/>
              </w:rPr>
              <w:t>В форуме приняли участие ведущие эксперты по развитию промышленно-инвестиционной инфраструктуры и реализации индустриальных проектов.</w:t>
            </w:r>
          </w:p>
        </w:tc>
      </w:tr>
      <w:tr w:rsidR="003F26A5" w:rsidRPr="00367300" w14:paraId="62C9796F" w14:textId="77777777" w:rsidTr="003F26A5">
        <w:trPr>
          <w:gridAfter w:val="1"/>
          <w:wAfter w:w="3" w:type="pct"/>
          <w:trHeight w:val="283"/>
        </w:trPr>
        <w:tc>
          <w:tcPr>
            <w:tcW w:w="335" w:type="pct"/>
            <w:shd w:val="clear" w:color="auto" w:fill="FFFFFF" w:themeFill="background1"/>
          </w:tcPr>
          <w:p w14:paraId="7EC08632"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sz w:val="24"/>
                <w:szCs w:val="24"/>
              </w:rPr>
              <w:lastRenderedPageBreak/>
              <w:t>19.4</w:t>
            </w:r>
          </w:p>
        </w:tc>
        <w:tc>
          <w:tcPr>
            <w:tcW w:w="1108" w:type="pct"/>
            <w:shd w:val="clear" w:color="auto" w:fill="FFFFFF" w:themeFill="background1"/>
          </w:tcPr>
          <w:p w14:paraId="3AE918BC"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Размещение на портале Правительства Новосибирской области актуальной информации о технопарках и бизнес-инкубаторах Новосибирской области, включая показатели эффективности их работы и условия оказания услуг потенциальным резидентам и инвесторам</w:t>
            </w:r>
          </w:p>
        </w:tc>
        <w:tc>
          <w:tcPr>
            <w:tcW w:w="723" w:type="pct"/>
            <w:shd w:val="clear" w:color="auto" w:fill="FFFFFF" w:themeFill="background1"/>
          </w:tcPr>
          <w:p w14:paraId="1B66C5C8" w14:textId="77777777" w:rsidR="003F26A5" w:rsidRPr="00891093" w:rsidRDefault="003F26A5" w:rsidP="00367300">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 xml:space="preserve">Создание информационной среды по услугам технопарков и бизнес-инкубаторов </w:t>
            </w:r>
          </w:p>
          <w:p w14:paraId="50BE4932"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на территории Новосибирской области</w:t>
            </w:r>
          </w:p>
        </w:tc>
        <w:tc>
          <w:tcPr>
            <w:tcW w:w="337" w:type="pct"/>
            <w:shd w:val="clear" w:color="auto" w:fill="FFFFFF" w:themeFill="background1"/>
          </w:tcPr>
          <w:p w14:paraId="2F0ADE34"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Постоянно</w:t>
            </w:r>
          </w:p>
        </w:tc>
        <w:tc>
          <w:tcPr>
            <w:tcW w:w="463" w:type="pct"/>
            <w:shd w:val="clear" w:color="auto" w:fill="FFFFFF" w:themeFill="background1"/>
          </w:tcPr>
          <w:p w14:paraId="4EFB3EF7" w14:textId="77777777" w:rsidR="003F26A5" w:rsidRPr="00367300" w:rsidRDefault="00E3307E" w:rsidP="00891093">
            <w:pPr>
              <w:widowControl w:val="0"/>
              <w:autoSpaceDE w:val="0"/>
              <w:autoSpaceDN w:val="0"/>
              <w:rPr>
                <w:rFonts w:ascii="Times New Roman" w:eastAsia="Times New Roman" w:hAnsi="Times New Roman" w:cs="Times New Roman"/>
                <w:sz w:val="24"/>
                <w:szCs w:val="24"/>
              </w:rPr>
            </w:pPr>
            <w:hyperlink r:id="rId125" w:history="1">
              <w:r w:rsidR="003F26A5" w:rsidRPr="00367300">
                <w:rPr>
                  <w:rFonts w:ascii="Times New Roman" w:eastAsia="Times New Roman" w:hAnsi="Times New Roman" w:cs="Times New Roman"/>
                  <w:sz w:val="24"/>
                  <w:szCs w:val="24"/>
                </w:rPr>
                <w:t>Миннауки НСО</w:t>
              </w:r>
            </w:hyperlink>
            <w:r w:rsidR="003F26A5" w:rsidRPr="00367300">
              <w:rPr>
                <w:rFonts w:ascii="Times New Roman" w:eastAsia="Times New Roman" w:hAnsi="Times New Roman" w:cs="Times New Roman"/>
                <w:sz w:val="24"/>
                <w:szCs w:val="24"/>
              </w:rPr>
              <w:t>,</w:t>
            </w:r>
          </w:p>
          <w:p w14:paraId="17AB6DEA" w14:textId="77777777" w:rsidR="003F26A5" w:rsidRPr="00367300" w:rsidRDefault="003F26A5" w:rsidP="00891093">
            <w:pPr>
              <w:widowControl w:val="0"/>
              <w:autoSpaceDE w:val="0"/>
              <w:autoSpaceDN w:val="0"/>
              <w:rPr>
                <w:rFonts w:ascii="Times New Roman" w:hAnsi="Times New Roman" w:cs="Times New Roman"/>
                <w:sz w:val="24"/>
                <w:szCs w:val="24"/>
              </w:rPr>
            </w:pPr>
            <w:r w:rsidRPr="00367300">
              <w:rPr>
                <w:rFonts w:ascii="Times New Roman" w:eastAsia="Times New Roman" w:hAnsi="Times New Roman" w:cs="Times New Roman"/>
                <w:sz w:val="24"/>
                <w:szCs w:val="24"/>
              </w:rPr>
              <w:t>Минпромторг НСО</w:t>
            </w:r>
            <w:r w:rsidRPr="00367300">
              <w:rPr>
                <w:rFonts w:ascii="Times New Roman" w:hAnsi="Times New Roman" w:cs="Times New Roman"/>
                <w:sz w:val="24"/>
                <w:szCs w:val="24"/>
              </w:rPr>
              <w:t>,</w:t>
            </w:r>
          </w:p>
          <w:p w14:paraId="26A457DE" w14:textId="77777777" w:rsidR="003F26A5" w:rsidRPr="00367300" w:rsidRDefault="003F26A5" w:rsidP="00891093">
            <w:pPr>
              <w:autoSpaceDE w:val="0"/>
              <w:autoSpaceDN w:val="0"/>
              <w:adjustRightInd w:val="0"/>
              <w:contextualSpacing/>
              <w:rPr>
                <w:rFonts w:ascii="Times New Roman" w:hAnsi="Times New Roman" w:cs="Times New Roman"/>
                <w:sz w:val="24"/>
                <w:szCs w:val="24"/>
              </w:rPr>
            </w:pPr>
            <w:r w:rsidRPr="00367300">
              <w:rPr>
                <w:rFonts w:ascii="Times New Roman" w:hAnsi="Times New Roman" w:cs="Times New Roman"/>
                <w:sz w:val="24"/>
                <w:szCs w:val="24"/>
              </w:rPr>
              <w:t>Минэкономразвития НСО</w:t>
            </w:r>
          </w:p>
        </w:tc>
        <w:tc>
          <w:tcPr>
            <w:tcW w:w="2031" w:type="pct"/>
            <w:shd w:val="clear" w:color="auto" w:fill="FFFFFF" w:themeFill="background1"/>
          </w:tcPr>
          <w:p w14:paraId="09CB996C" w14:textId="77777777" w:rsidR="003F26A5" w:rsidRPr="00367300" w:rsidRDefault="003F26A5" w:rsidP="008A0E4E">
            <w:pPr>
              <w:widowControl w:val="0"/>
              <w:autoSpaceDE w:val="0"/>
              <w:autoSpaceDN w:val="0"/>
              <w:ind w:left="57" w:right="57" w:firstLine="340"/>
              <w:jc w:val="both"/>
              <w:rPr>
                <w:rFonts w:ascii="Times New Roman" w:eastAsiaTheme="minorHAnsi" w:hAnsi="Times New Roman" w:cs="Times New Roman"/>
                <w:sz w:val="24"/>
                <w:szCs w:val="24"/>
              </w:rPr>
            </w:pPr>
            <w:r w:rsidRPr="00891093">
              <w:rPr>
                <w:rFonts w:ascii="Times New Roman" w:hAnsi="Times New Roman" w:cs="Times New Roman"/>
                <w:sz w:val="24"/>
                <w:szCs w:val="24"/>
              </w:rPr>
              <w:t xml:space="preserve">Актуальная информация о технопарках и бизнес-инкубаторах Новосибирской области, включая показатели эффективности их работы и условия оказания услуг потенциальным резидентам и инвесторам, размещается на портале Правительства Новосибирской области после уточнения АО «Технопарк Новосибирского Академгородка» информации за отчетный период; </w:t>
            </w:r>
            <w:hyperlink r:id="rId126" w:history="1">
              <w:r w:rsidRPr="00367300">
                <w:rPr>
                  <w:rStyle w:val="a3"/>
                  <w:rFonts w:ascii="Times New Roman" w:hAnsi="Times New Roman" w:cs="Times New Roman"/>
                  <w:sz w:val="24"/>
                  <w:szCs w:val="24"/>
                </w:rPr>
                <w:t>http://www.nso.ru/page/18532</w:t>
              </w:r>
            </w:hyperlink>
          </w:p>
        </w:tc>
      </w:tr>
      <w:tr w:rsidR="003F26A5" w:rsidRPr="00367300" w14:paraId="287FF6D2" w14:textId="77777777" w:rsidTr="003F26A5">
        <w:trPr>
          <w:trHeight w:val="283"/>
        </w:trPr>
        <w:tc>
          <w:tcPr>
            <w:tcW w:w="5000" w:type="pct"/>
            <w:gridSpan w:val="7"/>
            <w:shd w:val="clear" w:color="auto" w:fill="auto"/>
          </w:tcPr>
          <w:p w14:paraId="66446FD0" w14:textId="77777777" w:rsidR="003F26A5" w:rsidRPr="00367300" w:rsidRDefault="003F26A5" w:rsidP="00367300">
            <w:pPr>
              <w:autoSpaceDE w:val="0"/>
              <w:autoSpaceDN w:val="0"/>
              <w:adjustRightInd w:val="0"/>
              <w:ind w:left="57" w:firstLine="539"/>
              <w:rPr>
                <w:rFonts w:ascii="Times New Roman" w:hAnsi="Times New Roman" w:cs="Times New Roman"/>
                <w:b/>
                <w:bCs/>
                <w:sz w:val="24"/>
                <w:szCs w:val="24"/>
              </w:rPr>
            </w:pPr>
            <w:r w:rsidRPr="00367300">
              <w:rPr>
                <w:rFonts w:ascii="Times New Roman" w:hAnsi="Times New Roman" w:cs="Times New Roman"/>
                <w:b/>
                <w:bCs/>
                <w:sz w:val="24"/>
                <w:szCs w:val="24"/>
              </w:rPr>
              <w:t xml:space="preserve">20. Повышение уровня финансовой грамотности населения (потребителей) и субъектов малого и среднего предпринимательства, в том числе путем увеличения доли населения субъекта Российской Федерации, прошедшего обучение по повышению финансовой грамотности в рамках </w:t>
            </w:r>
            <w:hyperlink r:id="rId127" w:history="1">
              <w:r w:rsidRPr="00367300">
                <w:rPr>
                  <w:rFonts w:ascii="Times New Roman" w:hAnsi="Times New Roman" w:cs="Times New Roman"/>
                  <w:b/>
                  <w:bCs/>
                  <w:sz w:val="24"/>
                  <w:szCs w:val="24"/>
                </w:rPr>
                <w:t>Стратегии</w:t>
              </w:r>
            </w:hyperlink>
            <w:r w:rsidRPr="00367300">
              <w:rPr>
                <w:rFonts w:ascii="Times New Roman" w:hAnsi="Times New Roman" w:cs="Times New Roman"/>
                <w:b/>
                <w:bCs/>
                <w:sz w:val="24"/>
                <w:szCs w:val="24"/>
              </w:rPr>
              <w:t xml:space="preserve"> повышения финансовой грамотности </w:t>
            </w:r>
          </w:p>
          <w:p w14:paraId="6A826C41" w14:textId="77777777" w:rsidR="003F26A5" w:rsidRPr="00891093" w:rsidRDefault="003F26A5" w:rsidP="00367300">
            <w:pPr>
              <w:autoSpaceDE w:val="0"/>
              <w:autoSpaceDN w:val="0"/>
              <w:adjustRightInd w:val="0"/>
              <w:ind w:left="57" w:firstLine="539"/>
              <w:rPr>
                <w:rFonts w:ascii="Times New Roman" w:hAnsi="Times New Roman" w:cs="Times New Roman"/>
                <w:b/>
                <w:bCs/>
                <w:sz w:val="24"/>
                <w:szCs w:val="24"/>
              </w:rPr>
            </w:pPr>
            <w:r w:rsidRPr="00367300">
              <w:rPr>
                <w:rFonts w:ascii="Times New Roman" w:hAnsi="Times New Roman" w:cs="Times New Roman"/>
                <w:b/>
                <w:bCs/>
                <w:sz w:val="24"/>
                <w:szCs w:val="24"/>
              </w:rPr>
              <w:lastRenderedPageBreak/>
              <w:t>в Российской Федерации на 2017-2023 годы, утвержденной распоряжением Правительства Российской Федерации</w:t>
            </w:r>
            <w:r w:rsidR="00F8324D" w:rsidRPr="00367300">
              <w:rPr>
                <w:rFonts w:ascii="Times New Roman" w:hAnsi="Times New Roman" w:cs="Times New Roman"/>
                <w:b/>
                <w:bCs/>
                <w:sz w:val="24"/>
                <w:szCs w:val="24"/>
              </w:rPr>
              <w:t xml:space="preserve"> </w:t>
            </w:r>
            <w:r w:rsidRPr="00367300">
              <w:rPr>
                <w:rFonts w:ascii="Times New Roman" w:hAnsi="Times New Roman" w:cs="Times New Roman"/>
                <w:b/>
                <w:bCs/>
                <w:sz w:val="24"/>
                <w:szCs w:val="24"/>
              </w:rPr>
              <w:t xml:space="preserve">от 25.09.2017 № 2039-р </w:t>
            </w:r>
            <w:r w:rsidRPr="00891093">
              <w:rPr>
                <w:rFonts w:ascii="Times New Roman" w:hAnsi="Times New Roman" w:cs="Times New Roman"/>
                <w:b/>
                <w:sz w:val="24"/>
                <w:szCs w:val="24"/>
              </w:rPr>
              <w:t>об утверждении Стратегии повышения финансовой грамотности в Российской Федерации на 2017-2023 годы</w:t>
            </w:r>
          </w:p>
        </w:tc>
      </w:tr>
      <w:tr w:rsidR="003F26A5" w:rsidRPr="00367300" w14:paraId="16AEF9BC" w14:textId="77777777" w:rsidTr="003F26A5">
        <w:trPr>
          <w:gridAfter w:val="1"/>
          <w:wAfter w:w="3" w:type="pct"/>
          <w:trHeight w:val="283"/>
        </w:trPr>
        <w:tc>
          <w:tcPr>
            <w:tcW w:w="335" w:type="pct"/>
          </w:tcPr>
          <w:p w14:paraId="502C9DC5"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20.1</w:t>
            </w:r>
          </w:p>
        </w:tc>
        <w:tc>
          <w:tcPr>
            <w:tcW w:w="1108" w:type="pct"/>
          </w:tcPr>
          <w:p w14:paraId="5AAD7358" w14:textId="77777777" w:rsidR="003F26A5" w:rsidRPr="00367300" w:rsidRDefault="003F26A5" w:rsidP="00367300">
            <w:pPr>
              <w:shd w:val="clear" w:color="auto" w:fill="FFFFFF"/>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Информирование о событиях </w:t>
            </w:r>
          </w:p>
          <w:p w14:paraId="4B2EDC92" w14:textId="77777777" w:rsidR="003F26A5" w:rsidRPr="00367300" w:rsidRDefault="003F26A5" w:rsidP="00367300">
            <w:pPr>
              <w:shd w:val="clear" w:color="auto" w:fill="FFFFFF"/>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и мероприятиях по повышению финансовой грамотности населения Новосибирской области на сайте министерства финансов </w:t>
            </w:r>
          </w:p>
          <w:p w14:paraId="5FD0B291" w14:textId="77777777" w:rsidR="003F26A5" w:rsidRPr="00891093" w:rsidRDefault="003F26A5" w:rsidP="00367300">
            <w:pPr>
              <w:shd w:val="clear" w:color="auto" w:fill="FFFFFF"/>
              <w:ind w:left="57" w:right="57"/>
              <w:jc w:val="both"/>
              <w:rPr>
                <w:rFonts w:ascii="Times New Roman" w:hAnsi="Times New Roman" w:cs="Times New Roman"/>
                <w:color w:val="3F4758"/>
                <w:sz w:val="24"/>
                <w:szCs w:val="24"/>
              </w:rPr>
            </w:pPr>
            <w:r w:rsidRPr="00367300">
              <w:rPr>
                <w:rFonts w:ascii="Times New Roman" w:hAnsi="Times New Roman" w:cs="Times New Roman"/>
                <w:sz w:val="24"/>
                <w:szCs w:val="24"/>
              </w:rPr>
              <w:t>и налоговой политики Новосибирской области, в том числе по запросу заинтересованных лиц</w:t>
            </w:r>
          </w:p>
        </w:tc>
        <w:tc>
          <w:tcPr>
            <w:tcW w:w="723" w:type="pct"/>
          </w:tcPr>
          <w:p w14:paraId="645F433C"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 xml:space="preserve">Повышение уровня информированности населения </w:t>
            </w:r>
          </w:p>
        </w:tc>
        <w:tc>
          <w:tcPr>
            <w:tcW w:w="337" w:type="pct"/>
          </w:tcPr>
          <w:p w14:paraId="35A3377A"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 xml:space="preserve">Постоянно </w:t>
            </w:r>
          </w:p>
        </w:tc>
        <w:tc>
          <w:tcPr>
            <w:tcW w:w="463" w:type="pct"/>
          </w:tcPr>
          <w:p w14:paraId="519425A0"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МФ и НП НСО</w:t>
            </w:r>
          </w:p>
        </w:tc>
        <w:tc>
          <w:tcPr>
            <w:tcW w:w="2031" w:type="pct"/>
          </w:tcPr>
          <w:p w14:paraId="3B7450F4" w14:textId="77777777" w:rsidR="003F26A5" w:rsidRPr="008A0E4E" w:rsidRDefault="003F26A5" w:rsidP="00891093">
            <w:pPr>
              <w:ind w:left="57" w:right="57" w:firstLine="340"/>
              <w:jc w:val="both"/>
              <w:rPr>
                <w:rFonts w:ascii="Times New Roman" w:eastAsia="Calibri" w:hAnsi="Times New Roman" w:cs="Times New Roman"/>
                <w:sz w:val="24"/>
                <w:szCs w:val="24"/>
              </w:rPr>
            </w:pPr>
            <w:r w:rsidRPr="00891093">
              <w:rPr>
                <w:rFonts w:ascii="Times New Roman" w:eastAsia="Calibri" w:hAnsi="Times New Roman" w:cs="Times New Roman"/>
                <w:sz w:val="24"/>
                <w:szCs w:val="24"/>
              </w:rPr>
              <w:t xml:space="preserve">20 ноября 2019 года АНО «Дом финансового просвещения» при участии министерства финансов и налоговой политики Новосибирской области, министерства образования Новосибирской области, Управления Службы Банка России по защите прав </w:t>
            </w:r>
            <w:r w:rsidRPr="008A0E4E">
              <w:rPr>
                <w:rFonts w:ascii="Times New Roman" w:eastAsia="Calibri" w:hAnsi="Times New Roman" w:cs="Times New Roman"/>
                <w:sz w:val="24"/>
                <w:szCs w:val="24"/>
              </w:rPr>
              <w:t>потребителей и обеспечения доступности финансовых услуг в Сибирском федеральном округе проведена первая Межрегиональная конференция волонтеров финансового просвещения «Волонтеры благополучия».</w:t>
            </w:r>
          </w:p>
          <w:p w14:paraId="785274B5" w14:textId="77777777" w:rsidR="003F26A5" w:rsidRPr="009B4FC0" w:rsidRDefault="003F26A5" w:rsidP="008A0E4E">
            <w:pPr>
              <w:ind w:left="57" w:right="57" w:firstLine="340"/>
              <w:jc w:val="both"/>
              <w:rPr>
                <w:rFonts w:ascii="Times New Roman" w:eastAsia="Calibri" w:hAnsi="Times New Roman" w:cs="Times New Roman"/>
                <w:sz w:val="24"/>
                <w:szCs w:val="24"/>
              </w:rPr>
            </w:pPr>
            <w:r w:rsidRPr="00FC74FE">
              <w:rPr>
                <w:rFonts w:ascii="Times New Roman" w:eastAsia="Calibri" w:hAnsi="Times New Roman" w:cs="Times New Roman"/>
                <w:sz w:val="24"/>
                <w:szCs w:val="24"/>
              </w:rPr>
              <w:t xml:space="preserve">Целью проведения мероприятия являлось создание единой площадки </w:t>
            </w:r>
            <w:r w:rsidRPr="009B4FC0">
              <w:rPr>
                <w:rFonts w:ascii="Times New Roman" w:eastAsia="Calibri" w:hAnsi="Times New Roman" w:cs="Times New Roman"/>
                <w:sz w:val="24"/>
                <w:szCs w:val="24"/>
              </w:rPr>
              <w:t xml:space="preserve">для взаимодействия экспертов и консультантов в области финансового просвещения, обмена опытом и выработки подходов по просвещению населения Новосибирской области. </w:t>
            </w:r>
          </w:p>
          <w:p w14:paraId="0E543C51" w14:textId="77777777" w:rsidR="003F26A5" w:rsidRPr="00367300" w:rsidRDefault="003F26A5" w:rsidP="00FC74FE">
            <w:pPr>
              <w:ind w:left="57" w:right="57" w:firstLine="340"/>
              <w:jc w:val="both"/>
              <w:rPr>
                <w:rFonts w:ascii="Times New Roman" w:eastAsia="Calibri" w:hAnsi="Times New Roman" w:cs="Times New Roman"/>
                <w:sz w:val="24"/>
                <w:szCs w:val="24"/>
              </w:rPr>
            </w:pPr>
            <w:r w:rsidRPr="00367300">
              <w:rPr>
                <w:rFonts w:ascii="Times New Roman" w:eastAsia="Calibri" w:hAnsi="Times New Roman" w:cs="Times New Roman"/>
                <w:sz w:val="24"/>
                <w:szCs w:val="24"/>
              </w:rPr>
              <w:t>В соответствии с совместным приказом министерства финансов и налоговой политики Новосибирской области, министерства образования Новосибирской области в период с 01 октября по 17 декабря 2019 года проведен Региональный этап всероссийского конкурса эссе на финансовую тематику в рамках праздника «День рубля» для учащихся 7 – 11 классов государственных, муниципальных и частных общеобразовательных организаций.</w:t>
            </w:r>
          </w:p>
          <w:p w14:paraId="509AACF1" w14:textId="77777777" w:rsidR="003F26A5" w:rsidRPr="00367300" w:rsidRDefault="003F26A5" w:rsidP="009B4FC0">
            <w:pPr>
              <w:ind w:left="57" w:right="57" w:firstLine="340"/>
              <w:jc w:val="both"/>
              <w:rPr>
                <w:rFonts w:ascii="Times New Roman" w:eastAsia="Calibri" w:hAnsi="Times New Roman" w:cs="Times New Roman"/>
                <w:sz w:val="24"/>
                <w:szCs w:val="24"/>
              </w:rPr>
            </w:pPr>
            <w:r w:rsidRPr="00367300">
              <w:rPr>
                <w:rFonts w:ascii="Times New Roman" w:eastAsia="Calibri" w:hAnsi="Times New Roman" w:cs="Times New Roman"/>
                <w:sz w:val="24"/>
                <w:szCs w:val="24"/>
              </w:rPr>
              <w:t xml:space="preserve">В ноябре 2019 года АНО «Дом финансового просвещения» совместно с министерством финансов и министерством образования организовано проведение Всероссийской программы «Дни финансовой грамотности в учебных заведениях» для учащихся 9 – 11 классов, обучающихся профессиональных образовательных организаций, административно-управляющего и преподавательского состава </w:t>
            </w:r>
            <w:r w:rsidRPr="00367300">
              <w:rPr>
                <w:rFonts w:ascii="Times New Roman" w:eastAsia="Calibri" w:hAnsi="Times New Roman" w:cs="Times New Roman"/>
                <w:sz w:val="24"/>
                <w:szCs w:val="24"/>
              </w:rPr>
              <w:lastRenderedPageBreak/>
              <w:t xml:space="preserve">образовательных организаций общего и профессионального образования. Период проведения программы с 18 ноября 2019 года по 18 февраля 2020 года. </w:t>
            </w:r>
          </w:p>
          <w:p w14:paraId="58E97842" w14:textId="77777777" w:rsidR="003F26A5" w:rsidRPr="00367300" w:rsidRDefault="003F26A5">
            <w:pPr>
              <w:ind w:left="57" w:right="57" w:firstLine="340"/>
              <w:jc w:val="both"/>
              <w:rPr>
                <w:rFonts w:ascii="Times New Roman" w:eastAsia="Calibri" w:hAnsi="Times New Roman" w:cs="Times New Roman"/>
                <w:sz w:val="24"/>
                <w:szCs w:val="24"/>
              </w:rPr>
            </w:pPr>
            <w:r w:rsidRPr="00367300">
              <w:rPr>
                <w:rFonts w:ascii="Times New Roman" w:eastAsia="Calibri" w:hAnsi="Times New Roman" w:cs="Times New Roman"/>
                <w:sz w:val="24"/>
                <w:szCs w:val="24"/>
              </w:rPr>
              <w:t> В соответствии с заключенным между министерством финансов и некоммерческим партнерством по развитию финансовой культуры «Финансы Коммуникации Информация» (г. Томск) соглашением от 25.10.2019 на территории Новосибирской области организовано проведение VIII Межрегиональной премии «Финансовый престиж». По результатам премии будет сформирован рейтинг финансовых организаций с наилучшим качеством финансовых услуг, по мнению их потребителей. Начало проведения премии – 05 ноября 2019 года, подведение итогов – второй-третий квартал 2020 года.</w:t>
            </w:r>
          </w:p>
          <w:p w14:paraId="0ACDDD49" w14:textId="77777777" w:rsidR="003F26A5" w:rsidRPr="00367300" w:rsidRDefault="003F26A5" w:rsidP="00E77388">
            <w:pPr>
              <w:jc w:val="both"/>
              <w:rPr>
                <w:rFonts w:ascii="Times New Roman" w:hAnsi="Times New Roman" w:cs="Times New Roman"/>
                <w:bCs/>
                <w:sz w:val="24"/>
                <w:szCs w:val="24"/>
              </w:rPr>
            </w:pPr>
          </w:p>
        </w:tc>
      </w:tr>
    </w:tbl>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269"/>
        <w:gridCol w:w="2131"/>
        <w:gridCol w:w="993"/>
        <w:gridCol w:w="1364"/>
        <w:gridCol w:w="5987"/>
      </w:tblGrid>
      <w:tr w:rsidR="003F26A5" w:rsidRPr="00367300" w14:paraId="080B1858" w14:textId="77777777" w:rsidTr="00F8324D">
        <w:trPr>
          <w:trHeight w:val="283"/>
        </w:trPr>
        <w:tc>
          <w:tcPr>
            <w:tcW w:w="335" w:type="pct"/>
          </w:tcPr>
          <w:p w14:paraId="51AF6E53" w14:textId="77777777" w:rsidR="003F26A5" w:rsidRPr="00367300" w:rsidRDefault="003F26A5" w:rsidP="00367300">
            <w:pPr>
              <w:ind w:left="57"/>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20.2</w:t>
            </w:r>
          </w:p>
        </w:tc>
        <w:tc>
          <w:tcPr>
            <w:tcW w:w="1108" w:type="pct"/>
          </w:tcPr>
          <w:p w14:paraId="52283580" w14:textId="77777777" w:rsidR="003F26A5" w:rsidRPr="00367300" w:rsidRDefault="003F26A5" w:rsidP="00367300">
            <w:pPr>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Проведение образовательных, обучающих мероприятий для всех уровней образования </w:t>
            </w:r>
          </w:p>
          <w:p w14:paraId="6B99570C" w14:textId="77777777" w:rsidR="003F26A5" w:rsidRPr="00891093" w:rsidRDefault="003F26A5" w:rsidP="00367300">
            <w:pPr>
              <w:contextualSpacing/>
              <w:jc w:val="both"/>
              <w:rPr>
                <w:rFonts w:ascii="Times New Roman" w:hAnsi="Times New Roman" w:cs="Times New Roman"/>
                <w:bCs/>
                <w:sz w:val="24"/>
                <w:szCs w:val="24"/>
              </w:rPr>
            </w:pPr>
            <w:r w:rsidRPr="00367300">
              <w:rPr>
                <w:rFonts w:ascii="Times New Roman" w:hAnsi="Times New Roman" w:cs="Times New Roman"/>
                <w:sz w:val="24"/>
                <w:szCs w:val="24"/>
              </w:rPr>
              <w:t>и профессионального педагогического сообщества (лекции, семинары, мастер-классы, воспитательные часы, квесты, консультации, экскурсии, круглые столы, конференции)</w:t>
            </w:r>
          </w:p>
        </w:tc>
        <w:tc>
          <w:tcPr>
            <w:tcW w:w="723" w:type="pct"/>
          </w:tcPr>
          <w:p w14:paraId="74AD689C" w14:textId="77777777" w:rsidR="003F26A5" w:rsidRPr="00891093" w:rsidRDefault="003F26A5" w:rsidP="00367300">
            <w:pPr>
              <w:ind w:left="57"/>
              <w:contextualSpacing/>
              <w:rPr>
                <w:rFonts w:ascii="Times New Roman" w:hAnsi="Times New Roman" w:cs="Times New Roman"/>
                <w:bCs/>
                <w:sz w:val="24"/>
                <w:szCs w:val="24"/>
              </w:rPr>
            </w:pPr>
            <w:r w:rsidRPr="00891093">
              <w:rPr>
                <w:rFonts w:ascii="Times New Roman" w:hAnsi="Times New Roman" w:cs="Times New Roman"/>
                <w:bCs/>
                <w:sz w:val="24"/>
                <w:szCs w:val="24"/>
              </w:rPr>
              <w:t>Повышение финансовой грамотности</w:t>
            </w:r>
          </w:p>
        </w:tc>
        <w:tc>
          <w:tcPr>
            <w:tcW w:w="337" w:type="pct"/>
          </w:tcPr>
          <w:p w14:paraId="3B930F40" w14:textId="77777777" w:rsidR="003F26A5" w:rsidRPr="00891093" w:rsidRDefault="003F26A5" w:rsidP="00891093">
            <w:pPr>
              <w:ind w:left="57"/>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Pr>
          <w:p w14:paraId="13BCD75B" w14:textId="77777777" w:rsidR="003F26A5" w:rsidRPr="00891093" w:rsidRDefault="003F26A5" w:rsidP="00891093">
            <w:pPr>
              <w:ind w:left="57"/>
              <w:contextualSpacing/>
              <w:rPr>
                <w:rFonts w:ascii="Times New Roman" w:hAnsi="Times New Roman" w:cs="Times New Roman"/>
                <w:sz w:val="24"/>
                <w:szCs w:val="24"/>
              </w:rPr>
            </w:pPr>
            <w:r w:rsidRPr="00891093">
              <w:rPr>
                <w:rFonts w:ascii="Times New Roman" w:hAnsi="Times New Roman" w:cs="Times New Roman"/>
                <w:sz w:val="24"/>
                <w:szCs w:val="24"/>
              </w:rPr>
              <w:t>Минобразования НСО,</w:t>
            </w:r>
          </w:p>
          <w:p w14:paraId="4E9E6E03" w14:textId="77777777" w:rsidR="003F26A5" w:rsidRPr="008A0E4E" w:rsidRDefault="003F26A5" w:rsidP="00891093">
            <w:pPr>
              <w:ind w:left="57"/>
              <w:contextualSpacing/>
              <w:rPr>
                <w:rFonts w:ascii="Times New Roman" w:hAnsi="Times New Roman" w:cs="Times New Roman"/>
                <w:sz w:val="24"/>
                <w:szCs w:val="24"/>
              </w:rPr>
            </w:pPr>
            <w:r w:rsidRPr="008A0E4E">
              <w:rPr>
                <w:rFonts w:ascii="Times New Roman" w:hAnsi="Times New Roman" w:cs="Times New Roman"/>
                <w:sz w:val="24"/>
                <w:szCs w:val="24"/>
              </w:rPr>
              <w:t>Управление Службы по защите прав потребителей и обеспечению доступности финансов</w:t>
            </w:r>
            <w:r w:rsidRPr="008A0E4E">
              <w:rPr>
                <w:rFonts w:ascii="Times New Roman" w:hAnsi="Times New Roman" w:cs="Times New Roman"/>
                <w:sz w:val="24"/>
                <w:szCs w:val="24"/>
              </w:rPr>
              <w:lastRenderedPageBreak/>
              <w:t>ой услуг в СФО,</w:t>
            </w:r>
          </w:p>
          <w:p w14:paraId="2EEF4C85" w14:textId="77777777" w:rsidR="003F26A5" w:rsidRPr="00FC74FE" w:rsidRDefault="003F26A5" w:rsidP="00891093">
            <w:pPr>
              <w:ind w:left="57"/>
              <w:contextualSpacing/>
              <w:rPr>
                <w:rFonts w:ascii="Times New Roman" w:hAnsi="Times New Roman" w:cs="Times New Roman"/>
                <w:sz w:val="24"/>
                <w:szCs w:val="24"/>
              </w:rPr>
            </w:pPr>
            <w:r w:rsidRPr="008A0E4E">
              <w:rPr>
                <w:rFonts w:ascii="Times New Roman" w:hAnsi="Times New Roman" w:cs="Times New Roman"/>
                <w:sz w:val="24"/>
                <w:szCs w:val="24"/>
              </w:rPr>
              <w:t>органы управлени</w:t>
            </w:r>
            <w:r w:rsidRPr="00FC74FE">
              <w:rPr>
                <w:rFonts w:ascii="Times New Roman" w:hAnsi="Times New Roman" w:cs="Times New Roman"/>
                <w:sz w:val="24"/>
                <w:szCs w:val="24"/>
              </w:rPr>
              <w:t>я образованием муниципальных районов и городских округов Новосибирской области</w:t>
            </w:r>
          </w:p>
          <w:p w14:paraId="2D576595" w14:textId="77777777" w:rsidR="003F26A5" w:rsidRPr="00367300" w:rsidRDefault="003F26A5" w:rsidP="00891093">
            <w:pPr>
              <w:ind w:left="57"/>
              <w:contextualSpacing/>
              <w:rPr>
                <w:rFonts w:ascii="Times New Roman" w:hAnsi="Times New Roman" w:cs="Times New Roman"/>
                <w:bCs/>
                <w:sz w:val="24"/>
                <w:szCs w:val="24"/>
              </w:rPr>
            </w:pPr>
            <w:r w:rsidRPr="009B4FC0">
              <w:rPr>
                <w:rFonts w:ascii="Times New Roman" w:hAnsi="Times New Roman" w:cs="Times New Roman"/>
                <w:sz w:val="24"/>
                <w:szCs w:val="24"/>
              </w:rPr>
              <w:t>(по согласованию)</w:t>
            </w:r>
          </w:p>
        </w:tc>
        <w:tc>
          <w:tcPr>
            <w:tcW w:w="2031" w:type="pct"/>
            <w:shd w:val="clear" w:color="auto" w:fill="FFFFFF" w:themeFill="background1"/>
          </w:tcPr>
          <w:p w14:paraId="0CE0C1C0" w14:textId="77777777" w:rsidR="003F26A5" w:rsidRPr="00367300" w:rsidRDefault="003F26A5" w:rsidP="008A0E4E">
            <w:pPr>
              <w:pStyle w:val="ae"/>
              <w:ind w:left="-75" w:firstLine="340"/>
              <w:jc w:val="both"/>
              <w:rPr>
                <w:rFonts w:ascii="Times New Roman" w:hAnsi="Times New Roman" w:cs="Times New Roman"/>
                <w:sz w:val="24"/>
                <w:szCs w:val="24"/>
              </w:rPr>
            </w:pPr>
            <w:r w:rsidRPr="00367300">
              <w:rPr>
                <w:rFonts w:ascii="Times New Roman" w:hAnsi="Times New Roman" w:cs="Times New Roman"/>
                <w:sz w:val="24"/>
                <w:szCs w:val="24"/>
              </w:rPr>
              <w:lastRenderedPageBreak/>
              <w:t>В 2019 году проведено 76 образовательных, обучающих мероприятий для всех уровней образования в форме лекции и семинаров в образовательных организациях Новосибирской области для 2105 учащихся, в том числе:</w:t>
            </w:r>
          </w:p>
          <w:p w14:paraId="25759434" w14:textId="19B3AE13" w:rsidR="003F26A5" w:rsidRPr="00367300" w:rsidRDefault="003F26A5" w:rsidP="00FC74FE">
            <w:pPr>
              <w:pStyle w:val="ae"/>
              <w:ind w:left="-75" w:firstLine="340"/>
              <w:jc w:val="both"/>
              <w:rPr>
                <w:rFonts w:ascii="Times New Roman" w:hAnsi="Times New Roman" w:cs="Times New Roman"/>
                <w:sz w:val="24"/>
                <w:szCs w:val="24"/>
              </w:rPr>
            </w:pPr>
            <w:r w:rsidRPr="00367300">
              <w:rPr>
                <w:rFonts w:ascii="Times New Roman" w:hAnsi="Times New Roman" w:cs="Times New Roman"/>
                <w:sz w:val="24"/>
                <w:szCs w:val="24"/>
              </w:rPr>
              <w:t>48 мероприятий в общеобразовательных школах (1190 человек)</w:t>
            </w:r>
            <w:r w:rsidR="007F3886" w:rsidRPr="00367300">
              <w:rPr>
                <w:rFonts w:ascii="Times New Roman" w:hAnsi="Times New Roman" w:cs="Times New Roman"/>
                <w:sz w:val="24"/>
                <w:szCs w:val="24"/>
              </w:rPr>
              <w:t>;</w:t>
            </w:r>
          </w:p>
          <w:p w14:paraId="2AC3643C" w14:textId="1D29CB4C" w:rsidR="003F26A5" w:rsidRPr="00367300" w:rsidRDefault="003F26A5" w:rsidP="009B4FC0">
            <w:pPr>
              <w:pStyle w:val="ae"/>
              <w:ind w:left="-75" w:firstLine="340"/>
              <w:jc w:val="both"/>
              <w:rPr>
                <w:rFonts w:ascii="Times New Roman" w:hAnsi="Times New Roman" w:cs="Times New Roman"/>
                <w:sz w:val="24"/>
                <w:szCs w:val="24"/>
              </w:rPr>
            </w:pPr>
            <w:r w:rsidRPr="00367300">
              <w:rPr>
                <w:rFonts w:ascii="Times New Roman" w:hAnsi="Times New Roman" w:cs="Times New Roman"/>
                <w:sz w:val="24"/>
                <w:szCs w:val="24"/>
              </w:rPr>
              <w:t>10 мероприятий в ССУЗах (161 человек)</w:t>
            </w:r>
            <w:r w:rsidR="007F3886" w:rsidRPr="00367300">
              <w:rPr>
                <w:rFonts w:ascii="Times New Roman" w:hAnsi="Times New Roman" w:cs="Times New Roman"/>
                <w:sz w:val="24"/>
                <w:szCs w:val="24"/>
              </w:rPr>
              <w:t>;</w:t>
            </w:r>
          </w:p>
          <w:p w14:paraId="24E9275E" w14:textId="77777777" w:rsidR="003F26A5" w:rsidRPr="00367300" w:rsidRDefault="003F26A5">
            <w:pPr>
              <w:pStyle w:val="ae"/>
              <w:ind w:left="-75" w:firstLine="340"/>
              <w:jc w:val="both"/>
              <w:rPr>
                <w:rFonts w:ascii="Times New Roman" w:hAnsi="Times New Roman" w:cs="Times New Roman"/>
                <w:sz w:val="24"/>
                <w:szCs w:val="24"/>
              </w:rPr>
            </w:pPr>
            <w:r w:rsidRPr="00367300">
              <w:rPr>
                <w:rFonts w:ascii="Times New Roman" w:hAnsi="Times New Roman" w:cs="Times New Roman"/>
                <w:sz w:val="24"/>
                <w:szCs w:val="24"/>
              </w:rPr>
              <w:t>18 мероприятий в ВУЗах (754 человека).</w:t>
            </w:r>
          </w:p>
          <w:p w14:paraId="1F980543" w14:textId="77777777" w:rsidR="003F26A5" w:rsidRPr="00367300" w:rsidRDefault="003F26A5">
            <w:pPr>
              <w:pStyle w:val="ae"/>
              <w:ind w:left="-75"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В онлайн-уроках по финансовой грамотности (1410 уроков), проводимых Банком России приняли участие 297 образовательных организаций Новосибирской области (школы, ССУЗы, организации для детей-сирот и детей оставшихся без попечения родителей). </w:t>
            </w:r>
          </w:p>
          <w:p w14:paraId="260E9317" w14:textId="77777777" w:rsidR="003F26A5" w:rsidRPr="00367300" w:rsidRDefault="003F26A5">
            <w:pPr>
              <w:ind w:left="-75" w:firstLine="340"/>
              <w:jc w:val="both"/>
              <w:rPr>
                <w:rFonts w:ascii="Times New Roman" w:hAnsi="Times New Roman" w:cs="Times New Roman"/>
                <w:sz w:val="24"/>
                <w:szCs w:val="24"/>
              </w:rPr>
            </w:pPr>
            <w:r w:rsidRPr="00367300">
              <w:rPr>
                <w:rFonts w:ascii="Times New Roman" w:hAnsi="Times New Roman" w:cs="Times New Roman"/>
                <w:sz w:val="24"/>
                <w:szCs w:val="24"/>
              </w:rPr>
              <w:t>Охват слушателей онлайн-уроков в Новосибирской области составил 21 598 человек.</w:t>
            </w:r>
          </w:p>
          <w:p w14:paraId="182D923B" w14:textId="77777777" w:rsidR="003F26A5" w:rsidRPr="00367300" w:rsidRDefault="003F26A5">
            <w:pPr>
              <w:ind w:left="-75" w:firstLine="340"/>
              <w:jc w:val="both"/>
              <w:rPr>
                <w:rFonts w:ascii="Times New Roman" w:hAnsi="Times New Roman" w:cs="Times New Roman"/>
                <w:color w:val="212020"/>
                <w:sz w:val="24"/>
                <w:szCs w:val="24"/>
                <w:shd w:val="clear" w:color="auto" w:fill="FFFFFF"/>
              </w:rPr>
            </w:pPr>
            <w:r w:rsidRPr="00367300">
              <w:rPr>
                <w:rFonts w:ascii="Times New Roman" w:hAnsi="Times New Roman" w:cs="Times New Roman"/>
                <w:sz w:val="24"/>
                <w:szCs w:val="24"/>
              </w:rPr>
              <w:lastRenderedPageBreak/>
              <w:t>В том числе следующие мероприятия.</w:t>
            </w:r>
          </w:p>
          <w:p w14:paraId="274F8FBE" w14:textId="77777777" w:rsidR="003F26A5" w:rsidRPr="00367300" w:rsidRDefault="003F26A5">
            <w:pPr>
              <w:ind w:left="-75" w:firstLine="340"/>
              <w:jc w:val="both"/>
              <w:rPr>
                <w:rFonts w:ascii="Times New Roman" w:hAnsi="Times New Roman" w:cs="Times New Roman"/>
                <w:bCs/>
                <w:color w:val="212020"/>
                <w:sz w:val="24"/>
                <w:szCs w:val="24"/>
              </w:rPr>
            </w:pPr>
            <w:r w:rsidRPr="00367300">
              <w:rPr>
                <w:rFonts w:ascii="Times New Roman" w:hAnsi="Times New Roman" w:cs="Times New Roman"/>
                <w:color w:val="212020"/>
                <w:sz w:val="24"/>
                <w:szCs w:val="24"/>
              </w:rPr>
              <w:t xml:space="preserve">В межрегиональном центре повышения квалификации Сибирского института управления филиала </w:t>
            </w:r>
            <w:r w:rsidRPr="00367300">
              <w:rPr>
                <w:rFonts w:ascii="Times New Roman" w:hAnsi="Times New Roman" w:cs="Times New Roman"/>
                <w:sz w:val="24"/>
                <w:szCs w:val="24"/>
              </w:rPr>
              <w:t>РАНХИГС</w:t>
            </w:r>
            <w:r w:rsidRPr="00367300">
              <w:rPr>
                <w:rFonts w:ascii="Times New Roman" w:hAnsi="Times New Roman" w:cs="Times New Roman"/>
                <w:color w:val="212020"/>
                <w:sz w:val="24"/>
                <w:szCs w:val="24"/>
              </w:rPr>
              <w:t xml:space="preserve"> в период</w:t>
            </w:r>
            <w:r w:rsidRPr="00367300">
              <w:rPr>
                <w:rFonts w:ascii="Times New Roman" w:hAnsi="Times New Roman" w:cs="Times New Roman"/>
                <w:bCs/>
                <w:color w:val="212020"/>
                <w:sz w:val="24"/>
                <w:szCs w:val="24"/>
              </w:rPr>
              <w:t xml:space="preserve"> с 17 по 28 июня 2019 года прошло обучение педагогов сельских школ Новосибирской области по теме «Основы финансовой грамотности, методы её преподавания в системе основного, среднего образования и финансового просвещения сельского населения»</w:t>
            </w:r>
            <w:r w:rsidRPr="00367300">
              <w:rPr>
                <w:rFonts w:ascii="Times New Roman" w:hAnsi="Times New Roman" w:cs="Times New Roman"/>
                <w:color w:val="212020"/>
                <w:sz w:val="24"/>
                <w:szCs w:val="24"/>
              </w:rPr>
              <w:t xml:space="preserve"> в рамках проекта Минфина России «Содействие повышению уровня финансовой грамотности населения и развитию финансового образования в Российской Федерации». </w:t>
            </w:r>
            <w:r w:rsidRPr="00367300">
              <w:rPr>
                <w:rFonts w:ascii="Times New Roman" w:hAnsi="Times New Roman" w:cs="Times New Roman"/>
                <w:bCs/>
                <w:color w:val="212020"/>
                <w:sz w:val="24"/>
                <w:szCs w:val="24"/>
              </w:rPr>
              <w:t xml:space="preserve">50 учителей сельских образовательных организаций из 29 районов Новосибирской области </w:t>
            </w:r>
            <w:r w:rsidRPr="00367300">
              <w:rPr>
                <w:rFonts w:ascii="Times New Roman" w:hAnsi="Times New Roman" w:cs="Times New Roman"/>
                <w:color w:val="212020"/>
                <w:sz w:val="24"/>
                <w:szCs w:val="24"/>
              </w:rPr>
              <w:t xml:space="preserve">по итогам дистанционного и очного обучения успешно </w:t>
            </w:r>
            <w:r w:rsidRPr="00367300">
              <w:rPr>
                <w:rFonts w:ascii="Times New Roman" w:hAnsi="Times New Roman" w:cs="Times New Roman"/>
                <w:bCs/>
                <w:color w:val="212020"/>
                <w:sz w:val="24"/>
                <w:szCs w:val="24"/>
              </w:rPr>
              <w:t xml:space="preserve">прошли итоговую аттестацию и защитили 10 проектов по методике проведения уроков и внеурочных мероприятий и 10 проектов по проведению просветительских мероприятий с сельским населением. </w:t>
            </w:r>
          </w:p>
          <w:p w14:paraId="324A293E" w14:textId="77777777" w:rsidR="003F26A5" w:rsidRPr="00367300" w:rsidRDefault="003F26A5">
            <w:pPr>
              <w:autoSpaceDE w:val="0"/>
              <w:autoSpaceDN w:val="0"/>
              <w:ind w:left="-75" w:firstLine="340"/>
              <w:jc w:val="both"/>
              <w:rPr>
                <w:rFonts w:ascii="Times New Roman" w:eastAsia="Times New Roman" w:hAnsi="Times New Roman" w:cs="Times New Roman"/>
                <w:bCs/>
                <w:sz w:val="24"/>
                <w:szCs w:val="24"/>
              </w:rPr>
            </w:pPr>
            <w:r w:rsidRPr="00367300">
              <w:rPr>
                <w:rFonts w:ascii="Times New Roman" w:eastAsia="Times New Roman" w:hAnsi="Times New Roman" w:cs="Times New Roman"/>
                <w:bCs/>
                <w:sz w:val="24"/>
                <w:szCs w:val="24"/>
              </w:rPr>
              <w:t>Ежегодно проводятся мероприятия в сотрудничестве с финансовыми структурами:</w:t>
            </w:r>
          </w:p>
          <w:p w14:paraId="621CF25C" w14:textId="77777777" w:rsidR="003F26A5" w:rsidRPr="00367300" w:rsidRDefault="003F26A5">
            <w:pPr>
              <w:autoSpaceDE w:val="0"/>
              <w:autoSpaceDN w:val="0"/>
              <w:ind w:left="-75" w:firstLine="340"/>
              <w:jc w:val="both"/>
              <w:rPr>
                <w:rFonts w:ascii="Times New Roman" w:eastAsia="Times New Roman" w:hAnsi="Times New Roman" w:cs="Times New Roman"/>
                <w:bCs/>
                <w:sz w:val="24"/>
                <w:szCs w:val="24"/>
              </w:rPr>
            </w:pPr>
            <w:r w:rsidRPr="00367300">
              <w:rPr>
                <w:rFonts w:ascii="Times New Roman" w:eastAsia="Times New Roman" w:hAnsi="Times New Roman" w:cs="Times New Roman"/>
                <w:bCs/>
                <w:sz w:val="24"/>
                <w:szCs w:val="24"/>
              </w:rPr>
              <w:t>акция «Дни финансовой грамотности в учебных заведениях» в образовательных организациях. Организаторы акции Минфин РФ, Банк России, Минфин Новосибирской области и Минобразования Новосибирской области. В рамках акции обучающиеся знакомятся с российской финансовой системой, ее структурой, функциями и инструментами.;</w:t>
            </w:r>
          </w:p>
          <w:p w14:paraId="0B8A8E2A" w14:textId="77777777" w:rsidR="003F26A5" w:rsidRPr="00367300" w:rsidRDefault="003F26A5">
            <w:pPr>
              <w:autoSpaceDE w:val="0"/>
              <w:autoSpaceDN w:val="0"/>
              <w:ind w:left="-75" w:firstLine="340"/>
              <w:jc w:val="both"/>
              <w:rPr>
                <w:rFonts w:ascii="Times New Roman" w:eastAsia="Times New Roman" w:hAnsi="Times New Roman" w:cs="Times New Roman"/>
                <w:bCs/>
                <w:sz w:val="24"/>
                <w:szCs w:val="24"/>
              </w:rPr>
            </w:pPr>
            <w:r w:rsidRPr="00367300">
              <w:rPr>
                <w:rFonts w:ascii="Times New Roman" w:eastAsia="Times New Roman" w:hAnsi="Times New Roman" w:cs="Times New Roman"/>
                <w:bCs/>
                <w:sz w:val="24"/>
                <w:szCs w:val="24"/>
              </w:rPr>
              <w:t xml:space="preserve"> «Онлайн-уроки по финансовой грамотности» среди старшеклассников. В 2019 году количество прослушиваний возросло по сравнению с 2018 и составило в весеннюю сессию 9285, в осеннюю сессию – 4224 (2018 – 5041 просмотров); </w:t>
            </w:r>
          </w:p>
          <w:p w14:paraId="5D7C9375" w14:textId="77777777" w:rsidR="003F26A5" w:rsidRPr="00367300" w:rsidRDefault="003F26A5">
            <w:pPr>
              <w:autoSpaceDE w:val="0"/>
              <w:autoSpaceDN w:val="0"/>
              <w:ind w:left="-75" w:firstLine="340"/>
              <w:jc w:val="both"/>
              <w:rPr>
                <w:rFonts w:ascii="Times New Roman" w:eastAsia="Times New Roman" w:hAnsi="Times New Roman" w:cs="Times New Roman"/>
                <w:bCs/>
                <w:sz w:val="24"/>
                <w:szCs w:val="24"/>
              </w:rPr>
            </w:pPr>
            <w:r w:rsidRPr="00367300">
              <w:rPr>
                <w:rFonts w:ascii="Times New Roman" w:eastAsia="Times New Roman" w:hAnsi="Times New Roman" w:cs="Times New Roman"/>
                <w:bCs/>
                <w:sz w:val="24"/>
                <w:szCs w:val="24"/>
              </w:rPr>
              <w:lastRenderedPageBreak/>
              <w:t>для старшеклассников ежегодно проводится Всероссийская олимпиада по финансовому рынку и основам потребительских знаний.</w:t>
            </w:r>
          </w:p>
          <w:p w14:paraId="0F31E42C" w14:textId="77777777" w:rsidR="003F26A5" w:rsidRPr="00367300" w:rsidRDefault="003F26A5">
            <w:pPr>
              <w:ind w:left="-75" w:firstLine="340"/>
              <w:contextualSpacing/>
              <w:jc w:val="both"/>
              <w:rPr>
                <w:rFonts w:ascii="Times New Roman" w:hAnsi="Times New Roman" w:cs="Times New Roman"/>
                <w:sz w:val="24"/>
                <w:szCs w:val="24"/>
              </w:rPr>
            </w:pPr>
            <w:r w:rsidRPr="00367300">
              <w:rPr>
                <w:rFonts w:ascii="Times New Roman" w:eastAsia="Times New Roman" w:hAnsi="Times New Roman" w:cs="Times New Roman"/>
                <w:bCs/>
                <w:sz w:val="24"/>
                <w:szCs w:val="24"/>
              </w:rPr>
              <w:t>В 2019 году Новосибирская область впервые учувствовала в конкурсе эссе «День рубля» в рамках Всероссийского профессионального праздника «День финансиста» (далее – Конкурс). Организаторами регионального этапа Конкурса выступили министерство образования Новосибирской области совместно с министерством финансов и налоговой политики Новосибирской области, 400 обучающихся профессиональных образовательных организаций приняли участие в осенней сессии онлайн-уроков финансовой грамотности в 2019 году.</w:t>
            </w:r>
          </w:p>
        </w:tc>
      </w:tr>
    </w:tbl>
    <w:tbl>
      <w:tblPr>
        <w:tblStyle w:val="af8"/>
        <w:tblW w:w="5059" w:type="pct"/>
        <w:tblLayout w:type="fixed"/>
        <w:tblLook w:val="04A0" w:firstRow="1" w:lastRow="0" w:firstColumn="1" w:lastColumn="0" w:noHBand="0" w:noVBand="1"/>
      </w:tblPr>
      <w:tblGrid>
        <w:gridCol w:w="987"/>
        <w:gridCol w:w="3265"/>
        <w:gridCol w:w="2130"/>
        <w:gridCol w:w="993"/>
        <w:gridCol w:w="1364"/>
        <w:gridCol w:w="5984"/>
        <w:gridCol w:w="9"/>
      </w:tblGrid>
      <w:tr w:rsidR="003F26A5" w:rsidRPr="00367300" w14:paraId="3BF169FC" w14:textId="77777777" w:rsidTr="003F26A5">
        <w:trPr>
          <w:gridAfter w:val="1"/>
          <w:wAfter w:w="3" w:type="pct"/>
          <w:trHeight w:val="283"/>
        </w:trPr>
        <w:tc>
          <w:tcPr>
            <w:tcW w:w="335" w:type="pct"/>
          </w:tcPr>
          <w:p w14:paraId="2CB1AFD4"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20.3</w:t>
            </w:r>
          </w:p>
        </w:tc>
        <w:tc>
          <w:tcPr>
            <w:tcW w:w="1108" w:type="pct"/>
          </w:tcPr>
          <w:p w14:paraId="37B312E9"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Проведение и участие </w:t>
            </w:r>
          </w:p>
          <w:p w14:paraId="6BE945A4"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в мероприятиях по направлению деятельности «Подготовка </w:t>
            </w:r>
          </w:p>
          <w:p w14:paraId="6F218BFA" w14:textId="77777777" w:rsidR="003F26A5" w:rsidRPr="00891093"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и повышение квалификации педагогических работников» (лекции, семинары, консультации, мастер-классы, совещания, информирова</w:t>
            </w:r>
            <w:r w:rsidRPr="00891093">
              <w:rPr>
                <w:rFonts w:ascii="Times New Roman" w:hAnsi="Times New Roman" w:cs="Times New Roman"/>
                <w:sz w:val="24"/>
                <w:szCs w:val="24"/>
              </w:rPr>
              <w:t>ние о событиях круглые столы, заседания рабочих групп)</w:t>
            </w:r>
          </w:p>
        </w:tc>
        <w:tc>
          <w:tcPr>
            <w:tcW w:w="723" w:type="pct"/>
          </w:tcPr>
          <w:p w14:paraId="7503E922"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Повышение финансовой грамотности</w:t>
            </w:r>
          </w:p>
        </w:tc>
        <w:tc>
          <w:tcPr>
            <w:tcW w:w="337" w:type="pct"/>
          </w:tcPr>
          <w:p w14:paraId="3213AC2C"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Pr>
          <w:p w14:paraId="37C0E056" w14:textId="77777777" w:rsidR="003F26A5" w:rsidRPr="008A0E4E" w:rsidRDefault="003F26A5" w:rsidP="00891093">
            <w:pPr>
              <w:contextualSpacing/>
              <w:rPr>
                <w:rFonts w:ascii="Times New Roman" w:hAnsi="Times New Roman" w:cs="Times New Roman"/>
                <w:sz w:val="24"/>
                <w:szCs w:val="24"/>
              </w:rPr>
            </w:pPr>
            <w:r w:rsidRPr="008A0E4E">
              <w:rPr>
                <w:rFonts w:ascii="Times New Roman" w:hAnsi="Times New Roman" w:cs="Times New Roman"/>
                <w:sz w:val="24"/>
                <w:szCs w:val="24"/>
              </w:rPr>
              <w:t>Минобразования НСО, Управление Службы по защите прав потребителей и обеспечению доступности финансовой услуг в СФО</w:t>
            </w:r>
          </w:p>
          <w:p w14:paraId="7D6B2099" w14:textId="77777777" w:rsidR="003F26A5" w:rsidRPr="00FC74FE" w:rsidRDefault="003F26A5" w:rsidP="00891093">
            <w:pPr>
              <w:contextualSpacing/>
              <w:rPr>
                <w:rFonts w:ascii="Times New Roman" w:hAnsi="Times New Roman" w:cs="Times New Roman"/>
                <w:sz w:val="24"/>
                <w:szCs w:val="24"/>
              </w:rPr>
            </w:pPr>
            <w:r w:rsidRPr="00FC74FE">
              <w:rPr>
                <w:rFonts w:ascii="Times New Roman" w:hAnsi="Times New Roman" w:cs="Times New Roman"/>
                <w:sz w:val="24"/>
                <w:szCs w:val="24"/>
              </w:rPr>
              <w:t>(по согласованию),</w:t>
            </w:r>
          </w:p>
          <w:p w14:paraId="11CE9A3A" w14:textId="77777777" w:rsidR="003F26A5" w:rsidRPr="00367300" w:rsidRDefault="003F26A5" w:rsidP="008A0E4E">
            <w:pPr>
              <w:contextualSpacing/>
              <w:rPr>
                <w:rFonts w:ascii="Times New Roman" w:hAnsi="Times New Roman" w:cs="Times New Roman"/>
                <w:sz w:val="24"/>
                <w:szCs w:val="24"/>
              </w:rPr>
            </w:pPr>
            <w:r w:rsidRPr="009B4FC0">
              <w:rPr>
                <w:rFonts w:ascii="Times New Roman" w:hAnsi="Times New Roman" w:cs="Times New Roman"/>
                <w:sz w:val="24"/>
                <w:szCs w:val="24"/>
              </w:rPr>
              <w:t>ГАУ ДПО НСО «Новосибирский центр разви</w:t>
            </w:r>
            <w:r w:rsidRPr="00367300">
              <w:rPr>
                <w:rFonts w:ascii="Times New Roman" w:hAnsi="Times New Roman" w:cs="Times New Roman"/>
                <w:sz w:val="24"/>
                <w:szCs w:val="24"/>
              </w:rPr>
              <w:t xml:space="preserve">тия </w:t>
            </w:r>
            <w:r w:rsidRPr="00367300">
              <w:rPr>
                <w:rFonts w:ascii="Times New Roman" w:hAnsi="Times New Roman" w:cs="Times New Roman"/>
                <w:sz w:val="24"/>
                <w:szCs w:val="24"/>
              </w:rPr>
              <w:lastRenderedPageBreak/>
              <w:t>профессионального образования»</w:t>
            </w:r>
          </w:p>
          <w:p w14:paraId="3DFF544C" w14:textId="77777777" w:rsidR="003F26A5" w:rsidRPr="00367300" w:rsidRDefault="003F26A5" w:rsidP="00FC74FE">
            <w:pPr>
              <w:contextualSpacing/>
              <w:rPr>
                <w:rFonts w:ascii="Times New Roman" w:hAnsi="Times New Roman" w:cs="Times New Roman"/>
                <w:sz w:val="24"/>
                <w:szCs w:val="24"/>
              </w:rPr>
            </w:pPr>
            <w:r w:rsidRPr="00367300">
              <w:rPr>
                <w:rFonts w:ascii="Times New Roman" w:hAnsi="Times New Roman" w:cs="Times New Roman"/>
                <w:sz w:val="24"/>
                <w:szCs w:val="24"/>
              </w:rPr>
              <w:t xml:space="preserve">(по согласованию), Сибирский межрегиональный методический центр по финансовой грамотности </w:t>
            </w:r>
            <w:hyperlink r:id="rId128" w:history="1">
              <w:r w:rsidRPr="00367300">
                <w:rPr>
                  <w:rFonts w:ascii="Times New Roman" w:hAnsi="Times New Roman" w:cs="Times New Roman"/>
                  <w:sz w:val="24"/>
                  <w:szCs w:val="24"/>
                </w:rPr>
                <w:t>Сибирского института управления – филиала РАНХиГС</w:t>
              </w:r>
            </w:hyperlink>
            <w:r w:rsidRPr="00367300">
              <w:rPr>
                <w:rFonts w:ascii="Times New Roman" w:hAnsi="Times New Roman" w:cs="Times New Roman"/>
                <w:sz w:val="24"/>
                <w:szCs w:val="24"/>
              </w:rPr>
              <w:t xml:space="preserve"> </w:t>
            </w:r>
          </w:p>
          <w:p w14:paraId="0751CE6A" w14:textId="77777777" w:rsidR="003F26A5" w:rsidRPr="00367300" w:rsidRDefault="003F26A5" w:rsidP="009B4FC0">
            <w:pPr>
              <w:contextualSpacing/>
              <w:rPr>
                <w:rFonts w:ascii="Times New Roman" w:hAnsi="Times New Roman" w:cs="Times New Roman"/>
                <w:bCs/>
                <w:sz w:val="24"/>
                <w:szCs w:val="24"/>
                <w:highlight w:val="cyan"/>
              </w:rPr>
            </w:pPr>
            <w:r w:rsidRPr="00367300">
              <w:rPr>
                <w:rFonts w:ascii="Times New Roman" w:hAnsi="Times New Roman" w:cs="Times New Roman"/>
                <w:sz w:val="24"/>
                <w:szCs w:val="24"/>
              </w:rPr>
              <w:t>(по согласованию)</w:t>
            </w:r>
          </w:p>
        </w:tc>
        <w:tc>
          <w:tcPr>
            <w:tcW w:w="2031" w:type="pct"/>
          </w:tcPr>
          <w:p w14:paraId="68687413" w14:textId="77777777" w:rsidR="003F26A5" w:rsidRPr="00367300" w:rsidRDefault="003F26A5">
            <w:pPr>
              <w:pStyle w:val="ae"/>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lastRenderedPageBreak/>
              <w:t>В рамках повышения финансовой грамотности педагогических работников в 2019 году проведены следующие мероприятия.</w:t>
            </w:r>
          </w:p>
          <w:p w14:paraId="0A39E641" w14:textId="77777777" w:rsidR="003F26A5" w:rsidRPr="00891093" w:rsidRDefault="003F26A5">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Повышение квалификации педагогов общеобразовательных организаций Новосибирской области в рамках проекта Минфина России «Содействие повышению уровня финансовой грамотности населения и развитию финансового образования в Российской Федерации»:</w:t>
            </w:r>
          </w:p>
          <w:p w14:paraId="6A430DEC" w14:textId="77777777" w:rsidR="003F26A5" w:rsidRPr="00891093" w:rsidRDefault="003F26A5">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14 – 25 января, тема «Содержание и методика преподавания курса финансовой грамотности различным категориям обучающихся» (72 часа) – 50 человек;</w:t>
            </w:r>
          </w:p>
          <w:p w14:paraId="297A0D6C" w14:textId="77777777" w:rsidR="003F26A5" w:rsidRPr="008A0E4E" w:rsidRDefault="003F26A5">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17 – 18 июня, тема «Основы фи</w:t>
            </w:r>
            <w:r w:rsidRPr="008A0E4E">
              <w:rPr>
                <w:rFonts w:ascii="Times New Roman" w:hAnsi="Times New Roman" w:cs="Times New Roman"/>
                <w:sz w:val="24"/>
                <w:szCs w:val="24"/>
              </w:rPr>
              <w:t>нансовой грамотности, методы ее преподавания в системе основного, среднего образования и финансового просвещения сельского населения» (72 часа) – 50 человек.</w:t>
            </w:r>
          </w:p>
          <w:p w14:paraId="4A61B749" w14:textId="77777777" w:rsidR="003F26A5" w:rsidRPr="00FC74FE" w:rsidRDefault="003F26A5">
            <w:pPr>
              <w:ind w:left="57" w:right="57" w:firstLine="340"/>
              <w:jc w:val="both"/>
              <w:rPr>
                <w:rFonts w:ascii="Times New Roman" w:hAnsi="Times New Roman" w:cs="Times New Roman"/>
                <w:sz w:val="24"/>
                <w:szCs w:val="24"/>
              </w:rPr>
            </w:pPr>
            <w:r w:rsidRPr="00FC74FE">
              <w:rPr>
                <w:rFonts w:ascii="Times New Roman" w:hAnsi="Times New Roman" w:cs="Times New Roman"/>
                <w:sz w:val="24"/>
                <w:szCs w:val="24"/>
              </w:rPr>
              <w:t>Повышение квалификации педагогов – предметников:</w:t>
            </w:r>
          </w:p>
          <w:p w14:paraId="21C13733" w14:textId="77777777" w:rsidR="003F26A5" w:rsidRPr="00367300" w:rsidRDefault="003F26A5">
            <w:pPr>
              <w:ind w:left="57" w:right="57" w:firstLine="340"/>
              <w:jc w:val="both"/>
              <w:rPr>
                <w:rFonts w:ascii="Times New Roman" w:hAnsi="Times New Roman" w:cs="Times New Roman"/>
                <w:sz w:val="24"/>
                <w:szCs w:val="24"/>
              </w:rPr>
            </w:pPr>
            <w:r w:rsidRPr="009B4FC0">
              <w:rPr>
                <w:rFonts w:ascii="Times New Roman" w:hAnsi="Times New Roman" w:cs="Times New Roman"/>
                <w:sz w:val="24"/>
                <w:szCs w:val="24"/>
              </w:rPr>
              <w:lastRenderedPageBreak/>
              <w:t>12 – 14 февраля, тема «Финансовая грамотность в о</w:t>
            </w:r>
            <w:r w:rsidRPr="00367300">
              <w:rPr>
                <w:rFonts w:ascii="Times New Roman" w:hAnsi="Times New Roman" w:cs="Times New Roman"/>
                <w:sz w:val="24"/>
                <w:szCs w:val="24"/>
              </w:rPr>
              <w:t>бществознании» (24 часа) – 42 человека;</w:t>
            </w:r>
          </w:p>
          <w:p w14:paraId="0C6F648A" w14:textId="77777777" w:rsidR="003F26A5" w:rsidRPr="00367300" w:rsidRDefault="003F26A5">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9 – 21 февраля, тема «Финансовая грамотность в обществознании» (24 часа) – 28 человек;</w:t>
            </w:r>
          </w:p>
          <w:p w14:paraId="2870C0C6" w14:textId="77777777" w:rsidR="003F26A5" w:rsidRPr="00367300" w:rsidRDefault="003F26A5">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18 – 20 сентября, тема «Финансовая грамотность в математике» (24 часа) – 24 человека;</w:t>
            </w:r>
          </w:p>
          <w:p w14:paraId="08A04014" w14:textId="77777777" w:rsidR="003F26A5" w:rsidRPr="00367300" w:rsidRDefault="003F26A5">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23 – 25 сентября, тема «Финансовая грамотность в обществознании» (24 часа) – 29 человек; </w:t>
            </w:r>
          </w:p>
          <w:p w14:paraId="06C6F212" w14:textId="77777777" w:rsidR="003F26A5" w:rsidRPr="00367300" w:rsidRDefault="003F26A5">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23 – 25 октября, тема «Финансовая грамотность в географии» (24 часа) – 25 человек;</w:t>
            </w:r>
          </w:p>
          <w:p w14:paraId="194155DD" w14:textId="77777777" w:rsidR="003F26A5" w:rsidRPr="00367300" w:rsidRDefault="003F26A5">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20 – 22 ноября, тема «Финансовая грамотность в истории» (24 часа) – 10 человек.</w:t>
            </w:r>
          </w:p>
          <w:p w14:paraId="7A87B109" w14:textId="77777777" w:rsidR="003F26A5" w:rsidRPr="00367300" w:rsidRDefault="003F26A5">
            <w:pPr>
              <w:ind w:left="57" w:right="57" w:firstLine="340"/>
              <w:contextualSpacing/>
              <w:jc w:val="both"/>
              <w:rPr>
                <w:rFonts w:ascii="Times New Roman" w:eastAsia="Calibri" w:hAnsi="Times New Roman" w:cs="Times New Roman"/>
                <w:sz w:val="24"/>
                <w:szCs w:val="24"/>
              </w:rPr>
            </w:pPr>
            <w:r w:rsidRPr="00367300">
              <w:rPr>
                <w:rFonts w:ascii="Times New Roman" w:hAnsi="Times New Roman" w:cs="Times New Roman"/>
                <w:sz w:val="24"/>
                <w:szCs w:val="24"/>
              </w:rPr>
              <w:t>Поддерживающие семинары для педагогов, прошедших повышение квалификации: 18 декабря (г. Барабинск) – 25 человек; 24 декабря (г. Карасук) – 35 человек</w:t>
            </w:r>
          </w:p>
          <w:p w14:paraId="429F977D" w14:textId="77777777" w:rsidR="003F26A5" w:rsidRPr="00367300" w:rsidRDefault="003F26A5">
            <w:pPr>
              <w:ind w:left="57" w:right="57" w:firstLine="340"/>
              <w:contextualSpacing/>
              <w:jc w:val="both"/>
              <w:rPr>
                <w:rFonts w:ascii="Times New Roman" w:eastAsia="Calibri" w:hAnsi="Times New Roman" w:cs="Times New Roman"/>
                <w:sz w:val="24"/>
                <w:szCs w:val="24"/>
              </w:rPr>
            </w:pPr>
            <w:r w:rsidRPr="00367300">
              <w:rPr>
                <w:rFonts w:ascii="Times New Roman" w:eastAsia="Calibri" w:hAnsi="Times New Roman" w:cs="Times New Roman"/>
                <w:sz w:val="24"/>
                <w:szCs w:val="24"/>
              </w:rPr>
              <w:t>Проведены межрайонные семинары «Актуальные вопросы преподавания курса финансовой грамотности учащимся 5 – 11 классов» 6.02.2019 в г. Барабинск, 26.02.2019 в г. Карасук, 13.03.19 в СИУ РАНХИГС, Новосибирск.</w:t>
            </w:r>
          </w:p>
          <w:p w14:paraId="7F835B91" w14:textId="77777777" w:rsidR="003F26A5" w:rsidRPr="00367300" w:rsidRDefault="003F26A5">
            <w:pPr>
              <w:ind w:left="57" w:right="57" w:firstLine="340"/>
              <w:contextualSpacing/>
              <w:jc w:val="both"/>
              <w:rPr>
                <w:rFonts w:ascii="Times New Roman" w:eastAsia="Calibri" w:hAnsi="Times New Roman" w:cs="Times New Roman"/>
                <w:sz w:val="24"/>
                <w:szCs w:val="24"/>
              </w:rPr>
            </w:pPr>
            <w:r w:rsidRPr="00367300">
              <w:rPr>
                <w:rFonts w:ascii="Times New Roman" w:eastAsia="Calibri" w:hAnsi="Times New Roman" w:cs="Times New Roman"/>
                <w:sz w:val="24"/>
                <w:szCs w:val="24"/>
              </w:rPr>
              <w:t>Организовано приглашение специалистов Банка России для участия в курсах повышения квалификации для учителей начальных классов и учителей истории и обществознания (3 группы) на базе ГАУ ДПО НСО «Новосибирский институт повышения квалификации и переподготовки работников образования».</w:t>
            </w:r>
          </w:p>
          <w:p w14:paraId="6D5CBC9D" w14:textId="77777777" w:rsidR="003F26A5" w:rsidRPr="00367300" w:rsidRDefault="003F26A5">
            <w:pPr>
              <w:ind w:left="57" w:right="57" w:firstLine="340"/>
              <w:contextualSpacing/>
              <w:jc w:val="both"/>
              <w:rPr>
                <w:rFonts w:ascii="Times New Roman" w:eastAsia="Calibri" w:hAnsi="Times New Roman" w:cs="Times New Roman"/>
                <w:sz w:val="24"/>
                <w:szCs w:val="24"/>
              </w:rPr>
            </w:pPr>
            <w:r w:rsidRPr="00367300">
              <w:rPr>
                <w:rFonts w:ascii="Times New Roman" w:eastAsia="Calibri" w:hAnsi="Times New Roman" w:cs="Times New Roman"/>
                <w:sz w:val="24"/>
                <w:szCs w:val="24"/>
              </w:rPr>
              <w:t xml:space="preserve">Вопросы формирования финансовой грамотности в урочной и внеурочной деятельности включены в содержание курсов повышения квалификации для учителей в ГАУ ДПО НСО «Новосибирский институт повышения квалификации и переподготовки работников образования»  </w:t>
            </w:r>
          </w:p>
          <w:p w14:paraId="19BCC574" w14:textId="77777777" w:rsidR="003F26A5" w:rsidRPr="00367300" w:rsidRDefault="003F26A5">
            <w:pPr>
              <w:ind w:left="57" w:right="57" w:firstLine="340"/>
              <w:contextualSpacing/>
              <w:jc w:val="both"/>
              <w:rPr>
                <w:rFonts w:ascii="Times New Roman" w:eastAsia="Calibri" w:hAnsi="Times New Roman" w:cs="Times New Roman"/>
                <w:sz w:val="24"/>
                <w:szCs w:val="24"/>
              </w:rPr>
            </w:pPr>
            <w:r w:rsidRPr="00367300">
              <w:rPr>
                <w:rFonts w:ascii="Times New Roman" w:eastAsia="Calibri" w:hAnsi="Times New Roman" w:cs="Times New Roman"/>
                <w:sz w:val="24"/>
                <w:szCs w:val="24"/>
              </w:rPr>
              <w:lastRenderedPageBreak/>
              <w:t>В марте 2019 года организована работа секции по финансовой грамотности в ежегодной Всероссийской конференции педагогов всех уровней по актуальным проблемам образования.</w:t>
            </w:r>
          </w:p>
          <w:p w14:paraId="79EFB4B3" w14:textId="77777777" w:rsidR="003F26A5" w:rsidRPr="00367300" w:rsidRDefault="003F26A5">
            <w:pPr>
              <w:ind w:left="57" w:right="57" w:firstLine="340"/>
              <w:contextualSpacing/>
              <w:jc w:val="both"/>
              <w:rPr>
                <w:rFonts w:ascii="Times New Roman" w:eastAsia="Calibri" w:hAnsi="Times New Roman" w:cs="Times New Roman"/>
                <w:sz w:val="24"/>
                <w:szCs w:val="24"/>
              </w:rPr>
            </w:pPr>
            <w:r w:rsidRPr="00367300">
              <w:rPr>
                <w:rFonts w:ascii="Times New Roman" w:eastAsia="Calibri" w:hAnsi="Times New Roman" w:cs="Times New Roman"/>
                <w:sz w:val="24"/>
                <w:szCs w:val="24"/>
              </w:rPr>
              <w:t>Осуществлена публикация статей в научно-методическом журнале «Сибирский учитель» по вопросам формирования финансовой грамотности у школьников (Т.В. Смолеусова; А.Г. Гуськова, учителя, обучавшиеся на курсах).</w:t>
            </w:r>
          </w:p>
          <w:p w14:paraId="7BF434C1" w14:textId="77777777" w:rsidR="003F26A5" w:rsidRPr="00367300" w:rsidRDefault="003F26A5">
            <w:pPr>
              <w:ind w:left="57" w:right="57" w:firstLine="340"/>
              <w:contextualSpacing/>
              <w:jc w:val="both"/>
              <w:rPr>
                <w:rFonts w:ascii="Times New Roman" w:eastAsia="Calibri" w:hAnsi="Times New Roman" w:cs="Times New Roman"/>
                <w:sz w:val="24"/>
                <w:szCs w:val="24"/>
              </w:rPr>
            </w:pPr>
            <w:r w:rsidRPr="00367300">
              <w:rPr>
                <w:rFonts w:ascii="Times New Roman" w:eastAsia="Calibri" w:hAnsi="Times New Roman" w:cs="Times New Roman"/>
                <w:sz w:val="24"/>
                <w:szCs w:val="24"/>
              </w:rPr>
              <w:t>Подготовлены и проведены открытые урочные и внеурочные занятия по финансовой грамотности в рамках региональных научно-методических семинаров для педагогов Новосибирской области в образовательных организациях г. Новосибирска.</w:t>
            </w:r>
          </w:p>
          <w:p w14:paraId="6298C885" w14:textId="77777777" w:rsidR="003F26A5" w:rsidRPr="00367300" w:rsidRDefault="003F26A5">
            <w:pPr>
              <w:ind w:left="57" w:right="57" w:firstLine="340"/>
              <w:contextualSpacing/>
              <w:jc w:val="both"/>
              <w:rPr>
                <w:rFonts w:ascii="Times New Roman" w:eastAsia="Calibri" w:hAnsi="Times New Roman" w:cs="Times New Roman"/>
                <w:sz w:val="24"/>
                <w:szCs w:val="24"/>
              </w:rPr>
            </w:pPr>
            <w:r w:rsidRPr="00367300">
              <w:rPr>
                <w:rFonts w:ascii="Times New Roman" w:eastAsia="Calibri" w:hAnsi="Times New Roman" w:cs="Times New Roman"/>
                <w:sz w:val="24"/>
                <w:szCs w:val="24"/>
              </w:rPr>
              <w:t>Введена специальная номинация по финансовой грамотности в региональный профессиональный конкурс учителей начальных классов им. Героя труда Т.П.Комаровой «Мой лучший урок».</w:t>
            </w:r>
          </w:p>
          <w:p w14:paraId="1A5192A0" w14:textId="77777777" w:rsidR="003F26A5" w:rsidRPr="00367300" w:rsidRDefault="003F26A5">
            <w:pPr>
              <w:ind w:left="57" w:right="57" w:firstLine="340"/>
              <w:contextualSpacing/>
              <w:jc w:val="both"/>
              <w:rPr>
                <w:rFonts w:ascii="Times New Roman" w:eastAsia="Calibri" w:hAnsi="Times New Roman" w:cs="Times New Roman"/>
                <w:sz w:val="24"/>
                <w:szCs w:val="24"/>
              </w:rPr>
            </w:pPr>
            <w:r w:rsidRPr="00367300">
              <w:rPr>
                <w:rFonts w:ascii="Times New Roman" w:eastAsia="Calibri" w:hAnsi="Times New Roman" w:cs="Times New Roman"/>
                <w:sz w:val="24"/>
                <w:szCs w:val="24"/>
              </w:rPr>
              <w:t>В июне 2019 года организованы выступления по вопросам методики формирования финансовой грамотности младших школьников в рамках ежегодной региональной научно-практической конференции «Современный урок в начальной школе».</w:t>
            </w:r>
          </w:p>
          <w:p w14:paraId="4672C4B7" w14:textId="77777777" w:rsidR="003F26A5" w:rsidRPr="00367300" w:rsidRDefault="003F26A5">
            <w:pPr>
              <w:pStyle w:val="ConsPlusNormal"/>
              <w:ind w:left="57" w:right="57" w:firstLine="340"/>
              <w:jc w:val="both"/>
              <w:rPr>
                <w:rFonts w:ascii="Times New Roman" w:hAnsi="Times New Roman" w:cs="Times New Roman"/>
                <w:sz w:val="24"/>
                <w:szCs w:val="24"/>
              </w:rPr>
            </w:pPr>
            <w:r w:rsidRPr="00367300">
              <w:rPr>
                <w:rFonts w:ascii="Times New Roman" w:eastAsia="Calibri" w:hAnsi="Times New Roman" w:cs="Times New Roman"/>
                <w:sz w:val="24"/>
                <w:szCs w:val="24"/>
              </w:rPr>
              <w:t xml:space="preserve">В рамках популяризация образовательных программ в области финансовой грамотности среди педагогических работников Новосибирской области организованы в том числе курсы повышения квалификации по финансовой грамотности педагогов Новосибирской области, в Межрегиональном центре повышения квалификации Сибирского института управления – филиала РАНХиГС. Всего в 2019 году обучение прошло 229 педагогов. Кроме того, программы были организованы для осуществления обучения в </w:t>
            </w:r>
            <w:r w:rsidRPr="00367300">
              <w:rPr>
                <w:rFonts w:ascii="Times New Roman" w:eastAsia="Calibri" w:hAnsi="Times New Roman" w:cs="Times New Roman"/>
                <w:sz w:val="24"/>
                <w:szCs w:val="24"/>
              </w:rPr>
              <w:lastRenderedPageBreak/>
              <w:t>рамках определенных школьных дисциплин, таких как: английский язык, математика, обществознание, география, история.  Тематика повышения квалификации была подготовлена для различных категорий слушателей педагогов, методистов, администраторов образовательных организаций общего и среднего профессионального образования. Объем учебной программы составлял от 24 до 72 часов в различных форматах обучения очно и дистанционно.</w:t>
            </w:r>
          </w:p>
        </w:tc>
      </w:tr>
      <w:tr w:rsidR="003F26A5" w:rsidRPr="00367300" w14:paraId="3B8FEC23" w14:textId="77777777" w:rsidTr="003F26A5">
        <w:trPr>
          <w:gridAfter w:val="1"/>
          <w:wAfter w:w="3" w:type="pct"/>
          <w:trHeight w:val="283"/>
        </w:trPr>
        <w:tc>
          <w:tcPr>
            <w:tcW w:w="335" w:type="pct"/>
            <w:shd w:val="clear" w:color="auto" w:fill="auto"/>
          </w:tcPr>
          <w:p w14:paraId="377BC9A8"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20.4</w:t>
            </w:r>
          </w:p>
        </w:tc>
        <w:tc>
          <w:tcPr>
            <w:tcW w:w="1108" w:type="pct"/>
            <w:shd w:val="clear" w:color="auto" w:fill="auto"/>
          </w:tcPr>
          <w:p w14:paraId="22F3F518"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Проведение просветительских мероприятий по финансовой грамотности для детей-сирот и детей, оставшихся без попечения родителей, для детей-сирот, находящихся на постинтернатном сопровождении, а также </w:t>
            </w:r>
          </w:p>
          <w:p w14:paraId="040E6301"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для наставников детей-сирот</w:t>
            </w:r>
          </w:p>
        </w:tc>
        <w:tc>
          <w:tcPr>
            <w:tcW w:w="723" w:type="pct"/>
            <w:shd w:val="clear" w:color="auto" w:fill="auto"/>
          </w:tcPr>
          <w:p w14:paraId="36F8C334"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Повышение финансовой грамотности</w:t>
            </w:r>
          </w:p>
        </w:tc>
        <w:tc>
          <w:tcPr>
            <w:tcW w:w="337" w:type="pct"/>
            <w:shd w:val="clear" w:color="auto" w:fill="auto"/>
          </w:tcPr>
          <w:p w14:paraId="00657152"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shd w:val="clear" w:color="auto" w:fill="auto"/>
          </w:tcPr>
          <w:p w14:paraId="4EB8F895"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Управление Службы по защите прав потребителей и обеспечению доступности финансовой услуг в СФО</w:t>
            </w:r>
          </w:p>
          <w:p w14:paraId="292542E6" w14:textId="77777777" w:rsidR="003F26A5" w:rsidRPr="008A0E4E" w:rsidRDefault="003F26A5" w:rsidP="00891093">
            <w:pPr>
              <w:contextualSpacing/>
              <w:rPr>
                <w:rFonts w:ascii="Times New Roman" w:hAnsi="Times New Roman" w:cs="Times New Roman"/>
                <w:sz w:val="24"/>
                <w:szCs w:val="24"/>
              </w:rPr>
            </w:pPr>
            <w:r w:rsidRPr="008A0E4E">
              <w:rPr>
                <w:rFonts w:ascii="Times New Roman" w:hAnsi="Times New Roman" w:cs="Times New Roman"/>
                <w:sz w:val="24"/>
                <w:szCs w:val="24"/>
              </w:rPr>
              <w:t>(по согласованию)</w:t>
            </w:r>
          </w:p>
        </w:tc>
        <w:tc>
          <w:tcPr>
            <w:tcW w:w="2031" w:type="pct"/>
          </w:tcPr>
          <w:p w14:paraId="15844075" w14:textId="77777777" w:rsidR="003F26A5" w:rsidRPr="00FC74FE" w:rsidRDefault="003F26A5" w:rsidP="008A0E4E">
            <w:pPr>
              <w:pStyle w:val="ae"/>
              <w:ind w:left="57" w:right="57" w:firstLine="340"/>
              <w:jc w:val="both"/>
              <w:rPr>
                <w:rFonts w:ascii="Times New Roman" w:hAnsi="Times New Roman" w:cs="Times New Roman"/>
                <w:sz w:val="24"/>
                <w:szCs w:val="24"/>
              </w:rPr>
            </w:pPr>
            <w:r w:rsidRPr="00FC74FE">
              <w:rPr>
                <w:rFonts w:ascii="Times New Roman" w:hAnsi="Times New Roman" w:cs="Times New Roman"/>
                <w:sz w:val="24"/>
                <w:szCs w:val="24"/>
              </w:rPr>
              <w:t xml:space="preserve">В отчетном периоде проведено 6 семинаров. Организовано проведение 3 экскурсий в Сибирском ГУ Банка России для детей-сирот и детей ставшихся без попечения родителей. </w:t>
            </w:r>
          </w:p>
          <w:p w14:paraId="0DA98640" w14:textId="77777777" w:rsidR="003F26A5" w:rsidRPr="009B4FC0" w:rsidRDefault="003F26A5" w:rsidP="00FC74FE">
            <w:pPr>
              <w:pStyle w:val="ae"/>
              <w:ind w:left="57" w:right="57" w:firstLine="340"/>
              <w:jc w:val="both"/>
              <w:rPr>
                <w:rFonts w:ascii="Times New Roman" w:hAnsi="Times New Roman" w:cs="Times New Roman"/>
                <w:sz w:val="24"/>
                <w:szCs w:val="24"/>
              </w:rPr>
            </w:pPr>
            <w:r w:rsidRPr="009B4FC0">
              <w:rPr>
                <w:rFonts w:ascii="Times New Roman" w:hAnsi="Times New Roman" w:cs="Times New Roman"/>
                <w:sz w:val="24"/>
                <w:szCs w:val="24"/>
              </w:rPr>
              <w:t>В мероприятиях приняли участие 394 человека.</w:t>
            </w:r>
          </w:p>
        </w:tc>
      </w:tr>
      <w:tr w:rsidR="003F26A5" w:rsidRPr="00367300" w14:paraId="7DBEF245" w14:textId="77777777" w:rsidTr="003F26A5">
        <w:trPr>
          <w:gridAfter w:val="1"/>
          <w:wAfter w:w="3" w:type="pct"/>
          <w:trHeight w:val="283"/>
        </w:trPr>
        <w:tc>
          <w:tcPr>
            <w:tcW w:w="335" w:type="pct"/>
            <w:shd w:val="clear" w:color="auto" w:fill="auto"/>
          </w:tcPr>
          <w:p w14:paraId="1B62DEF9"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20.5</w:t>
            </w:r>
          </w:p>
        </w:tc>
        <w:tc>
          <w:tcPr>
            <w:tcW w:w="1108" w:type="pct"/>
            <w:shd w:val="clear" w:color="auto" w:fill="auto"/>
          </w:tcPr>
          <w:p w14:paraId="3B10AB48"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Проведение и участие </w:t>
            </w:r>
          </w:p>
          <w:p w14:paraId="0987C52C"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в мероприятиях (мероприятия в лагерях, мастер-классы, совещания, круглые столы, заседания рабочих групп) по работе с детьми, отдыхающими в детских оздоровительных лагерях отдыха</w:t>
            </w:r>
          </w:p>
        </w:tc>
        <w:tc>
          <w:tcPr>
            <w:tcW w:w="723" w:type="pct"/>
            <w:shd w:val="clear" w:color="auto" w:fill="auto"/>
          </w:tcPr>
          <w:p w14:paraId="38A3DE8F"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Повышение финансовой грамотности</w:t>
            </w:r>
          </w:p>
        </w:tc>
        <w:tc>
          <w:tcPr>
            <w:tcW w:w="337" w:type="pct"/>
            <w:shd w:val="clear" w:color="auto" w:fill="auto"/>
          </w:tcPr>
          <w:p w14:paraId="019DE8EC"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shd w:val="clear" w:color="auto" w:fill="auto"/>
          </w:tcPr>
          <w:p w14:paraId="21FD5877"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Управление Службы по защите прав потребителей и обеспечению доступности финансовой услуг в СФО</w:t>
            </w:r>
          </w:p>
          <w:p w14:paraId="0F377F96"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(по согласованию)</w:t>
            </w:r>
          </w:p>
        </w:tc>
        <w:tc>
          <w:tcPr>
            <w:tcW w:w="2031" w:type="pct"/>
          </w:tcPr>
          <w:p w14:paraId="5F265EDE" w14:textId="77777777" w:rsidR="003F26A5" w:rsidRPr="00891093" w:rsidRDefault="003F26A5" w:rsidP="00891093">
            <w:pPr>
              <w:pStyle w:val="ae"/>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В отчетном периоде проведено 18 деловых игр для детей, отдыхающих в детских оздоровительных лагерях отдыха Новосибирской области.</w:t>
            </w:r>
          </w:p>
          <w:p w14:paraId="5E1243C6" w14:textId="77777777" w:rsidR="003F26A5" w:rsidRPr="008A0E4E" w:rsidRDefault="003F26A5" w:rsidP="00891093">
            <w:pPr>
              <w:ind w:left="57" w:right="57" w:firstLine="340"/>
              <w:contextualSpacing/>
              <w:jc w:val="both"/>
              <w:rPr>
                <w:rFonts w:ascii="Times New Roman" w:hAnsi="Times New Roman" w:cs="Times New Roman"/>
                <w:sz w:val="24"/>
                <w:szCs w:val="24"/>
              </w:rPr>
            </w:pPr>
            <w:r w:rsidRPr="00891093">
              <w:rPr>
                <w:rFonts w:ascii="Times New Roman" w:hAnsi="Times New Roman" w:cs="Times New Roman"/>
                <w:sz w:val="24"/>
                <w:szCs w:val="24"/>
              </w:rPr>
              <w:t>В мероприятиях пр</w:t>
            </w:r>
            <w:r w:rsidRPr="008A0E4E">
              <w:rPr>
                <w:rFonts w:ascii="Times New Roman" w:hAnsi="Times New Roman" w:cs="Times New Roman"/>
                <w:sz w:val="24"/>
                <w:szCs w:val="24"/>
              </w:rPr>
              <w:t>иняли участие 293 человека.</w:t>
            </w:r>
          </w:p>
        </w:tc>
      </w:tr>
      <w:tr w:rsidR="003F26A5" w:rsidRPr="00367300" w14:paraId="32B34D19" w14:textId="77777777" w:rsidTr="003F26A5">
        <w:trPr>
          <w:gridAfter w:val="1"/>
          <w:wAfter w:w="3" w:type="pct"/>
          <w:trHeight w:val="283"/>
        </w:trPr>
        <w:tc>
          <w:tcPr>
            <w:tcW w:w="335" w:type="pct"/>
          </w:tcPr>
          <w:p w14:paraId="21613E20"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20.6</w:t>
            </w:r>
          </w:p>
        </w:tc>
        <w:tc>
          <w:tcPr>
            <w:tcW w:w="1108" w:type="pct"/>
          </w:tcPr>
          <w:p w14:paraId="2A990B3F"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Организация мероприятий </w:t>
            </w:r>
          </w:p>
          <w:p w14:paraId="4C513D83"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и участие в региональных мероприятиях для взрослого населения и населения пенсионного возраста, в том числе проведение обучающих занятий </w:t>
            </w:r>
          </w:p>
          <w:p w14:paraId="63B1AB52" w14:textId="77777777" w:rsidR="003F26A5" w:rsidRPr="00891093"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для пенсионеров по материалам проекта «П</w:t>
            </w:r>
            <w:r w:rsidRPr="00891093">
              <w:rPr>
                <w:rFonts w:ascii="Times New Roman" w:hAnsi="Times New Roman" w:cs="Times New Roman"/>
                <w:sz w:val="24"/>
                <w:szCs w:val="24"/>
              </w:rPr>
              <w:t>рививаем культуру финансовой грамотности»</w:t>
            </w:r>
          </w:p>
        </w:tc>
        <w:tc>
          <w:tcPr>
            <w:tcW w:w="723" w:type="pct"/>
          </w:tcPr>
          <w:p w14:paraId="320655BC"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Повышение финансовой грамотности</w:t>
            </w:r>
          </w:p>
        </w:tc>
        <w:tc>
          <w:tcPr>
            <w:tcW w:w="337" w:type="pct"/>
          </w:tcPr>
          <w:p w14:paraId="3813EB2F"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Pr>
          <w:p w14:paraId="6F323467"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Управление Службы по защите прав потребителей и обеспечению доступности финансовой услуг в СФО</w:t>
            </w:r>
          </w:p>
          <w:p w14:paraId="74113472"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(по согласованию)</w:t>
            </w:r>
          </w:p>
        </w:tc>
        <w:tc>
          <w:tcPr>
            <w:tcW w:w="2031" w:type="pct"/>
          </w:tcPr>
          <w:p w14:paraId="5316024F" w14:textId="77777777" w:rsidR="003F26A5" w:rsidRPr="00FC74FE" w:rsidRDefault="003F26A5" w:rsidP="008A0E4E">
            <w:pPr>
              <w:pStyle w:val="ae"/>
              <w:ind w:left="57" w:right="57" w:firstLine="340"/>
              <w:jc w:val="both"/>
              <w:rPr>
                <w:rFonts w:ascii="Times New Roman" w:hAnsi="Times New Roman" w:cs="Times New Roman"/>
                <w:sz w:val="24"/>
                <w:szCs w:val="24"/>
              </w:rPr>
            </w:pPr>
            <w:r w:rsidRPr="008A0E4E">
              <w:rPr>
                <w:rFonts w:ascii="Times New Roman" w:hAnsi="Times New Roman" w:cs="Times New Roman"/>
                <w:sz w:val="24"/>
                <w:szCs w:val="24"/>
              </w:rPr>
              <w:t>В 2019 году проведено 27 мероприятий, в том числе 12 занятий для пенсион</w:t>
            </w:r>
            <w:r w:rsidRPr="00FC74FE">
              <w:rPr>
                <w:rFonts w:ascii="Times New Roman" w:hAnsi="Times New Roman" w:cs="Times New Roman"/>
                <w:sz w:val="24"/>
                <w:szCs w:val="24"/>
              </w:rPr>
              <w:t>еров в рамках проекта Банка России «Прививаем культуру финансовой грамотности».</w:t>
            </w:r>
          </w:p>
          <w:p w14:paraId="0E636526" w14:textId="77777777" w:rsidR="003F26A5" w:rsidRPr="009B4FC0" w:rsidRDefault="003F26A5" w:rsidP="00FC74FE">
            <w:pPr>
              <w:pStyle w:val="ae"/>
              <w:ind w:left="57" w:right="57" w:firstLine="340"/>
              <w:jc w:val="both"/>
              <w:rPr>
                <w:rFonts w:ascii="Times New Roman" w:hAnsi="Times New Roman" w:cs="Times New Roman"/>
                <w:sz w:val="24"/>
                <w:szCs w:val="24"/>
              </w:rPr>
            </w:pPr>
            <w:r w:rsidRPr="009B4FC0">
              <w:rPr>
                <w:rFonts w:ascii="Times New Roman" w:hAnsi="Times New Roman" w:cs="Times New Roman"/>
                <w:sz w:val="24"/>
                <w:szCs w:val="24"/>
              </w:rPr>
              <w:t>В мероприятиях приняли участие 846 человек.</w:t>
            </w:r>
          </w:p>
          <w:p w14:paraId="162C0B1E" w14:textId="77777777" w:rsidR="003F26A5" w:rsidRPr="00367300" w:rsidRDefault="003F26A5" w:rsidP="009B4FC0">
            <w:pPr>
              <w:ind w:left="57" w:right="57"/>
              <w:contextualSpacing/>
              <w:jc w:val="both"/>
              <w:rPr>
                <w:rFonts w:ascii="Times New Roman" w:hAnsi="Times New Roman" w:cs="Times New Roman"/>
                <w:sz w:val="24"/>
                <w:szCs w:val="24"/>
              </w:rPr>
            </w:pPr>
          </w:p>
        </w:tc>
      </w:tr>
      <w:tr w:rsidR="003F26A5" w:rsidRPr="00367300" w14:paraId="5C839FB0" w14:textId="77777777" w:rsidTr="003F26A5">
        <w:trPr>
          <w:gridAfter w:val="1"/>
          <w:wAfter w:w="3" w:type="pct"/>
          <w:trHeight w:val="283"/>
        </w:trPr>
        <w:tc>
          <w:tcPr>
            <w:tcW w:w="335" w:type="pct"/>
          </w:tcPr>
          <w:p w14:paraId="23A191B3"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20.7</w:t>
            </w:r>
          </w:p>
        </w:tc>
        <w:tc>
          <w:tcPr>
            <w:tcW w:w="1108" w:type="pct"/>
          </w:tcPr>
          <w:p w14:paraId="085F3CCC"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Проведение и участие в подготовке волонтеров финансового просвещения, а также </w:t>
            </w:r>
          </w:p>
          <w:p w14:paraId="48AC1D80"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в мероприятиях по мотивации и привлечению волонтеров финансового просвещения</w:t>
            </w:r>
          </w:p>
        </w:tc>
        <w:tc>
          <w:tcPr>
            <w:tcW w:w="723" w:type="pct"/>
          </w:tcPr>
          <w:p w14:paraId="0DF4849B"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Повышение финансовой грамотности</w:t>
            </w:r>
          </w:p>
        </w:tc>
        <w:tc>
          <w:tcPr>
            <w:tcW w:w="337" w:type="pct"/>
          </w:tcPr>
          <w:p w14:paraId="788FDE42"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Pr>
          <w:p w14:paraId="424E93C5"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Управление Службы по защите прав потребителей и обеспечению доступности финансовой услуг в СФО</w:t>
            </w:r>
          </w:p>
          <w:p w14:paraId="5B87C7E7"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(по согласованию)</w:t>
            </w:r>
          </w:p>
        </w:tc>
        <w:tc>
          <w:tcPr>
            <w:tcW w:w="2031" w:type="pct"/>
          </w:tcPr>
          <w:p w14:paraId="030CD2DF" w14:textId="77777777" w:rsidR="003F26A5" w:rsidRPr="00891093" w:rsidRDefault="003F26A5" w:rsidP="00891093">
            <w:pPr>
              <w:pStyle w:val="ae"/>
              <w:ind w:left="57" w:firstLine="340"/>
              <w:jc w:val="both"/>
              <w:rPr>
                <w:rFonts w:ascii="Times New Roman" w:hAnsi="Times New Roman" w:cs="Times New Roman"/>
                <w:sz w:val="24"/>
                <w:szCs w:val="24"/>
              </w:rPr>
            </w:pPr>
            <w:r w:rsidRPr="00891093">
              <w:rPr>
                <w:rFonts w:ascii="Times New Roman" w:hAnsi="Times New Roman" w:cs="Times New Roman"/>
                <w:sz w:val="24"/>
                <w:szCs w:val="24"/>
              </w:rPr>
              <w:t xml:space="preserve">Проведено 16 мероприятий. </w:t>
            </w:r>
          </w:p>
          <w:p w14:paraId="1E026259" w14:textId="77777777" w:rsidR="003F26A5" w:rsidRPr="00FC74FE" w:rsidRDefault="003F26A5" w:rsidP="008A0E4E">
            <w:pPr>
              <w:ind w:left="57" w:firstLine="340"/>
              <w:contextualSpacing/>
              <w:jc w:val="both"/>
              <w:rPr>
                <w:rFonts w:ascii="Times New Roman" w:hAnsi="Times New Roman" w:cs="Times New Roman"/>
                <w:sz w:val="24"/>
                <w:szCs w:val="24"/>
              </w:rPr>
            </w:pPr>
            <w:r w:rsidRPr="008A0E4E">
              <w:rPr>
                <w:rFonts w:ascii="Times New Roman" w:hAnsi="Times New Roman" w:cs="Times New Roman"/>
                <w:sz w:val="24"/>
                <w:szCs w:val="24"/>
              </w:rPr>
              <w:t>В мероприятиях приняли участие 119 че</w:t>
            </w:r>
            <w:r w:rsidRPr="00FC74FE">
              <w:rPr>
                <w:rFonts w:ascii="Times New Roman" w:hAnsi="Times New Roman" w:cs="Times New Roman"/>
                <w:sz w:val="24"/>
                <w:szCs w:val="24"/>
              </w:rPr>
              <w:t>ловек.</w:t>
            </w:r>
          </w:p>
        </w:tc>
      </w:tr>
      <w:tr w:rsidR="003F26A5" w:rsidRPr="00367300" w14:paraId="576925C5" w14:textId="77777777" w:rsidTr="003F26A5">
        <w:trPr>
          <w:gridAfter w:val="1"/>
          <w:wAfter w:w="3" w:type="pct"/>
          <w:trHeight w:val="283"/>
        </w:trPr>
        <w:tc>
          <w:tcPr>
            <w:tcW w:w="335" w:type="pct"/>
          </w:tcPr>
          <w:p w14:paraId="40920BFD"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20.8</w:t>
            </w:r>
          </w:p>
        </w:tc>
        <w:tc>
          <w:tcPr>
            <w:tcW w:w="1108" w:type="pct"/>
          </w:tcPr>
          <w:p w14:paraId="3DE2B5B6"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Организация и участие </w:t>
            </w:r>
          </w:p>
          <w:p w14:paraId="3D61E7ED" w14:textId="77777777" w:rsidR="003F26A5" w:rsidRPr="00367300" w:rsidRDefault="003F26A5" w:rsidP="00367300">
            <w:pPr>
              <w:ind w:left="57" w:right="57"/>
              <w:contextualSpacing/>
              <w:jc w:val="both"/>
              <w:rPr>
                <w:rFonts w:ascii="Times New Roman" w:hAnsi="Times New Roman" w:cs="Times New Roman"/>
                <w:sz w:val="24"/>
                <w:szCs w:val="24"/>
              </w:rPr>
            </w:pPr>
            <w:r w:rsidRPr="00367300">
              <w:rPr>
                <w:rFonts w:ascii="Times New Roman" w:hAnsi="Times New Roman" w:cs="Times New Roman"/>
                <w:sz w:val="24"/>
                <w:szCs w:val="24"/>
              </w:rPr>
              <w:t>в мероприятиях по финансовой грамотности в воинских частях</w:t>
            </w:r>
          </w:p>
        </w:tc>
        <w:tc>
          <w:tcPr>
            <w:tcW w:w="723" w:type="pct"/>
          </w:tcPr>
          <w:p w14:paraId="700B3CA5"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Повышение финансовой грамотности</w:t>
            </w:r>
          </w:p>
        </w:tc>
        <w:tc>
          <w:tcPr>
            <w:tcW w:w="337" w:type="pct"/>
          </w:tcPr>
          <w:p w14:paraId="7A228611"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Pr>
          <w:p w14:paraId="197E2B65"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Управление Службы по защите прав потребителей и обеспечению доступности финансовой услуг в СФО</w:t>
            </w:r>
          </w:p>
        </w:tc>
        <w:tc>
          <w:tcPr>
            <w:tcW w:w="2031" w:type="pct"/>
          </w:tcPr>
          <w:p w14:paraId="185386DA" w14:textId="77777777" w:rsidR="003F26A5" w:rsidRPr="00891093" w:rsidRDefault="003F26A5" w:rsidP="00891093">
            <w:pPr>
              <w:ind w:left="57" w:firstLine="340"/>
              <w:contextualSpacing/>
              <w:jc w:val="both"/>
              <w:rPr>
                <w:rFonts w:ascii="Times New Roman" w:hAnsi="Times New Roman" w:cs="Times New Roman"/>
                <w:sz w:val="24"/>
                <w:szCs w:val="24"/>
              </w:rPr>
            </w:pPr>
            <w:r w:rsidRPr="00891093">
              <w:rPr>
                <w:rFonts w:ascii="Times New Roman" w:hAnsi="Times New Roman" w:cs="Times New Roman"/>
                <w:sz w:val="24"/>
                <w:szCs w:val="24"/>
              </w:rPr>
              <w:t>Проведено 9 мероприятий для 155 человек.</w:t>
            </w:r>
          </w:p>
        </w:tc>
      </w:tr>
      <w:tr w:rsidR="003F26A5" w:rsidRPr="00367300" w14:paraId="24230D4B" w14:textId="77777777" w:rsidTr="003F26A5">
        <w:trPr>
          <w:trHeight w:val="283"/>
        </w:trPr>
        <w:tc>
          <w:tcPr>
            <w:tcW w:w="5000" w:type="pct"/>
            <w:gridSpan w:val="7"/>
            <w:shd w:val="clear" w:color="auto" w:fill="auto"/>
          </w:tcPr>
          <w:p w14:paraId="77DAE8D4" w14:textId="77777777" w:rsidR="003F26A5" w:rsidRPr="00367300" w:rsidRDefault="003F26A5" w:rsidP="00367300">
            <w:pPr>
              <w:autoSpaceDE w:val="0"/>
              <w:autoSpaceDN w:val="0"/>
              <w:adjustRightInd w:val="0"/>
              <w:ind w:firstLine="539"/>
              <w:rPr>
                <w:rFonts w:ascii="Times New Roman" w:hAnsi="Times New Roman" w:cs="Times New Roman"/>
                <w:b/>
                <w:bCs/>
                <w:sz w:val="24"/>
                <w:szCs w:val="24"/>
              </w:rPr>
            </w:pPr>
            <w:r w:rsidRPr="00367300">
              <w:rPr>
                <w:rFonts w:ascii="Times New Roman" w:hAnsi="Times New Roman" w:cs="Times New Roman"/>
                <w:b/>
                <w:bCs/>
                <w:sz w:val="24"/>
                <w:szCs w:val="24"/>
              </w:rPr>
              <w:lastRenderedPageBreak/>
              <w:t>21. Увеличение доли опрошенного населения, положительно оценивающего удовлетворенность (полностью или частично удовлетворенного) работой хотя бы одного типа финансовых организаций, осуществляющих свою деятельность на территории субъекта Российской Федерации</w:t>
            </w:r>
          </w:p>
        </w:tc>
      </w:tr>
      <w:tr w:rsidR="003F26A5" w:rsidRPr="00367300" w14:paraId="41FBD607" w14:textId="77777777" w:rsidTr="003F26A5">
        <w:trPr>
          <w:gridAfter w:val="1"/>
          <w:wAfter w:w="3" w:type="pct"/>
          <w:trHeight w:val="283"/>
        </w:trPr>
        <w:tc>
          <w:tcPr>
            <w:tcW w:w="335" w:type="pct"/>
          </w:tcPr>
          <w:p w14:paraId="6FC1CEE2"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21.1</w:t>
            </w:r>
          </w:p>
        </w:tc>
        <w:tc>
          <w:tcPr>
            <w:tcW w:w="1108" w:type="pct"/>
          </w:tcPr>
          <w:p w14:paraId="792AAFBB" w14:textId="77777777" w:rsidR="003F26A5" w:rsidRPr="00367300" w:rsidRDefault="003F26A5" w:rsidP="00367300">
            <w:pPr>
              <w:autoSpaceDE w:val="0"/>
              <w:autoSpaceDN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Проведение мониторинга доступности для населения финансовых услуг,</w:t>
            </w:r>
          </w:p>
          <w:p w14:paraId="75A48E0B" w14:textId="77777777" w:rsidR="003F26A5" w:rsidRPr="00891093"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оказываемых на территории Новосибирской области (в рамках мониторинга состояния и развития конкурентной среды на товарных рынках Новосибирской области)</w:t>
            </w:r>
          </w:p>
        </w:tc>
        <w:tc>
          <w:tcPr>
            <w:tcW w:w="723" w:type="pct"/>
          </w:tcPr>
          <w:p w14:paraId="44EA389A" w14:textId="77777777" w:rsidR="003F26A5" w:rsidRPr="00891093" w:rsidRDefault="003F26A5" w:rsidP="00367300">
            <w:pPr>
              <w:contextualSpacing/>
              <w:rPr>
                <w:rFonts w:ascii="Times New Roman" w:hAnsi="Times New Roman" w:cs="Times New Roman"/>
                <w:bCs/>
                <w:sz w:val="24"/>
                <w:szCs w:val="24"/>
              </w:rPr>
            </w:pPr>
            <w:r w:rsidRPr="00891093">
              <w:rPr>
                <w:rFonts w:ascii="Times New Roman" w:hAnsi="Times New Roman" w:cs="Times New Roman"/>
                <w:bCs/>
                <w:sz w:val="24"/>
                <w:szCs w:val="24"/>
              </w:rPr>
              <w:t xml:space="preserve">Выявление барьеров </w:t>
            </w:r>
          </w:p>
          <w:p w14:paraId="688A487B"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 xml:space="preserve">в развитии конкуренции </w:t>
            </w:r>
          </w:p>
          <w:p w14:paraId="1C0B7D0A"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на финансовом рынке</w:t>
            </w:r>
          </w:p>
        </w:tc>
        <w:tc>
          <w:tcPr>
            <w:tcW w:w="337" w:type="pct"/>
          </w:tcPr>
          <w:p w14:paraId="7FC8A0C0" w14:textId="77777777" w:rsidR="003F26A5" w:rsidRPr="008A0E4E" w:rsidRDefault="003F26A5" w:rsidP="00891093">
            <w:pPr>
              <w:contextualSpacing/>
              <w:rPr>
                <w:rFonts w:ascii="Times New Roman" w:hAnsi="Times New Roman" w:cs="Times New Roman"/>
                <w:bCs/>
                <w:sz w:val="24"/>
                <w:szCs w:val="24"/>
              </w:rPr>
            </w:pPr>
            <w:r w:rsidRPr="008A0E4E">
              <w:rPr>
                <w:rFonts w:ascii="Times New Roman" w:hAnsi="Times New Roman" w:cs="Times New Roman"/>
                <w:bCs/>
                <w:sz w:val="24"/>
                <w:szCs w:val="24"/>
              </w:rPr>
              <w:t>Ежегодно</w:t>
            </w:r>
          </w:p>
        </w:tc>
        <w:tc>
          <w:tcPr>
            <w:tcW w:w="463" w:type="pct"/>
          </w:tcPr>
          <w:p w14:paraId="4ECBE7D3" w14:textId="77777777" w:rsidR="003F26A5" w:rsidRPr="00FC74FE" w:rsidRDefault="003F26A5" w:rsidP="00891093">
            <w:pPr>
              <w:contextualSpacing/>
              <w:rPr>
                <w:rFonts w:ascii="Times New Roman" w:hAnsi="Times New Roman" w:cs="Times New Roman"/>
                <w:bCs/>
                <w:sz w:val="24"/>
                <w:szCs w:val="24"/>
              </w:rPr>
            </w:pPr>
            <w:r w:rsidRPr="00FC74FE">
              <w:rPr>
                <w:rFonts w:ascii="Times New Roman" w:hAnsi="Times New Roman" w:cs="Times New Roman"/>
                <w:bCs/>
                <w:sz w:val="24"/>
                <w:szCs w:val="24"/>
              </w:rPr>
              <w:t>Минэкономразвития НСО</w:t>
            </w:r>
          </w:p>
        </w:tc>
        <w:tc>
          <w:tcPr>
            <w:tcW w:w="2031" w:type="pct"/>
          </w:tcPr>
          <w:p w14:paraId="7F897013" w14:textId="77777777" w:rsidR="003F26A5" w:rsidRPr="00367300" w:rsidRDefault="003F26A5" w:rsidP="008A0E4E">
            <w:pPr>
              <w:pStyle w:val="afe"/>
              <w:ind w:left="57" w:right="57" w:firstLine="340"/>
              <w:jc w:val="both"/>
              <w:rPr>
                <w:rFonts w:ascii="Times New Roman" w:hAnsi="Times New Roman" w:cs="Times New Roman"/>
                <w:sz w:val="24"/>
                <w:szCs w:val="24"/>
              </w:rPr>
            </w:pPr>
            <w:r w:rsidRPr="009B4FC0">
              <w:rPr>
                <w:rFonts w:ascii="Times New Roman" w:hAnsi="Times New Roman" w:cs="Times New Roman"/>
                <w:sz w:val="24"/>
                <w:szCs w:val="24"/>
              </w:rPr>
              <w:t>Министерством экономического развития Новосибирской области в рамках мониторинга состояния и развития конкурентной среды на товарных рынках Новосибирской области за 2</w:t>
            </w:r>
            <w:r w:rsidRPr="00367300">
              <w:rPr>
                <w:rFonts w:ascii="Times New Roman" w:hAnsi="Times New Roman" w:cs="Times New Roman"/>
                <w:sz w:val="24"/>
                <w:szCs w:val="24"/>
              </w:rPr>
              <w:t>019 год были организованы и проведены мониторинги:</w:t>
            </w:r>
          </w:p>
          <w:p w14:paraId="569D94B8" w14:textId="77777777" w:rsidR="003F26A5" w:rsidRPr="00367300" w:rsidRDefault="003F26A5" w:rsidP="00FC74FE">
            <w:pPr>
              <w:pStyle w:val="afe"/>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1. Мониторинг удовлетворенности населения деятельностью в сфере финансовых услуг, осуществляемой на территории Новосибирской области.</w:t>
            </w:r>
          </w:p>
          <w:p w14:paraId="765F2E95" w14:textId="77777777" w:rsidR="003F26A5" w:rsidRPr="00367300" w:rsidRDefault="003F26A5" w:rsidP="009B4FC0">
            <w:pPr>
              <w:pStyle w:val="afe"/>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2. Мониторинг доступности для населения финансовых услуг, оказываемых на территории Новосибирской области.</w:t>
            </w:r>
          </w:p>
          <w:p w14:paraId="3C8AFEDE" w14:textId="77777777" w:rsidR="003F26A5" w:rsidRPr="00367300" w:rsidRDefault="003F26A5">
            <w:pPr>
              <w:pStyle w:val="afe"/>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ходе мониторингов был проведен сбор данных:</w:t>
            </w:r>
          </w:p>
          <w:p w14:paraId="3B60647D" w14:textId="77777777" w:rsidR="003F26A5" w:rsidRPr="00367300" w:rsidRDefault="003F26A5">
            <w:pPr>
              <w:pStyle w:val="afe"/>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об уровне удовлетворенности населения деятельностью финансовых организаций на территории Новосибирской области, а также различными финансовыми продуктами и услугами (в рамках кредитования, сбережения и размещения свободных денежных средств, оказания платежных услуг, услуг страхования) в том числе их качеством, доступностью, стоимостью и др.</w:t>
            </w:r>
          </w:p>
          <w:p w14:paraId="7BFBE114"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об использовании населением финансовых продуктов и услуг различных финансовых организаций, возможности использования различных способов доступа к финансовым услугам (в том числе дистанционным), а также существующих барьерах для доступа к финансовым услугам;</w:t>
            </w:r>
          </w:p>
          <w:p w14:paraId="08F6BC06"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об оценке населением своего уровня финансовой грамотности (осведомленности, знаний, навыков, установок и поведения).</w:t>
            </w:r>
          </w:p>
          <w:p w14:paraId="7C97DA1D" w14:textId="77777777" w:rsidR="003F26A5" w:rsidRPr="00367300" w:rsidRDefault="003F26A5">
            <w:pPr>
              <w:pStyle w:val="afe"/>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lastRenderedPageBreak/>
              <w:t>Анкеты для проведения опроса и методика расчета показателей разрабатывались министерством экономического развития во взаимодействии с Сибирским главным управлением Центрального банка Российской Федерации (далее –СГУ ЦБ РФ</w:t>
            </w:r>
            <w:r w:rsidR="007F3886" w:rsidRPr="00367300">
              <w:rPr>
                <w:rFonts w:ascii="Times New Roman" w:hAnsi="Times New Roman" w:cs="Times New Roman"/>
                <w:sz w:val="24"/>
                <w:szCs w:val="24"/>
              </w:rPr>
              <w:t>)</w:t>
            </w:r>
            <w:r w:rsidRPr="00367300">
              <w:rPr>
                <w:rFonts w:ascii="Times New Roman" w:hAnsi="Times New Roman" w:cs="Times New Roman"/>
                <w:sz w:val="24"/>
                <w:szCs w:val="24"/>
              </w:rPr>
              <w:t>.</w:t>
            </w:r>
          </w:p>
          <w:p w14:paraId="6897839E" w14:textId="77777777" w:rsidR="003F26A5" w:rsidRPr="00367300" w:rsidRDefault="003F26A5">
            <w:pPr>
              <w:pStyle w:val="afe"/>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целях обсуждения всех вопросов, связанных с проведением мониторингов на рынке финансовых услуг было организовано проведение совместного совещания представителей областных исполнительных органов власти Новосибирской области и СГУ ЦБ РФ.</w:t>
            </w:r>
          </w:p>
          <w:p w14:paraId="17A1329F" w14:textId="77777777" w:rsidR="003F26A5" w:rsidRPr="00367300" w:rsidRDefault="003F26A5">
            <w:pPr>
              <w:pStyle w:val="afe"/>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После получения результатов мониторингов, представители СГУ ЦБ РФ выступили на заседании </w:t>
            </w:r>
            <w:r w:rsidR="00F8324D" w:rsidRPr="00367300">
              <w:rPr>
                <w:rFonts w:ascii="Times New Roman" w:hAnsi="Times New Roman" w:cs="Times New Roman"/>
                <w:sz w:val="24"/>
                <w:szCs w:val="24"/>
              </w:rPr>
              <w:t>С</w:t>
            </w:r>
            <w:r w:rsidRPr="00367300">
              <w:rPr>
                <w:rFonts w:ascii="Times New Roman" w:hAnsi="Times New Roman" w:cs="Times New Roman"/>
                <w:sz w:val="24"/>
                <w:szCs w:val="24"/>
              </w:rPr>
              <w:t>овета по</w:t>
            </w:r>
            <w:r w:rsidR="00F8324D" w:rsidRPr="00367300">
              <w:rPr>
                <w:rFonts w:ascii="Times New Roman" w:hAnsi="Times New Roman" w:cs="Times New Roman"/>
                <w:sz w:val="24"/>
                <w:szCs w:val="24"/>
              </w:rPr>
              <w:t xml:space="preserve"> содействию развитию конкуренции в Новосибирской области </w:t>
            </w:r>
            <w:r w:rsidRPr="00367300">
              <w:rPr>
                <w:rFonts w:ascii="Times New Roman" w:hAnsi="Times New Roman" w:cs="Times New Roman"/>
                <w:sz w:val="24"/>
                <w:szCs w:val="24"/>
              </w:rPr>
              <w:t>с вопросом «Об основных вопросах развития финансового рынка Российской Федерации на период 2019-2021 годов. Состояние конкуренции на финансовом рынке Новосибирской области».</w:t>
            </w:r>
          </w:p>
          <w:p w14:paraId="1E1FB8A8" w14:textId="77777777" w:rsidR="003F26A5" w:rsidRPr="00367300" w:rsidRDefault="003F26A5">
            <w:pPr>
              <w:ind w:left="57" w:right="57" w:firstLine="340"/>
              <w:contextualSpacing/>
              <w:jc w:val="both"/>
              <w:rPr>
                <w:rFonts w:ascii="Times New Roman" w:hAnsi="Times New Roman" w:cs="Times New Roman"/>
                <w:bCs/>
                <w:sz w:val="24"/>
                <w:szCs w:val="24"/>
              </w:rPr>
            </w:pPr>
            <w:r w:rsidRPr="00367300">
              <w:rPr>
                <w:rFonts w:ascii="Times New Roman" w:hAnsi="Times New Roman" w:cs="Times New Roman"/>
                <w:sz w:val="24"/>
                <w:szCs w:val="24"/>
              </w:rPr>
              <w:t xml:space="preserve">По результатам рассмотрения было принято решение о дальнейшем взаимодействии, а также проведении рабочих встреч по обсуждению вопросов эквайринга и блокировки счетов и других вопросов. </w:t>
            </w:r>
          </w:p>
        </w:tc>
      </w:tr>
      <w:tr w:rsidR="003F26A5" w:rsidRPr="00367300" w14:paraId="670D5DDD" w14:textId="77777777" w:rsidTr="003F26A5">
        <w:trPr>
          <w:trHeight w:val="283"/>
        </w:trPr>
        <w:tc>
          <w:tcPr>
            <w:tcW w:w="5000" w:type="pct"/>
            <w:gridSpan w:val="7"/>
            <w:shd w:val="clear" w:color="auto" w:fill="auto"/>
          </w:tcPr>
          <w:p w14:paraId="754EB1F1" w14:textId="77777777" w:rsidR="003F26A5" w:rsidRPr="00367300" w:rsidRDefault="003F26A5" w:rsidP="00367300">
            <w:pPr>
              <w:autoSpaceDE w:val="0"/>
              <w:autoSpaceDN w:val="0"/>
              <w:adjustRightInd w:val="0"/>
              <w:ind w:firstLine="539"/>
              <w:rPr>
                <w:rFonts w:ascii="Times New Roman" w:hAnsi="Times New Roman" w:cs="Times New Roman"/>
                <w:b/>
                <w:bCs/>
                <w:sz w:val="24"/>
                <w:szCs w:val="24"/>
              </w:rPr>
            </w:pPr>
            <w:r w:rsidRPr="00367300">
              <w:rPr>
                <w:rFonts w:ascii="Times New Roman" w:hAnsi="Times New Roman" w:cs="Times New Roman"/>
                <w:b/>
                <w:bCs/>
                <w:sz w:val="24"/>
                <w:szCs w:val="24"/>
              </w:rPr>
              <w:lastRenderedPageBreak/>
              <w:t>22. Повышение доступности финансовых услуг для субъектов экономической деятельности</w:t>
            </w:r>
          </w:p>
        </w:tc>
      </w:tr>
      <w:tr w:rsidR="003F26A5" w:rsidRPr="00367300" w14:paraId="33BBF3C2" w14:textId="77777777" w:rsidTr="003F26A5">
        <w:trPr>
          <w:gridAfter w:val="1"/>
          <w:wAfter w:w="3" w:type="pct"/>
          <w:trHeight w:val="283"/>
        </w:trPr>
        <w:tc>
          <w:tcPr>
            <w:tcW w:w="335" w:type="pct"/>
          </w:tcPr>
          <w:p w14:paraId="06D6D61C"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22.1</w:t>
            </w:r>
          </w:p>
        </w:tc>
        <w:tc>
          <w:tcPr>
            <w:tcW w:w="1108" w:type="pct"/>
          </w:tcPr>
          <w:p w14:paraId="7AE09615" w14:textId="77777777" w:rsidR="003F26A5" w:rsidRPr="00367300" w:rsidRDefault="003F26A5" w:rsidP="00367300">
            <w:pPr>
              <w:ind w:left="57" w:right="57"/>
              <w:contextualSpacing/>
              <w:jc w:val="both"/>
              <w:rPr>
                <w:rFonts w:ascii="Times New Roman" w:eastAsia="Calibri" w:hAnsi="Times New Roman" w:cs="Times New Roman"/>
                <w:sz w:val="24"/>
                <w:szCs w:val="24"/>
              </w:rPr>
            </w:pPr>
            <w:r w:rsidRPr="00367300">
              <w:rPr>
                <w:rFonts w:ascii="Times New Roman" w:eastAsia="Calibri" w:hAnsi="Times New Roman" w:cs="Times New Roman"/>
                <w:sz w:val="24"/>
                <w:szCs w:val="24"/>
              </w:rPr>
              <w:t xml:space="preserve">Организация и сопровождение информационного стенда </w:t>
            </w:r>
          </w:p>
          <w:p w14:paraId="14EAA063"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eastAsia="Calibri" w:hAnsi="Times New Roman" w:cs="Times New Roman"/>
                <w:sz w:val="24"/>
                <w:szCs w:val="24"/>
              </w:rPr>
              <w:t>для субъектов малого и среднего предпринимательства на базе Центра «Мой бизнес»</w:t>
            </w:r>
          </w:p>
        </w:tc>
        <w:tc>
          <w:tcPr>
            <w:tcW w:w="723" w:type="pct"/>
          </w:tcPr>
          <w:p w14:paraId="0817BA14" w14:textId="77777777" w:rsidR="003F26A5" w:rsidRPr="00891093" w:rsidRDefault="003F26A5" w:rsidP="00367300">
            <w:pPr>
              <w:contextualSpacing/>
              <w:rPr>
                <w:rFonts w:ascii="Times New Roman" w:hAnsi="Times New Roman" w:cs="Times New Roman"/>
                <w:bCs/>
                <w:sz w:val="24"/>
                <w:szCs w:val="24"/>
              </w:rPr>
            </w:pPr>
            <w:r w:rsidRPr="00891093">
              <w:rPr>
                <w:rFonts w:ascii="Times New Roman" w:hAnsi="Times New Roman" w:cs="Times New Roman"/>
                <w:sz w:val="24"/>
                <w:szCs w:val="24"/>
              </w:rPr>
              <w:t>Расширение доступа субъектов МСП к финансовым ресурсам</w:t>
            </w:r>
          </w:p>
        </w:tc>
        <w:tc>
          <w:tcPr>
            <w:tcW w:w="337" w:type="pct"/>
          </w:tcPr>
          <w:p w14:paraId="114A4904" w14:textId="77777777" w:rsidR="003F26A5" w:rsidRPr="008A0E4E"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 xml:space="preserve">1 стенд на постоянной основе </w:t>
            </w:r>
          </w:p>
        </w:tc>
        <w:tc>
          <w:tcPr>
            <w:tcW w:w="463" w:type="pct"/>
          </w:tcPr>
          <w:p w14:paraId="69DFD752" w14:textId="77777777" w:rsidR="003F26A5" w:rsidRPr="00FC74FE" w:rsidRDefault="003F26A5" w:rsidP="00891093">
            <w:pPr>
              <w:autoSpaceDE w:val="0"/>
              <w:autoSpaceDN w:val="0"/>
              <w:adjustRightInd w:val="0"/>
              <w:ind w:left="278"/>
              <w:contextualSpacing/>
              <w:rPr>
                <w:rFonts w:ascii="Times New Roman" w:hAnsi="Times New Roman" w:cs="Times New Roman"/>
                <w:sz w:val="24"/>
                <w:szCs w:val="24"/>
              </w:rPr>
            </w:pPr>
            <w:r w:rsidRPr="00FC74FE">
              <w:rPr>
                <w:rFonts w:ascii="Times New Roman" w:hAnsi="Times New Roman" w:cs="Times New Roman"/>
                <w:sz w:val="24"/>
                <w:szCs w:val="24"/>
              </w:rPr>
              <w:t>Минпромторг НСО,</w:t>
            </w:r>
          </w:p>
          <w:p w14:paraId="4B545FD2" w14:textId="77777777" w:rsidR="003F26A5" w:rsidRPr="00367300" w:rsidRDefault="003F26A5" w:rsidP="00891093">
            <w:pPr>
              <w:autoSpaceDE w:val="0"/>
              <w:autoSpaceDN w:val="0"/>
              <w:adjustRightInd w:val="0"/>
              <w:ind w:left="278"/>
              <w:contextualSpacing/>
              <w:rPr>
                <w:rFonts w:ascii="Times New Roman" w:hAnsi="Times New Roman" w:cs="Times New Roman"/>
                <w:sz w:val="24"/>
                <w:szCs w:val="24"/>
              </w:rPr>
            </w:pPr>
            <w:r w:rsidRPr="009B4FC0">
              <w:rPr>
                <w:rFonts w:ascii="Times New Roman" w:hAnsi="Times New Roman" w:cs="Times New Roman"/>
                <w:sz w:val="24"/>
                <w:szCs w:val="24"/>
                <w:lang w:val="en-US"/>
              </w:rPr>
              <w:t>C</w:t>
            </w:r>
            <w:r w:rsidRPr="00367300">
              <w:rPr>
                <w:rFonts w:ascii="Times New Roman" w:hAnsi="Times New Roman" w:cs="Times New Roman"/>
                <w:sz w:val="24"/>
                <w:szCs w:val="24"/>
              </w:rPr>
              <w:t>ибирское ГУ Банка</w:t>
            </w:r>
          </w:p>
          <w:p w14:paraId="7EECDEDE" w14:textId="77777777" w:rsidR="003F26A5" w:rsidRPr="00367300" w:rsidRDefault="003F26A5" w:rsidP="00891093">
            <w:pPr>
              <w:autoSpaceDE w:val="0"/>
              <w:autoSpaceDN w:val="0"/>
              <w:adjustRightInd w:val="0"/>
              <w:ind w:left="278"/>
              <w:contextualSpacing/>
              <w:rPr>
                <w:rFonts w:ascii="Times New Roman" w:hAnsi="Times New Roman" w:cs="Times New Roman"/>
                <w:sz w:val="24"/>
                <w:szCs w:val="24"/>
              </w:rPr>
            </w:pPr>
            <w:r w:rsidRPr="00367300">
              <w:rPr>
                <w:rFonts w:ascii="Times New Roman" w:hAnsi="Times New Roman" w:cs="Times New Roman"/>
                <w:sz w:val="24"/>
                <w:szCs w:val="24"/>
              </w:rPr>
              <w:t>(по согласованию)</w:t>
            </w:r>
          </w:p>
        </w:tc>
        <w:tc>
          <w:tcPr>
            <w:tcW w:w="2031" w:type="pct"/>
          </w:tcPr>
          <w:p w14:paraId="602ED3D9" w14:textId="77777777" w:rsidR="003F26A5" w:rsidRPr="00367300" w:rsidRDefault="003F26A5" w:rsidP="008A0E4E">
            <w:pPr>
              <w:autoSpaceDE w:val="0"/>
              <w:autoSpaceDN w:val="0"/>
              <w:adjustRightInd w:val="0"/>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В рамках реализации регионального проекта «Акселерация субъектов малого и среднего предпринимательства» открытие Центра «Мой бизнес» запланировано на 2 квартал 2020 года.</w:t>
            </w:r>
          </w:p>
          <w:p w14:paraId="7F820691" w14:textId="77777777" w:rsidR="003F26A5" w:rsidRPr="00367300" w:rsidRDefault="003F26A5" w:rsidP="00FC74FE">
            <w:pPr>
              <w:autoSpaceDE w:val="0"/>
              <w:autoSpaceDN w:val="0"/>
              <w:adjustRightInd w:val="0"/>
              <w:ind w:left="57" w:right="57"/>
              <w:contextualSpacing/>
              <w:rPr>
                <w:rFonts w:ascii="Times New Roman" w:hAnsi="Times New Roman" w:cs="Times New Roman"/>
                <w:sz w:val="24"/>
                <w:szCs w:val="24"/>
              </w:rPr>
            </w:pPr>
          </w:p>
          <w:p w14:paraId="3A42E79B" w14:textId="77777777" w:rsidR="003F26A5" w:rsidRPr="00367300" w:rsidRDefault="003F26A5" w:rsidP="009B4FC0">
            <w:pPr>
              <w:autoSpaceDE w:val="0"/>
              <w:autoSpaceDN w:val="0"/>
              <w:adjustRightInd w:val="0"/>
              <w:ind w:left="57" w:right="57"/>
              <w:contextualSpacing/>
              <w:rPr>
                <w:rFonts w:ascii="Times New Roman" w:hAnsi="Times New Roman" w:cs="Times New Roman"/>
                <w:sz w:val="24"/>
                <w:szCs w:val="24"/>
              </w:rPr>
            </w:pPr>
          </w:p>
        </w:tc>
      </w:tr>
      <w:tr w:rsidR="003F26A5" w:rsidRPr="00367300" w14:paraId="25A83479" w14:textId="77777777" w:rsidTr="003F26A5">
        <w:trPr>
          <w:gridAfter w:val="1"/>
          <w:wAfter w:w="3" w:type="pct"/>
          <w:trHeight w:val="283"/>
        </w:trPr>
        <w:tc>
          <w:tcPr>
            <w:tcW w:w="335" w:type="pct"/>
          </w:tcPr>
          <w:p w14:paraId="4C833A22"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22.2</w:t>
            </w:r>
          </w:p>
        </w:tc>
        <w:tc>
          <w:tcPr>
            <w:tcW w:w="1108" w:type="pct"/>
          </w:tcPr>
          <w:p w14:paraId="615A1054" w14:textId="77777777" w:rsidR="003F26A5" w:rsidRPr="00367300" w:rsidRDefault="003F26A5" w:rsidP="00367300">
            <w:pPr>
              <w:ind w:left="57" w:right="57"/>
              <w:contextualSpacing/>
              <w:jc w:val="both"/>
              <w:rPr>
                <w:rFonts w:ascii="Times New Roman" w:eastAsia="Calibri" w:hAnsi="Times New Roman" w:cs="Times New Roman"/>
                <w:sz w:val="24"/>
                <w:szCs w:val="24"/>
              </w:rPr>
            </w:pPr>
            <w:r w:rsidRPr="00367300">
              <w:rPr>
                <w:rFonts w:ascii="Times New Roman" w:hAnsi="Times New Roman" w:cs="Times New Roman"/>
                <w:sz w:val="24"/>
                <w:szCs w:val="24"/>
              </w:rPr>
              <w:t xml:space="preserve">Организация предоставления субъектам малого и среднего предпринимательства услуг </w:t>
            </w:r>
          </w:p>
        </w:tc>
        <w:tc>
          <w:tcPr>
            <w:tcW w:w="723" w:type="pct"/>
            <w:shd w:val="clear" w:color="auto" w:fill="FFFFFF" w:themeFill="background1"/>
          </w:tcPr>
          <w:p w14:paraId="57314885" w14:textId="77777777" w:rsidR="003F26A5" w:rsidRPr="00367300" w:rsidRDefault="003F26A5" w:rsidP="00367300">
            <w:pPr>
              <w:rPr>
                <w:rFonts w:ascii="Times New Roman" w:hAnsi="Times New Roman" w:cs="Times New Roman"/>
                <w:sz w:val="24"/>
                <w:szCs w:val="24"/>
              </w:rPr>
            </w:pPr>
            <w:r w:rsidRPr="00367300">
              <w:rPr>
                <w:rFonts w:ascii="Times New Roman" w:hAnsi="Times New Roman" w:cs="Times New Roman"/>
                <w:sz w:val="24"/>
                <w:szCs w:val="24"/>
              </w:rPr>
              <w:t xml:space="preserve">Предоставление </w:t>
            </w:r>
          </w:p>
          <w:p w14:paraId="18B806A3" w14:textId="77777777" w:rsidR="003F26A5" w:rsidRPr="00891093" w:rsidRDefault="003F26A5" w:rsidP="00891093">
            <w:pPr>
              <w:rPr>
                <w:rFonts w:ascii="Times New Roman" w:hAnsi="Times New Roman" w:cs="Times New Roman"/>
                <w:sz w:val="24"/>
                <w:szCs w:val="24"/>
              </w:rPr>
            </w:pPr>
            <w:r w:rsidRPr="00891093">
              <w:rPr>
                <w:rFonts w:ascii="Times New Roman" w:hAnsi="Times New Roman" w:cs="Times New Roman"/>
                <w:sz w:val="24"/>
                <w:szCs w:val="24"/>
              </w:rPr>
              <w:t xml:space="preserve">не менее 7 услуг </w:t>
            </w:r>
          </w:p>
          <w:p w14:paraId="66E35967" w14:textId="77777777" w:rsidR="003F26A5" w:rsidRPr="00891093" w:rsidRDefault="003F26A5" w:rsidP="00891093">
            <w:pPr>
              <w:rPr>
                <w:rFonts w:ascii="Times New Roman" w:hAnsi="Times New Roman" w:cs="Times New Roman"/>
                <w:sz w:val="24"/>
                <w:szCs w:val="24"/>
              </w:rPr>
            </w:pPr>
            <w:r w:rsidRPr="00891093">
              <w:rPr>
                <w:rFonts w:ascii="Times New Roman" w:hAnsi="Times New Roman" w:cs="Times New Roman"/>
                <w:sz w:val="24"/>
                <w:szCs w:val="24"/>
              </w:rPr>
              <w:t>через ГАУ НСО </w:t>
            </w:r>
            <w:r w:rsidRPr="00891093">
              <w:rPr>
                <w:rFonts w:ascii="Times New Roman" w:hAnsi="Times New Roman" w:cs="Times New Roman"/>
                <w:bCs/>
                <w:sz w:val="24"/>
                <w:szCs w:val="24"/>
              </w:rPr>
              <w:t>«МФЦ»</w:t>
            </w:r>
          </w:p>
        </w:tc>
        <w:tc>
          <w:tcPr>
            <w:tcW w:w="337" w:type="pct"/>
          </w:tcPr>
          <w:p w14:paraId="3AE9BB7B" w14:textId="77777777" w:rsidR="003F26A5" w:rsidRPr="008A0E4E" w:rsidRDefault="003F26A5" w:rsidP="00891093">
            <w:pPr>
              <w:contextualSpacing/>
              <w:rPr>
                <w:rFonts w:ascii="Times New Roman" w:hAnsi="Times New Roman" w:cs="Times New Roman"/>
                <w:sz w:val="24"/>
                <w:szCs w:val="24"/>
              </w:rPr>
            </w:pPr>
            <w:r w:rsidRPr="008A0E4E">
              <w:rPr>
                <w:rFonts w:ascii="Times New Roman" w:hAnsi="Times New Roman" w:cs="Times New Roman"/>
                <w:sz w:val="24"/>
                <w:szCs w:val="24"/>
              </w:rPr>
              <w:t>Постоянно</w:t>
            </w:r>
          </w:p>
        </w:tc>
        <w:tc>
          <w:tcPr>
            <w:tcW w:w="463" w:type="pct"/>
          </w:tcPr>
          <w:p w14:paraId="33CA2936" w14:textId="77777777" w:rsidR="003F26A5" w:rsidRPr="00FC74FE" w:rsidRDefault="003F26A5" w:rsidP="00891093">
            <w:pPr>
              <w:widowControl w:val="0"/>
              <w:autoSpaceDE w:val="0"/>
              <w:autoSpaceDN w:val="0"/>
              <w:rPr>
                <w:rFonts w:ascii="Times New Roman" w:hAnsi="Times New Roman" w:cs="Times New Roman"/>
                <w:sz w:val="24"/>
                <w:szCs w:val="24"/>
              </w:rPr>
            </w:pPr>
            <w:r w:rsidRPr="00FC74FE">
              <w:rPr>
                <w:rFonts w:ascii="Times New Roman" w:hAnsi="Times New Roman" w:cs="Times New Roman"/>
                <w:sz w:val="24"/>
                <w:szCs w:val="24"/>
              </w:rPr>
              <w:t>Минэкономразвития НСО, ДИиЗО НСО,</w:t>
            </w:r>
          </w:p>
          <w:p w14:paraId="6D9BDA0D" w14:textId="77777777" w:rsidR="003F26A5" w:rsidRPr="009B4FC0" w:rsidRDefault="003F26A5" w:rsidP="008A0E4E">
            <w:pPr>
              <w:widowControl w:val="0"/>
              <w:autoSpaceDE w:val="0"/>
              <w:autoSpaceDN w:val="0"/>
              <w:rPr>
                <w:rFonts w:ascii="Times New Roman" w:hAnsi="Times New Roman" w:cs="Times New Roman"/>
                <w:sz w:val="24"/>
                <w:szCs w:val="24"/>
              </w:rPr>
            </w:pPr>
            <w:r w:rsidRPr="009B4FC0">
              <w:rPr>
                <w:rFonts w:ascii="Times New Roman" w:hAnsi="Times New Roman" w:cs="Times New Roman"/>
                <w:sz w:val="24"/>
                <w:szCs w:val="24"/>
              </w:rPr>
              <w:t>Минпромторг НСО,</w:t>
            </w:r>
          </w:p>
          <w:p w14:paraId="0F0911F9" w14:textId="77777777" w:rsidR="003F26A5" w:rsidRPr="00367300" w:rsidRDefault="003F26A5" w:rsidP="00FC74FE">
            <w:pPr>
              <w:autoSpaceDE w:val="0"/>
              <w:autoSpaceDN w:val="0"/>
              <w:adjustRightInd w:val="0"/>
              <w:rPr>
                <w:rFonts w:ascii="Times New Roman" w:hAnsi="Times New Roman" w:cs="Times New Roman"/>
                <w:sz w:val="24"/>
                <w:szCs w:val="24"/>
              </w:rPr>
            </w:pPr>
            <w:r w:rsidRPr="00367300">
              <w:rPr>
                <w:rFonts w:ascii="Times New Roman" w:hAnsi="Times New Roman" w:cs="Times New Roman"/>
                <w:sz w:val="24"/>
                <w:szCs w:val="24"/>
              </w:rPr>
              <w:t>ГАУ НСО «МФЦ»</w:t>
            </w:r>
          </w:p>
          <w:p w14:paraId="6A032AA3" w14:textId="77777777" w:rsidR="003F26A5" w:rsidRPr="00367300" w:rsidRDefault="003F26A5" w:rsidP="009B4FC0">
            <w:pPr>
              <w:autoSpaceDE w:val="0"/>
              <w:autoSpaceDN w:val="0"/>
              <w:adjustRightInd w:val="0"/>
              <w:ind w:left="278"/>
              <w:contextualSpacing/>
              <w:rPr>
                <w:rFonts w:ascii="Times New Roman" w:hAnsi="Times New Roman" w:cs="Times New Roman"/>
                <w:sz w:val="24"/>
                <w:szCs w:val="24"/>
              </w:rPr>
            </w:pPr>
            <w:r w:rsidRPr="00367300">
              <w:rPr>
                <w:rFonts w:ascii="Times New Roman" w:hAnsi="Times New Roman" w:cs="Times New Roman"/>
                <w:sz w:val="24"/>
                <w:szCs w:val="24"/>
              </w:rPr>
              <w:t>(по согласованию)</w:t>
            </w:r>
          </w:p>
        </w:tc>
        <w:tc>
          <w:tcPr>
            <w:tcW w:w="2031" w:type="pct"/>
          </w:tcPr>
          <w:p w14:paraId="16879D5D" w14:textId="77777777" w:rsidR="003F26A5" w:rsidRPr="00367300" w:rsidRDefault="003F26A5">
            <w:pPr>
              <w:widowControl w:val="0"/>
              <w:autoSpaceDE w:val="0"/>
              <w:autoSpaceDN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 МФЦ Новосибирской области предоставляется 7 услуг АО «Корпорация «МСП» во всех филиалах МФЦ. Число обращений за услугами Корпорации субъектов МСП в 2019 году: через МФЦ составило 2058 (уникальных – 1806)</w:t>
            </w:r>
          </w:p>
          <w:p w14:paraId="6BACACB5" w14:textId="77777777" w:rsidR="003F26A5" w:rsidRPr="00367300" w:rsidRDefault="00E3307E">
            <w:pPr>
              <w:widowControl w:val="0"/>
              <w:autoSpaceDE w:val="0"/>
              <w:autoSpaceDN w:val="0"/>
              <w:ind w:left="57" w:right="57" w:firstLine="340"/>
              <w:jc w:val="both"/>
              <w:rPr>
                <w:rFonts w:ascii="Times New Roman" w:hAnsi="Times New Roman" w:cs="Times New Roman"/>
                <w:sz w:val="24"/>
                <w:szCs w:val="24"/>
              </w:rPr>
            </w:pPr>
            <w:hyperlink r:id="rId129" w:history="1">
              <w:r w:rsidR="003F26A5" w:rsidRPr="00367300">
                <w:rPr>
                  <w:rStyle w:val="a3"/>
                  <w:rFonts w:ascii="Times New Roman" w:hAnsi="Times New Roman" w:cs="Times New Roman"/>
                  <w:sz w:val="24"/>
                  <w:szCs w:val="24"/>
                </w:rPr>
                <w:t>https://www.mfc-nso.ru/articles/uslugi-for-bisnes</w:t>
              </w:r>
            </w:hyperlink>
            <w:r w:rsidR="003F26A5" w:rsidRPr="00367300">
              <w:rPr>
                <w:rFonts w:ascii="Times New Roman" w:hAnsi="Times New Roman" w:cs="Times New Roman"/>
                <w:sz w:val="24"/>
                <w:szCs w:val="24"/>
              </w:rPr>
              <w:t>.</w:t>
            </w:r>
          </w:p>
          <w:p w14:paraId="5A6A973C" w14:textId="77777777" w:rsidR="003F26A5" w:rsidRPr="00367300" w:rsidRDefault="003F26A5">
            <w:pPr>
              <w:pStyle w:val="ConsPlusNormal"/>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Департаментом имущества и земельных отношений Новосибирской области заключено соглашение с ГАУ НСО «Многофункциональный центр организации предоставления государственных и муниципальных услуг Новосибирской области» на предоставление 17 государственных услуг, оказываемых департаментом, в том числе двух государственных услуг субъектам малого и среднего предпринимательства:</w:t>
            </w:r>
          </w:p>
          <w:p w14:paraId="4638BFD3" w14:textId="77777777" w:rsidR="003F26A5" w:rsidRPr="00891093" w:rsidRDefault="003F26A5">
            <w:pPr>
              <w:pStyle w:val="ConsPlusNormal"/>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подбор по заданным параметрам информации о недвижимом имуществе, вк</w:t>
            </w:r>
            <w:r w:rsidRPr="00891093">
              <w:rPr>
                <w:rFonts w:ascii="Times New Roman" w:hAnsi="Times New Roman" w:cs="Times New Roman"/>
                <w:sz w:val="24"/>
                <w:szCs w:val="24"/>
              </w:rPr>
              <w:t>люченном в перечень государственного имущества Новосибирской области свободного от прав третьих лиц (за исключением имущественных прав субъектов малого и среднего предпринимательства для предоставления субъектам малого и среднего предпринимательства);</w:t>
            </w:r>
          </w:p>
          <w:p w14:paraId="0A23D221" w14:textId="77777777" w:rsidR="003F26A5" w:rsidRPr="00891093" w:rsidRDefault="003F26A5">
            <w:pPr>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предоставление информации об объектах недвижимого имущества, находящихся в государственной собственности Новосибирской области и предназначенных для сдачи в аренду.</w:t>
            </w:r>
          </w:p>
          <w:p w14:paraId="1B40F29D" w14:textId="77777777" w:rsidR="003F26A5" w:rsidRPr="00891093" w:rsidRDefault="003F26A5">
            <w:pPr>
              <w:widowControl w:val="0"/>
              <w:autoSpaceDE w:val="0"/>
              <w:autoSpaceDN w:val="0"/>
              <w:ind w:left="57" w:right="57" w:firstLine="340"/>
              <w:jc w:val="both"/>
              <w:rPr>
                <w:rFonts w:ascii="Times New Roman" w:hAnsi="Times New Roman" w:cs="Times New Roman"/>
                <w:sz w:val="24"/>
                <w:szCs w:val="24"/>
              </w:rPr>
            </w:pPr>
          </w:p>
        </w:tc>
      </w:tr>
      <w:tr w:rsidR="003F26A5" w:rsidRPr="00367300" w14:paraId="0CEEC6A8" w14:textId="77777777" w:rsidTr="003F26A5">
        <w:trPr>
          <w:gridAfter w:val="1"/>
          <w:wAfter w:w="3" w:type="pct"/>
          <w:trHeight w:val="283"/>
        </w:trPr>
        <w:tc>
          <w:tcPr>
            <w:tcW w:w="335" w:type="pct"/>
          </w:tcPr>
          <w:p w14:paraId="40F1CBB7"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22.3</w:t>
            </w:r>
          </w:p>
        </w:tc>
        <w:tc>
          <w:tcPr>
            <w:tcW w:w="1108" w:type="pct"/>
          </w:tcPr>
          <w:p w14:paraId="17210972" w14:textId="77777777" w:rsidR="003F26A5" w:rsidRPr="00367300" w:rsidRDefault="003F26A5" w:rsidP="00367300">
            <w:pPr>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Проведение мероприятий </w:t>
            </w:r>
          </w:p>
          <w:p w14:paraId="69740559" w14:textId="77777777" w:rsidR="003F26A5" w:rsidRPr="00367300" w:rsidRDefault="003F26A5" w:rsidP="00367300">
            <w:pPr>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для субъектов малого и среднего предпринимательства </w:t>
            </w:r>
          </w:p>
          <w:p w14:paraId="22FE043F" w14:textId="77777777" w:rsidR="003F26A5" w:rsidRPr="00891093" w:rsidRDefault="003F26A5" w:rsidP="00367300">
            <w:pPr>
              <w:contextualSpacing/>
              <w:jc w:val="both"/>
              <w:rPr>
                <w:rFonts w:ascii="Times New Roman" w:hAnsi="Times New Roman" w:cs="Times New Roman"/>
                <w:sz w:val="24"/>
                <w:szCs w:val="24"/>
              </w:rPr>
            </w:pPr>
            <w:r w:rsidRPr="00367300">
              <w:rPr>
                <w:rFonts w:ascii="Times New Roman" w:hAnsi="Times New Roman" w:cs="Times New Roman"/>
                <w:sz w:val="24"/>
                <w:szCs w:val="24"/>
              </w:rPr>
              <w:t>по популяри</w:t>
            </w:r>
            <w:r w:rsidRPr="00891093">
              <w:rPr>
                <w:rFonts w:ascii="Times New Roman" w:hAnsi="Times New Roman" w:cs="Times New Roman"/>
                <w:sz w:val="24"/>
                <w:szCs w:val="24"/>
              </w:rPr>
              <w:t xml:space="preserve">зации и обучению практическому применению финансовых инструментов </w:t>
            </w:r>
          </w:p>
          <w:p w14:paraId="05F5A15C" w14:textId="77777777" w:rsidR="003F26A5" w:rsidRPr="00891093" w:rsidRDefault="003F26A5" w:rsidP="00891093">
            <w:pPr>
              <w:contextualSpacing/>
              <w:jc w:val="both"/>
              <w:rPr>
                <w:rFonts w:ascii="Times New Roman" w:hAnsi="Times New Roman" w:cs="Times New Roman"/>
                <w:sz w:val="24"/>
                <w:szCs w:val="24"/>
              </w:rPr>
            </w:pPr>
            <w:r w:rsidRPr="00891093">
              <w:rPr>
                <w:rFonts w:ascii="Times New Roman" w:hAnsi="Times New Roman" w:cs="Times New Roman"/>
                <w:sz w:val="24"/>
                <w:szCs w:val="24"/>
              </w:rPr>
              <w:t>для развития бизнеса</w:t>
            </w:r>
          </w:p>
        </w:tc>
        <w:tc>
          <w:tcPr>
            <w:tcW w:w="723" w:type="pct"/>
          </w:tcPr>
          <w:p w14:paraId="3B3BE9F0" w14:textId="77777777" w:rsidR="003F26A5" w:rsidRPr="00891093" w:rsidRDefault="003F26A5" w:rsidP="00891093">
            <w:pPr>
              <w:rPr>
                <w:rFonts w:ascii="Times New Roman" w:hAnsi="Times New Roman" w:cs="Times New Roman"/>
                <w:sz w:val="24"/>
                <w:szCs w:val="24"/>
              </w:rPr>
            </w:pPr>
            <w:r w:rsidRPr="00891093">
              <w:rPr>
                <w:rFonts w:ascii="Times New Roman" w:hAnsi="Times New Roman" w:cs="Times New Roman"/>
                <w:bCs/>
                <w:sz w:val="24"/>
                <w:szCs w:val="24"/>
              </w:rPr>
              <w:t>Повышение доступности финансовых услуг</w:t>
            </w:r>
          </w:p>
        </w:tc>
        <w:tc>
          <w:tcPr>
            <w:tcW w:w="337" w:type="pct"/>
          </w:tcPr>
          <w:p w14:paraId="048A79C7" w14:textId="77777777" w:rsidR="003F26A5" w:rsidRPr="008A0E4E" w:rsidRDefault="003F26A5" w:rsidP="00891093">
            <w:pPr>
              <w:contextualSpacing/>
              <w:rPr>
                <w:rFonts w:ascii="Times New Roman" w:hAnsi="Times New Roman" w:cs="Times New Roman"/>
                <w:sz w:val="24"/>
                <w:szCs w:val="24"/>
              </w:rPr>
            </w:pPr>
            <w:r w:rsidRPr="008A0E4E">
              <w:rPr>
                <w:rFonts w:ascii="Times New Roman" w:hAnsi="Times New Roman" w:cs="Times New Roman"/>
                <w:sz w:val="24"/>
                <w:szCs w:val="24"/>
              </w:rPr>
              <w:t>2019-2021 годы</w:t>
            </w:r>
          </w:p>
        </w:tc>
        <w:tc>
          <w:tcPr>
            <w:tcW w:w="463" w:type="pct"/>
          </w:tcPr>
          <w:p w14:paraId="4F6E75BF" w14:textId="77777777" w:rsidR="003F26A5" w:rsidRPr="00FC74FE" w:rsidRDefault="003F26A5" w:rsidP="00891093">
            <w:pPr>
              <w:widowControl w:val="0"/>
              <w:autoSpaceDE w:val="0"/>
              <w:autoSpaceDN w:val="0"/>
              <w:rPr>
                <w:rFonts w:ascii="Times New Roman" w:hAnsi="Times New Roman" w:cs="Times New Roman"/>
                <w:sz w:val="24"/>
                <w:szCs w:val="24"/>
              </w:rPr>
            </w:pPr>
            <w:r w:rsidRPr="00FC74FE">
              <w:rPr>
                <w:rFonts w:ascii="Times New Roman" w:hAnsi="Times New Roman" w:cs="Times New Roman"/>
                <w:sz w:val="24"/>
                <w:szCs w:val="24"/>
              </w:rPr>
              <w:t xml:space="preserve">Управление Службы по защите прав потребителей и обеспечению доступности </w:t>
            </w:r>
            <w:r w:rsidRPr="00FC74FE">
              <w:rPr>
                <w:rFonts w:ascii="Times New Roman" w:hAnsi="Times New Roman" w:cs="Times New Roman"/>
                <w:sz w:val="24"/>
                <w:szCs w:val="24"/>
              </w:rPr>
              <w:lastRenderedPageBreak/>
              <w:t>финансовой услуг в СФО</w:t>
            </w:r>
          </w:p>
          <w:p w14:paraId="5BA811E7" w14:textId="77777777" w:rsidR="003F26A5" w:rsidRPr="00367300" w:rsidRDefault="003F26A5" w:rsidP="008A0E4E">
            <w:pPr>
              <w:widowControl w:val="0"/>
              <w:autoSpaceDE w:val="0"/>
              <w:autoSpaceDN w:val="0"/>
              <w:rPr>
                <w:rFonts w:ascii="Times New Roman" w:hAnsi="Times New Roman" w:cs="Times New Roman"/>
                <w:sz w:val="24"/>
                <w:szCs w:val="24"/>
              </w:rPr>
            </w:pPr>
            <w:r w:rsidRPr="009B4FC0">
              <w:rPr>
                <w:rFonts w:ascii="Times New Roman" w:eastAsia="Times New Roman" w:hAnsi="Times New Roman" w:cs="Times New Roman"/>
                <w:sz w:val="24"/>
                <w:szCs w:val="24"/>
              </w:rPr>
              <w:t>(по согласованию)</w:t>
            </w:r>
          </w:p>
        </w:tc>
        <w:tc>
          <w:tcPr>
            <w:tcW w:w="2031" w:type="pct"/>
          </w:tcPr>
          <w:p w14:paraId="59C3ABE0" w14:textId="77777777" w:rsidR="003F26A5" w:rsidRPr="00367300" w:rsidRDefault="003F26A5" w:rsidP="00FC74FE">
            <w:pPr>
              <w:pStyle w:val="ae"/>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lastRenderedPageBreak/>
              <w:t>В отчетном периоде проведено 5 мероприятий (обучающие семинары, круглые столы).</w:t>
            </w:r>
          </w:p>
          <w:p w14:paraId="42A58BDD" w14:textId="77777777" w:rsidR="003F26A5" w:rsidRPr="00367300" w:rsidRDefault="003F26A5" w:rsidP="009B4FC0">
            <w:pPr>
              <w:pStyle w:val="ConsPlusNormal"/>
              <w:ind w:left="57" w:right="57" w:firstLine="340"/>
              <w:jc w:val="both"/>
              <w:rPr>
                <w:rFonts w:ascii="Times New Roman" w:eastAsiaTheme="minorHAnsi" w:hAnsi="Times New Roman" w:cs="Times New Roman"/>
                <w:sz w:val="24"/>
                <w:szCs w:val="24"/>
              </w:rPr>
            </w:pPr>
            <w:r w:rsidRPr="00367300">
              <w:rPr>
                <w:rFonts w:ascii="Times New Roman" w:hAnsi="Times New Roman" w:cs="Times New Roman"/>
                <w:sz w:val="24"/>
                <w:szCs w:val="24"/>
              </w:rPr>
              <w:t>В мероприятиях приняли участие 296 человек.</w:t>
            </w:r>
          </w:p>
          <w:p w14:paraId="63F36ECE" w14:textId="77777777" w:rsidR="003F26A5" w:rsidRPr="00367300" w:rsidRDefault="003F26A5">
            <w:pPr>
              <w:widowControl w:val="0"/>
              <w:autoSpaceDE w:val="0"/>
              <w:autoSpaceDN w:val="0"/>
              <w:ind w:firstLine="340"/>
              <w:jc w:val="both"/>
              <w:rPr>
                <w:rFonts w:ascii="Times New Roman" w:hAnsi="Times New Roman" w:cs="Times New Roman"/>
                <w:sz w:val="24"/>
                <w:szCs w:val="24"/>
              </w:rPr>
            </w:pPr>
          </w:p>
        </w:tc>
      </w:tr>
      <w:tr w:rsidR="003F26A5" w:rsidRPr="00367300" w14:paraId="4048C8B8" w14:textId="77777777" w:rsidTr="003F26A5">
        <w:trPr>
          <w:trHeight w:val="283"/>
        </w:trPr>
        <w:tc>
          <w:tcPr>
            <w:tcW w:w="5000" w:type="pct"/>
            <w:gridSpan w:val="7"/>
            <w:shd w:val="clear" w:color="auto" w:fill="auto"/>
          </w:tcPr>
          <w:p w14:paraId="3F47CB23" w14:textId="77777777" w:rsidR="003F26A5" w:rsidRPr="00367300" w:rsidRDefault="003F26A5" w:rsidP="00367300">
            <w:pPr>
              <w:autoSpaceDE w:val="0"/>
              <w:autoSpaceDN w:val="0"/>
              <w:adjustRightInd w:val="0"/>
              <w:ind w:firstLine="539"/>
              <w:rPr>
                <w:rFonts w:ascii="Times New Roman" w:hAnsi="Times New Roman" w:cs="Times New Roman"/>
                <w:b/>
                <w:bCs/>
                <w:sz w:val="24"/>
                <w:szCs w:val="24"/>
              </w:rPr>
            </w:pPr>
            <w:r w:rsidRPr="00367300">
              <w:rPr>
                <w:rFonts w:ascii="Times New Roman" w:hAnsi="Times New Roman" w:cs="Times New Roman"/>
                <w:b/>
                <w:bCs/>
                <w:sz w:val="24"/>
                <w:szCs w:val="24"/>
              </w:rPr>
              <w:t>23. Выравнивание условий конкуренции как в рамках товарных рынков внутри Новосибирской области (включая темпы роста цен), так и между субъектами Российской Федерации (включая темпы роста и уровни цен)</w:t>
            </w:r>
          </w:p>
        </w:tc>
      </w:tr>
    </w:tbl>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269"/>
        <w:gridCol w:w="2131"/>
        <w:gridCol w:w="993"/>
        <w:gridCol w:w="1364"/>
        <w:gridCol w:w="5987"/>
      </w:tblGrid>
      <w:tr w:rsidR="003F26A5" w:rsidRPr="00367300" w14:paraId="26BFE6CD" w14:textId="77777777" w:rsidTr="00A90DF9">
        <w:trPr>
          <w:trHeight w:val="283"/>
        </w:trPr>
        <w:tc>
          <w:tcPr>
            <w:tcW w:w="335" w:type="pct"/>
          </w:tcPr>
          <w:p w14:paraId="43490DDD"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23.1</w:t>
            </w:r>
          </w:p>
        </w:tc>
        <w:tc>
          <w:tcPr>
            <w:tcW w:w="1108" w:type="pct"/>
          </w:tcPr>
          <w:p w14:paraId="64A5BB03" w14:textId="77777777" w:rsidR="003F26A5" w:rsidRPr="00367300" w:rsidRDefault="003F26A5" w:rsidP="00367300">
            <w:pPr>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Заключение соглашений </w:t>
            </w:r>
          </w:p>
          <w:p w14:paraId="4504593A" w14:textId="77777777" w:rsidR="003F26A5" w:rsidRPr="00367300" w:rsidRDefault="003F26A5" w:rsidP="00367300">
            <w:pPr>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о торгово-экономическом, научно-техническом, социальном и культурном сотрудничестве </w:t>
            </w:r>
          </w:p>
          <w:p w14:paraId="52DFD891" w14:textId="77777777" w:rsidR="003F26A5" w:rsidRPr="00891093" w:rsidRDefault="003F26A5" w:rsidP="00367300">
            <w:pPr>
              <w:contextualSpacing/>
              <w:jc w:val="both"/>
              <w:rPr>
                <w:rFonts w:ascii="Times New Roman" w:hAnsi="Times New Roman" w:cs="Times New Roman"/>
                <w:bCs/>
                <w:sz w:val="24"/>
                <w:szCs w:val="24"/>
              </w:rPr>
            </w:pPr>
            <w:r w:rsidRPr="00367300">
              <w:rPr>
                <w:rFonts w:ascii="Times New Roman" w:hAnsi="Times New Roman" w:cs="Times New Roman"/>
                <w:sz w:val="24"/>
                <w:szCs w:val="24"/>
              </w:rPr>
              <w:t>с другими субъектами Российской Федерации</w:t>
            </w:r>
          </w:p>
        </w:tc>
        <w:tc>
          <w:tcPr>
            <w:tcW w:w="723" w:type="pct"/>
          </w:tcPr>
          <w:p w14:paraId="70840BFD"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Развитие внешнеэкономического, приграничного и межрегионального сотрудничества</w:t>
            </w:r>
          </w:p>
        </w:tc>
        <w:tc>
          <w:tcPr>
            <w:tcW w:w="337" w:type="pct"/>
          </w:tcPr>
          <w:p w14:paraId="14CCD689"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2019-2021 годы</w:t>
            </w:r>
          </w:p>
        </w:tc>
        <w:tc>
          <w:tcPr>
            <w:tcW w:w="463" w:type="pct"/>
          </w:tcPr>
          <w:p w14:paraId="114EEF5C" w14:textId="77777777" w:rsidR="003F26A5" w:rsidRPr="008A0E4E" w:rsidRDefault="003F26A5" w:rsidP="00891093">
            <w:pPr>
              <w:contextualSpacing/>
              <w:rPr>
                <w:rFonts w:ascii="Times New Roman" w:hAnsi="Times New Roman" w:cs="Times New Roman"/>
                <w:sz w:val="24"/>
                <w:szCs w:val="24"/>
              </w:rPr>
            </w:pPr>
            <w:r w:rsidRPr="008A0E4E">
              <w:rPr>
                <w:rFonts w:ascii="Times New Roman" w:hAnsi="Times New Roman" w:cs="Times New Roman"/>
                <w:sz w:val="24"/>
                <w:szCs w:val="24"/>
              </w:rPr>
              <w:t xml:space="preserve">Минэкономразвития НСО, </w:t>
            </w:r>
          </w:p>
          <w:p w14:paraId="1C4148A2" w14:textId="77777777" w:rsidR="003F26A5" w:rsidRPr="00FC74FE" w:rsidRDefault="003F26A5" w:rsidP="00891093">
            <w:pPr>
              <w:contextualSpacing/>
              <w:rPr>
                <w:rFonts w:ascii="Times New Roman" w:hAnsi="Times New Roman" w:cs="Times New Roman"/>
                <w:sz w:val="24"/>
                <w:szCs w:val="24"/>
              </w:rPr>
            </w:pPr>
            <w:r w:rsidRPr="00FC74FE">
              <w:rPr>
                <w:rFonts w:ascii="Times New Roman" w:hAnsi="Times New Roman" w:cs="Times New Roman"/>
                <w:sz w:val="24"/>
                <w:szCs w:val="24"/>
              </w:rPr>
              <w:t>Минпромторг НСО,</w:t>
            </w:r>
          </w:p>
          <w:p w14:paraId="0F8C28C6" w14:textId="77777777" w:rsidR="003F26A5" w:rsidRPr="009B4FC0" w:rsidRDefault="003F26A5" w:rsidP="008A0E4E">
            <w:pPr>
              <w:contextualSpacing/>
              <w:rPr>
                <w:rFonts w:ascii="Times New Roman" w:hAnsi="Times New Roman" w:cs="Times New Roman"/>
                <w:sz w:val="24"/>
                <w:szCs w:val="24"/>
              </w:rPr>
            </w:pPr>
            <w:r w:rsidRPr="009B4FC0">
              <w:rPr>
                <w:rFonts w:ascii="Times New Roman" w:hAnsi="Times New Roman" w:cs="Times New Roman"/>
                <w:sz w:val="24"/>
                <w:szCs w:val="24"/>
              </w:rPr>
              <w:t>Миннауки НСО, </w:t>
            </w:r>
          </w:p>
          <w:p w14:paraId="0F04F712" w14:textId="77777777" w:rsidR="003F26A5" w:rsidRPr="00367300" w:rsidRDefault="003F26A5" w:rsidP="00FC74FE">
            <w:pPr>
              <w:contextualSpacing/>
              <w:rPr>
                <w:rFonts w:ascii="Times New Roman" w:hAnsi="Times New Roman" w:cs="Times New Roman"/>
                <w:bCs/>
                <w:sz w:val="24"/>
                <w:szCs w:val="24"/>
              </w:rPr>
            </w:pPr>
            <w:r w:rsidRPr="00367300">
              <w:rPr>
                <w:rFonts w:ascii="Times New Roman" w:hAnsi="Times New Roman" w:cs="Times New Roman"/>
                <w:sz w:val="24"/>
                <w:szCs w:val="24"/>
              </w:rPr>
              <w:t>Минкульт НСО</w:t>
            </w:r>
          </w:p>
        </w:tc>
        <w:tc>
          <w:tcPr>
            <w:tcW w:w="2031" w:type="pct"/>
            <w:shd w:val="clear" w:color="auto" w:fill="FFFFFF" w:themeFill="background1"/>
          </w:tcPr>
          <w:p w14:paraId="4C87176C" w14:textId="77777777" w:rsidR="003F26A5" w:rsidRPr="00367300" w:rsidRDefault="003F26A5" w:rsidP="009B4FC0">
            <w:pPr>
              <w:ind w:left="-75"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Заключено соглашение о сотрудничестве в сфере культуры между Новосибирской областью и Корпорацией образования «Лунмэй» (г. Харбин, КНР).</w:t>
            </w:r>
          </w:p>
          <w:p w14:paraId="759A78AD" w14:textId="77777777" w:rsidR="003F26A5" w:rsidRPr="00367300" w:rsidRDefault="003F26A5">
            <w:pPr>
              <w:ind w:left="-75"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В 2019 году заключены соглашение о торгово-экономическом, научнотехническом, социальном и культурном сотрудничестве между Новосибирской областью и Республикой Татарстан, соглашение между Правительством Новосибирской области и Правительством Вологодской области о сотрудничестве в торгово-экономической, научнотехнической, культурной и иных сферах.</w:t>
            </w:r>
          </w:p>
          <w:p w14:paraId="42147B03" w14:textId="77777777" w:rsidR="003F26A5" w:rsidRPr="00367300" w:rsidRDefault="003F26A5">
            <w:pPr>
              <w:ind w:left="-75"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Реализация данных соглашений направлена, в том числе на формирование эффективной системы коммуникаций в области науки, технологий и инноваций, выстраивание взаимодействия сектора исследований и разработок с реальным сектором экономики, а также обмен опытом в сфере инновационного и инвестиционного развития экономики.</w:t>
            </w:r>
          </w:p>
        </w:tc>
      </w:tr>
    </w:tbl>
    <w:tbl>
      <w:tblPr>
        <w:tblStyle w:val="af8"/>
        <w:tblW w:w="5059" w:type="pct"/>
        <w:tblLayout w:type="fixed"/>
        <w:tblLook w:val="04A0" w:firstRow="1" w:lastRow="0" w:firstColumn="1" w:lastColumn="0" w:noHBand="0" w:noVBand="1"/>
      </w:tblPr>
      <w:tblGrid>
        <w:gridCol w:w="987"/>
        <w:gridCol w:w="3265"/>
        <w:gridCol w:w="2130"/>
        <w:gridCol w:w="993"/>
        <w:gridCol w:w="1364"/>
        <w:gridCol w:w="5984"/>
        <w:gridCol w:w="9"/>
      </w:tblGrid>
      <w:tr w:rsidR="003F26A5" w:rsidRPr="00367300" w14:paraId="5103E916" w14:textId="77777777" w:rsidTr="003F26A5">
        <w:trPr>
          <w:gridAfter w:val="1"/>
          <w:wAfter w:w="3" w:type="pct"/>
          <w:trHeight w:val="283"/>
        </w:trPr>
        <w:tc>
          <w:tcPr>
            <w:tcW w:w="335" w:type="pct"/>
          </w:tcPr>
          <w:p w14:paraId="2B060F9B"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23.2</w:t>
            </w:r>
          </w:p>
        </w:tc>
        <w:tc>
          <w:tcPr>
            <w:tcW w:w="1108" w:type="pct"/>
          </w:tcPr>
          <w:p w14:paraId="22916B93"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 xml:space="preserve">Проведение презентаций торгово-экономического, научно-технического и культурно-образовательного потенциала Новосибирской области за рубежом и в </w:t>
            </w:r>
            <w:r w:rsidRPr="00367300">
              <w:rPr>
                <w:rFonts w:ascii="Times New Roman" w:hAnsi="Times New Roman" w:cs="Times New Roman"/>
                <w:sz w:val="24"/>
                <w:szCs w:val="24"/>
              </w:rPr>
              <w:lastRenderedPageBreak/>
              <w:t>субъектах Российской Федерации</w:t>
            </w:r>
          </w:p>
        </w:tc>
        <w:tc>
          <w:tcPr>
            <w:tcW w:w="723" w:type="pct"/>
          </w:tcPr>
          <w:p w14:paraId="3FD8BE12" w14:textId="77777777" w:rsidR="003F26A5" w:rsidRPr="00891093" w:rsidRDefault="003F26A5" w:rsidP="00367300">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lastRenderedPageBreak/>
              <w:t>Развитие внешнеэкономического, приграничного и межрегионального сотрудничества</w:t>
            </w:r>
          </w:p>
        </w:tc>
        <w:tc>
          <w:tcPr>
            <w:tcW w:w="337" w:type="pct"/>
          </w:tcPr>
          <w:p w14:paraId="79007FF1"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2019-2021 годы</w:t>
            </w:r>
          </w:p>
        </w:tc>
        <w:tc>
          <w:tcPr>
            <w:tcW w:w="463" w:type="pct"/>
          </w:tcPr>
          <w:p w14:paraId="233944BA"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 xml:space="preserve">Минэкономразвития НСО, </w:t>
            </w:r>
          </w:p>
          <w:p w14:paraId="670E56EE"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Минпромторг НСО,</w:t>
            </w:r>
          </w:p>
          <w:p w14:paraId="2C29CD9E" w14:textId="77777777" w:rsidR="003F26A5" w:rsidRPr="008A0E4E" w:rsidRDefault="003F26A5" w:rsidP="00891093">
            <w:pPr>
              <w:contextualSpacing/>
              <w:rPr>
                <w:rFonts w:ascii="Times New Roman" w:hAnsi="Times New Roman" w:cs="Times New Roman"/>
                <w:sz w:val="24"/>
                <w:szCs w:val="24"/>
              </w:rPr>
            </w:pPr>
            <w:r w:rsidRPr="008A0E4E">
              <w:rPr>
                <w:rFonts w:ascii="Times New Roman" w:hAnsi="Times New Roman" w:cs="Times New Roman"/>
                <w:sz w:val="24"/>
                <w:szCs w:val="24"/>
              </w:rPr>
              <w:t>Миннауки НСО, </w:t>
            </w:r>
          </w:p>
          <w:p w14:paraId="5AC1E21D" w14:textId="77777777" w:rsidR="003F26A5" w:rsidRPr="00FC74FE" w:rsidRDefault="003F26A5" w:rsidP="008A0E4E">
            <w:pPr>
              <w:contextualSpacing/>
              <w:rPr>
                <w:rFonts w:ascii="Times New Roman" w:hAnsi="Times New Roman" w:cs="Times New Roman"/>
                <w:bCs/>
                <w:sz w:val="24"/>
                <w:szCs w:val="24"/>
              </w:rPr>
            </w:pPr>
            <w:r w:rsidRPr="005C70ED">
              <w:rPr>
                <w:rFonts w:ascii="Times New Roman" w:hAnsi="Times New Roman" w:cs="Times New Roman"/>
                <w:sz w:val="24"/>
                <w:szCs w:val="24"/>
              </w:rPr>
              <w:lastRenderedPageBreak/>
              <w:t>Минкульт НСО</w:t>
            </w:r>
          </w:p>
        </w:tc>
        <w:tc>
          <w:tcPr>
            <w:tcW w:w="2031" w:type="pct"/>
          </w:tcPr>
          <w:p w14:paraId="5B0C69D2" w14:textId="77777777" w:rsidR="003F26A5" w:rsidRPr="00367300" w:rsidRDefault="003F26A5" w:rsidP="00FC74FE">
            <w:pPr>
              <w:pStyle w:val="ae"/>
              <w:ind w:left="57" w:right="57" w:firstLine="340"/>
              <w:jc w:val="both"/>
              <w:rPr>
                <w:rFonts w:ascii="Times New Roman" w:hAnsi="Times New Roman" w:cs="Times New Roman"/>
                <w:sz w:val="24"/>
                <w:szCs w:val="24"/>
              </w:rPr>
            </w:pPr>
            <w:r w:rsidRPr="009B4FC0">
              <w:rPr>
                <w:rFonts w:ascii="Times New Roman" w:hAnsi="Times New Roman" w:cs="Times New Roman"/>
                <w:sz w:val="24"/>
                <w:szCs w:val="24"/>
              </w:rPr>
              <w:lastRenderedPageBreak/>
              <w:t>21 мая 2019 года н</w:t>
            </w:r>
            <w:r w:rsidRPr="00367300">
              <w:rPr>
                <w:rFonts w:ascii="Times New Roman" w:hAnsi="Times New Roman" w:cs="Times New Roman"/>
                <w:sz w:val="24"/>
                <w:szCs w:val="24"/>
              </w:rPr>
              <w:t xml:space="preserve">а площадке ПАО «Сбербанк» в г. Москве состоялось мероприятие с участием Губернатора Новосибирской области А.А. Травникова и заместителя Председателя Правления Сбербанка, руководителя блока «Корпоративно-инвестиционный бизнес» А.Л. Попова, представляющее инвестиционные возможности Новосибирской области, с целью </w:t>
            </w:r>
            <w:r w:rsidRPr="00367300">
              <w:rPr>
                <w:rFonts w:ascii="Times New Roman" w:hAnsi="Times New Roman" w:cs="Times New Roman"/>
                <w:sz w:val="24"/>
                <w:szCs w:val="24"/>
              </w:rPr>
              <w:lastRenderedPageBreak/>
              <w:t>привлечения крупных инвесторов, ведущих деятельность в приоритетных отраслях экономики, на территорию региона.</w:t>
            </w:r>
          </w:p>
          <w:p w14:paraId="06447DBA" w14:textId="77777777" w:rsidR="003F26A5" w:rsidRPr="00367300" w:rsidRDefault="003F26A5" w:rsidP="009B4FC0">
            <w:pPr>
              <w:pStyle w:val="ae"/>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10 и 11 декабря 2019 г. в Совете Федерации прошли Дни Новосибирской области. Делегация Новосибирской области, возглавляемая Губернатором А.А. Травниковым и Председателем Законодательного Собрания региона А.И. Шимкивом с участием представителей органов государственной власти Новосибирской области, приняла участие в расширенных заседаниях ряда комитетов Совета Федерации.</w:t>
            </w:r>
          </w:p>
          <w:p w14:paraId="0C97F348" w14:textId="77777777" w:rsidR="003F26A5" w:rsidRPr="00367300" w:rsidRDefault="003F26A5">
            <w:pPr>
              <w:pStyle w:val="ae"/>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Выставочную экспозицию Новосибирской области, презентующую проекты цифровой трансформации, Академгородок 2.0, инвестиционный потенциал Новосибирской области, «Молодежный чемпионат мира по хоккею 2023», экспортный потенциал Новосибирской области, посетила Председатель Совета Федерации В.И. Матвиенко.</w:t>
            </w:r>
          </w:p>
          <w:p w14:paraId="3C5CD92A" w14:textId="77777777" w:rsidR="003F26A5" w:rsidRPr="00367300" w:rsidRDefault="003F26A5">
            <w:pPr>
              <w:pStyle w:val="ae"/>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Также в рамках заседания Совета Федерации состоялся «Час субъекта РФ», во время которого Губернатор Новосибирской области представил достижения и лучшие практики Новосибирской области.</w:t>
            </w:r>
          </w:p>
        </w:tc>
      </w:tr>
      <w:tr w:rsidR="003F26A5" w:rsidRPr="00367300" w14:paraId="0B921E69" w14:textId="77777777" w:rsidTr="003F26A5">
        <w:trPr>
          <w:gridAfter w:val="1"/>
          <w:wAfter w:w="3" w:type="pct"/>
          <w:trHeight w:val="283"/>
        </w:trPr>
        <w:tc>
          <w:tcPr>
            <w:tcW w:w="335" w:type="pct"/>
          </w:tcPr>
          <w:p w14:paraId="1E11E01D"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23.3</w:t>
            </w:r>
          </w:p>
        </w:tc>
        <w:tc>
          <w:tcPr>
            <w:tcW w:w="1108" w:type="pct"/>
          </w:tcPr>
          <w:p w14:paraId="2ECF7A53" w14:textId="77777777" w:rsidR="003F26A5" w:rsidRPr="00367300" w:rsidRDefault="003F26A5" w:rsidP="00367300">
            <w:pPr>
              <w:ind w:left="57" w:right="57"/>
              <w:contextualSpacing/>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 xml:space="preserve">Принятие мер, направленных </w:t>
            </w:r>
          </w:p>
          <w:p w14:paraId="6894880F" w14:textId="77777777" w:rsidR="003F26A5" w:rsidRPr="00367300" w:rsidRDefault="003F26A5" w:rsidP="00367300">
            <w:pPr>
              <w:ind w:left="57" w:right="57"/>
              <w:contextualSpacing/>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 xml:space="preserve">на недопущение барьеров </w:t>
            </w:r>
          </w:p>
          <w:p w14:paraId="25349359" w14:textId="77777777" w:rsidR="003F26A5" w:rsidRPr="00367300" w:rsidRDefault="003F26A5" w:rsidP="00367300">
            <w:pPr>
              <w:ind w:left="57" w:right="57"/>
              <w:contextualSpacing/>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 xml:space="preserve">для движения товаров в любых их формах: от прямого запрета </w:t>
            </w:r>
          </w:p>
          <w:p w14:paraId="6D058662" w14:textId="77777777" w:rsidR="003F26A5" w:rsidRPr="00891093" w:rsidRDefault="003F26A5" w:rsidP="00891093">
            <w:pPr>
              <w:ind w:left="57" w:right="57"/>
              <w:contextualSpacing/>
              <w:jc w:val="both"/>
              <w:rPr>
                <w:rFonts w:ascii="Times New Roman" w:eastAsia="Times New Roman" w:hAnsi="Times New Roman" w:cs="Times New Roman"/>
                <w:sz w:val="24"/>
                <w:szCs w:val="24"/>
              </w:rPr>
            </w:pPr>
            <w:r w:rsidRPr="00891093">
              <w:rPr>
                <w:rFonts w:ascii="Times New Roman" w:eastAsia="Times New Roman" w:hAnsi="Times New Roman" w:cs="Times New Roman"/>
                <w:sz w:val="24"/>
                <w:szCs w:val="24"/>
              </w:rPr>
              <w:t xml:space="preserve">на перемещение товаров через региональные (муниципальные) границы до установления дополнительных требований </w:t>
            </w:r>
          </w:p>
          <w:p w14:paraId="080161A1" w14:textId="77777777" w:rsidR="003F26A5" w:rsidRPr="00891093" w:rsidRDefault="003F26A5" w:rsidP="00891093">
            <w:pPr>
              <w:ind w:left="57" w:right="57"/>
              <w:contextualSpacing/>
              <w:jc w:val="both"/>
              <w:rPr>
                <w:rFonts w:ascii="Times New Roman" w:eastAsia="Times New Roman" w:hAnsi="Times New Roman" w:cs="Times New Roman"/>
                <w:sz w:val="24"/>
                <w:szCs w:val="24"/>
              </w:rPr>
            </w:pPr>
            <w:r w:rsidRPr="00891093">
              <w:rPr>
                <w:rFonts w:ascii="Times New Roman" w:eastAsia="Times New Roman" w:hAnsi="Times New Roman" w:cs="Times New Roman"/>
                <w:sz w:val="24"/>
                <w:szCs w:val="24"/>
              </w:rPr>
              <w:lastRenderedPageBreak/>
              <w:t>к реализуемой на территории Новосибирской области продукции</w:t>
            </w:r>
          </w:p>
        </w:tc>
        <w:tc>
          <w:tcPr>
            <w:tcW w:w="723" w:type="pct"/>
          </w:tcPr>
          <w:p w14:paraId="380B1310" w14:textId="77777777" w:rsidR="003F26A5" w:rsidRPr="008A0E4E"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bCs/>
                <w:sz w:val="24"/>
                <w:szCs w:val="24"/>
              </w:rPr>
              <w:lastRenderedPageBreak/>
              <w:t xml:space="preserve">Выравнивание условий конкуренции </w:t>
            </w:r>
          </w:p>
        </w:tc>
        <w:tc>
          <w:tcPr>
            <w:tcW w:w="337" w:type="pct"/>
          </w:tcPr>
          <w:p w14:paraId="1BE721C9" w14:textId="77777777" w:rsidR="003F26A5" w:rsidRPr="00FC74FE" w:rsidRDefault="003F26A5" w:rsidP="00891093">
            <w:pPr>
              <w:contextualSpacing/>
              <w:rPr>
                <w:rFonts w:ascii="Times New Roman" w:hAnsi="Times New Roman" w:cs="Times New Roman"/>
                <w:sz w:val="24"/>
                <w:szCs w:val="24"/>
              </w:rPr>
            </w:pPr>
            <w:r w:rsidRPr="00FC74FE">
              <w:rPr>
                <w:rFonts w:ascii="Times New Roman" w:hAnsi="Times New Roman" w:cs="Times New Roman"/>
                <w:sz w:val="24"/>
                <w:szCs w:val="24"/>
              </w:rPr>
              <w:t>2019-2021 годы</w:t>
            </w:r>
          </w:p>
        </w:tc>
        <w:tc>
          <w:tcPr>
            <w:tcW w:w="463" w:type="pct"/>
          </w:tcPr>
          <w:p w14:paraId="0D07CEC0" w14:textId="77777777" w:rsidR="003F26A5" w:rsidRPr="00367300" w:rsidRDefault="003F26A5" w:rsidP="008A0E4E">
            <w:pPr>
              <w:contextualSpacing/>
              <w:rPr>
                <w:rFonts w:ascii="Times New Roman" w:hAnsi="Times New Roman" w:cs="Times New Roman"/>
                <w:sz w:val="24"/>
                <w:szCs w:val="24"/>
                <w:shd w:val="clear" w:color="auto" w:fill="FFFFFF"/>
              </w:rPr>
            </w:pPr>
            <w:r w:rsidRPr="009B4FC0">
              <w:rPr>
                <w:rFonts w:ascii="Times New Roman" w:hAnsi="Times New Roman" w:cs="Times New Roman"/>
                <w:sz w:val="24"/>
                <w:szCs w:val="24"/>
              </w:rPr>
              <w:t>Минпромторг НСО,</w:t>
            </w:r>
            <w:r w:rsidRPr="00367300">
              <w:rPr>
                <w:rFonts w:ascii="Times New Roman" w:hAnsi="Times New Roman" w:cs="Times New Roman"/>
                <w:sz w:val="24"/>
                <w:szCs w:val="24"/>
                <w:shd w:val="clear" w:color="auto" w:fill="FFFFFF"/>
              </w:rPr>
              <w:t xml:space="preserve"> </w:t>
            </w:r>
          </w:p>
          <w:p w14:paraId="7F934E19" w14:textId="77777777" w:rsidR="003F26A5" w:rsidRPr="00367300" w:rsidRDefault="003F26A5" w:rsidP="00FC74FE">
            <w:pPr>
              <w:contextualSpacing/>
              <w:rPr>
                <w:rFonts w:ascii="Times New Roman" w:hAnsi="Times New Roman" w:cs="Times New Roman"/>
                <w:sz w:val="24"/>
                <w:szCs w:val="24"/>
              </w:rPr>
            </w:pPr>
            <w:r w:rsidRPr="00367300">
              <w:rPr>
                <w:rFonts w:ascii="Times New Roman" w:hAnsi="Times New Roman" w:cs="Times New Roman"/>
                <w:sz w:val="24"/>
                <w:szCs w:val="24"/>
              </w:rPr>
              <w:t>ОМСУ НСО</w:t>
            </w:r>
          </w:p>
        </w:tc>
        <w:tc>
          <w:tcPr>
            <w:tcW w:w="2031" w:type="pct"/>
            <w:shd w:val="clear" w:color="auto" w:fill="FFFFFF" w:themeFill="background1"/>
          </w:tcPr>
          <w:p w14:paraId="512817AE" w14:textId="77777777" w:rsidR="003F26A5" w:rsidRPr="00367300" w:rsidRDefault="003F26A5" w:rsidP="009B4FC0">
            <w:pPr>
              <w:ind w:left="57" w:right="57" w:firstLine="340"/>
              <w:contextualSpacing/>
              <w:jc w:val="both"/>
              <w:rPr>
                <w:rFonts w:ascii="Times New Roman" w:hAnsi="Times New Roman" w:cs="Times New Roman"/>
                <w:color w:val="000000"/>
                <w:sz w:val="24"/>
                <w:szCs w:val="24"/>
              </w:rPr>
            </w:pPr>
            <w:r w:rsidRPr="00367300">
              <w:rPr>
                <w:rFonts w:ascii="Times New Roman" w:hAnsi="Times New Roman" w:cs="Times New Roman"/>
                <w:color w:val="000000"/>
                <w:sz w:val="24"/>
                <w:szCs w:val="24"/>
              </w:rPr>
              <w:t xml:space="preserve">В течение отчетного периода не выявлено нормативно-правовых актов или действий, ограничивающих </w:t>
            </w:r>
            <w:r w:rsidRPr="00367300">
              <w:rPr>
                <w:rFonts w:ascii="Times New Roman" w:eastAsia="Times New Roman" w:hAnsi="Times New Roman" w:cs="Times New Roman"/>
                <w:sz w:val="24"/>
                <w:szCs w:val="24"/>
              </w:rPr>
              <w:t>перемещение товаров через региональные (муниципальные) границы или устанавливающих дополнительных требования к реализуемой на территории Новосибирской области продукции</w:t>
            </w:r>
            <w:r w:rsidRPr="00367300">
              <w:rPr>
                <w:rFonts w:ascii="Times New Roman" w:hAnsi="Times New Roman" w:cs="Times New Roman"/>
                <w:color w:val="000000"/>
                <w:sz w:val="24"/>
                <w:szCs w:val="24"/>
              </w:rPr>
              <w:t>.</w:t>
            </w:r>
          </w:p>
          <w:p w14:paraId="0A215F22" w14:textId="77777777" w:rsidR="003F26A5" w:rsidRPr="00367300" w:rsidRDefault="003F26A5">
            <w:pPr>
              <w:ind w:left="57" w:right="57" w:firstLine="340"/>
              <w:contextualSpacing/>
              <w:jc w:val="both"/>
              <w:rPr>
                <w:rFonts w:ascii="Times New Roman" w:hAnsi="Times New Roman" w:cs="Times New Roman"/>
                <w:color w:val="000000"/>
                <w:sz w:val="24"/>
                <w:szCs w:val="24"/>
              </w:rPr>
            </w:pPr>
            <w:r w:rsidRPr="00367300">
              <w:rPr>
                <w:rFonts w:ascii="Times New Roman" w:hAnsi="Times New Roman" w:cs="Times New Roman"/>
                <w:color w:val="000000"/>
                <w:sz w:val="24"/>
                <w:szCs w:val="24"/>
              </w:rPr>
              <w:t xml:space="preserve">Усилия органов государственной власти Новосибирской области, органов местного самоуправления были направлены на поддержание </w:t>
            </w:r>
            <w:r w:rsidRPr="00367300">
              <w:rPr>
                <w:rFonts w:ascii="Times New Roman" w:hAnsi="Times New Roman" w:cs="Times New Roman"/>
                <w:color w:val="000000"/>
                <w:sz w:val="24"/>
                <w:szCs w:val="24"/>
              </w:rPr>
              <w:lastRenderedPageBreak/>
              <w:t>равных возможностей для всех участников рынков товаров, работ и услуг региона.</w:t>
            </w:r>
          </w:p>
          <w:p w14:paraId="3D4B4490" w14:textId="77777777" w:rsidR="003F26A5" w:rsidRPr="00367300" w:rsidRDefault="003F26A5">
            <w:pPr>
              <w:ind w:left="57" w:right="57" w:firstLine="340"/>
              <w:contextualSpacing/>
              <w:jc w:val="both"/>
              <w:rPr>
                <w:rFonts w:ascii="Times New Roman" w:hAnsi="Times New Roman" w:cs="Times New Roman"/>
                <w:sz w:val="24"/>
                <w:szCs w:val="24"/>
              </w:rPr>
            </w:pPr>
          </w:p>
        </w:tc>
      </w:tr>
      <w:tr w:rsidR="003F26A5" w:rsidRPr="00367300" w14:paraId="3A172B57" w14:textId="77777777" w:rsidTr="003F26A5">
        <w:trPr>
          <w:gridAfter w:val="1"/>
          <w:wAfter w:w="3" w:type="pct"/>
          <w:trHeight w:val="283"/>
        </w:trPr>
        <w:tc>
          <w:tcPr>
            <w:tcW w:w="335" w:type="pct"/>
          </w:tcPr>
          <w:p w14:paraId="7FA54A4D"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23.4</w:t>
            </w:r>
          </w:p>
        </w:tc>
        <w:tc>
          <w:tcPr>
            <w:tcW w:w="1108" w:type="pct"/>
          </w:tcPr>
          <w:p w14:paraId="032079F7" w14:textId="77777777" w:rsidR="003F26A5" w:rsidRPr="00367300" w:rsidRDefault="003F26A5" w:rsidP="00367300">
            <w:pPr>
              <w:ind w:left="57" w:right="57"/>
              <w:contextualSpacing/>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Содействие выставочно-ярмарочной деятельности в целях продвижения продукции субъектов малого предпринимательства на межрегиональные и региональные рынки</w:t>
            </w:r>
          </w:p>
        </w:tc>
        <w:tc>
          <w:tcPr>
            <w:tcW w:w="723" w:type="pct"/>
          </w:tcPr>
          <w:p w14:paraId="0FF3B44D" w14:textId="77777777" w:rsidR="003F26A5" w:rsidRPr="00891093" w:rsidRDefault="003F26A5" w:rsidP="00367300">
            <w:pPr>
              <w:autoSpaceDE w:val="0"/>
              <w:autoSpaceDN w:val="0"/>
              <w:adjustRightInd w:val="0"/>
              <w:rPr>
                <w:rFonts w:ascii="Times New Roman" w:hAnsi="Times New Roman" w:cs="Times New Roman"/>
                <w:sz w:val="24"/>
                <w:szCs w:val="24"/>
              </w:rPr>
            </w:pPr>
            <w:r w:rsidRPr="00367300">
              <w:rPr>
                <w:rFonts w:ascii="Times New Roman" w:hAnsi="Times New Roman" w:cs="Times New Roman"/>
                <w:bCs/>
                <w:sz w:val="24"/>
                <w:szCs w:val="24"/>
              </w:rPr>
              <w:t xml:space="preserve">Выравнивание условий конкуренции </w:t>
            </w:r>
          </w:p>
        </w:tc>
        <w:tc>
          <w:tcPr>
            <w:tcW w:w="337" w:type="pct"/>
          </w:tcPr>
          <w:p w14:paraId="1358B0F7" w14:textId="77777777" w:rsidR="003F26A5" w:rsidRPr="00891093" w:rsidRDefault="003F26A5" w:rsidP="00367300">
            <w:pPr>
              <w:contextualSpacing/>
              <w:rPr>
                <w:rFonts w:ascii="Times New Roman" w:hAnsi="Times New Roman" w:cs="Times New Roman"/>
                <w:sz w:val="24"/>
                <w:szCs w:val="24"/>
              </w:rPr>
            </w:pPr>
            <w:r w:rsidRPr="00891093">
              <w:rPr>
                <w:rFonts w:ascii="Times New Roman" w:hAnsi="Times New Roman" w:cs="Times New Roman"/>
                <w:sz w:val="24"/>
                <w:szCs w:val="24"/>
              </w:rPr>
              <w:t>2019-2021 годы</w:t>
            </w:r>
          </w:p>
        </w:tc>
        <w:tc>
          <w:tcPr>
            <w:tcW w:w="463" w:type="pct"/>
          </w:tcPr>
          <w:p w14:paraId="4C89A6AE"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Минпромторг НСО,</w:t>
            </w:r>
          </w:p>
          <w:p w14:paraId="57CC4ED4" w14:textId="77777777" w:rsidR="003F26A5" w:rsidRPr="008A0E4E"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ОМСУ НСО</w:t>
            </w:r>
          </w:p>
        </w:tc>
        <w:tc>
          <w:tcPr>
            <w:tcW w:w="2031" w:type="pct"/>
          </w:tcPr>
          <w:p w14:paraId="53F91140" w14:textId="77777777" w:rsidR="003F26A5" w:rsidRPr="009B4FC0" w:rsidRDefault="003F26A5" w:rsidP="00891093">
            <w:pPr>
              <w:autoSpaceDE w:val="0"/>
              <w:autoSpaceDN w:val="0"/>
              <w:ind w:left="57" w:right="57" w:firstLine="340"/>
              <w:jc w:val="both"/>
              <w:rPr>
                <w:rFonts w:ascii="Times New Roman" w:eastAsia="Times New Roman" w:hAnsi="Times New Roman" w:cs="Times New Roman"/>
                <w:sz w:val="24"/>
                <w:szCs w:val="24"/>
              </w:rPr>
            </w:pPr>
            <w:r w:rsidRPr="00FC74FE">
              <w:rPr>
                <w:rFonts w:ascii="Times New Roman" w:eastAsia="Times New Roman" w:hAnsi="Times New Roman" w:cs="Times New Roman"/>
                <w:sz w:val="24"/>
                <w:szCs w:val="24"/>
              </w:rPr>
              <w:t>Большое внимание в 2019 году уделялось реализации мероприятий по развитию многоформатной торговли, в том числе по организации ярмарок. Для участия в ярмарках максимально привлекались сельхозпредприятия, предприят</w:t>
            </w:r>
            <w:r w:rsidRPr="009B4FC0">
              <w:rPr>
                <w:rFonts w:ascii="Times New Roman" w:eastAsia="Times New Roman" w:hAnsi="Times New Roman" w:cs="Times New Roman"/>
                <w:sz w:val="24"/>
                <w:szCs w:val="24"/>
              </w:rPr>
              <w:t>ия пищевой и перерабатывающей промышленности, а также крестьянско-фермерские хозяйства, садоводы и огородники.</w:t>
            </w:r>
          </w:p>
          <w:p w14:paraId="1517B638" w14:textId="77777777" w:rsidR="003F26A5" w:rsidRPr="00367300" w:rsidRDefault="003F26A5" w:rsidP="00891093">
            <w:pPr>
              <w:widowControl w:val="0"/>
              <w:autoSpaceDE w:val="0"/>
              <w:autoSpaceDN w:val="0"/>
              <w:adjustRightInd w:val="0"/>
              <w:ind w:left="57" w:right="57" w:firstLine="340"/>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В 2019 году на территории Новосибирской области проведено 2340 ярмарочных мероприятий различного направления, в том числе 11 областных оптово-розничных универсальных ярмарок в сельских районах области.</w:t>
            </w:r>
          </w:p>
          <w:p w14:paraId="49B64062" w14:textId="77777777" w:rsidR="003F26A5" w:rsidRPr="00367300" w:rsidRDefault="003F26A5" w:rsidP="008A0E4E">
            <w:pPr>
              <w:widowControl w:val="0"/>
              <w:autoSpaceDE w:val="0"/>
              <w:autoSpaceDN w:val="0"/>
              <w:adjustRightInd w:val="0"/>
              <w:ind w:left="57" w:right="57" w:firstLine="340"/>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 xml:space="preserve">1767 участников из 35 муниципальных районов и городских округов Новосибирской области представили жителям товары по оптовым ценам и ценам производителей. Торговые места и оборудование участникам ярмарок предоставлялись бесплатно. Всего на ярмарках реализовано товаров населению на сумму более 57 млн. рублей. </w:t>
            </w:r>
          </w:p>
          <w:p w14:paraId="6FD0D8B9" w14:textId="77777777" w:rsidR="003F26A5" w:rsidRPr="00367300" w:rsidRDefault="003F26A5" w:rsidP="00FC74FE">
            <w:pPr>
              <w:autoSpaceDE w:val="0"/>
              <w:autoSpaceDN w:val="0"/>
              <w:ind w:left="57" w:right="57" w:firstLine="340"/>
              <w:jc w:val="both"/>
              <w:rPr>
                <w:rFonts w:ascii="Times New Roman" w:hAnsi="Times New Roman" w:cs="Times New Roman"/>
                <w:color w:val="000000"/>
                <w:sz w:val="24"/>
                <w:szCs w:val="24"/>
                <w:highlight w:val="yellow"/>
              </w:rPr>
            </w:pPr>
            <w:r w:rsidRPr="00367300">
              <w:rPr>
                <w:rFonts w:ascii="Times New Roman" w:eastAsia="Times New Roman" w:hAnsi="Times New Roman" w:cs="Times New Roman"/>
                <w:sz w:val="24"/>
                <w:szCs w:val="24"/>
              </w:rPr>
              <w:t>В г. Новосибирске в ежедневном режиме работают три социальные ярмарки (Областная социальная ярмарка, и две городские социальные продовольственные ярмарки). На социальных ярмарках организовано более 120 торговых отделов для реализации жителям продуктов питания по ценам на 10-15% ниже средних розничных цен, сложившихся на территории Новосибирской области.</w:t>
            </w:r>
          </w:p>
        </w:tc>
      </w:tr>
      <w:tr w:rsidR="003F26A5" w:rsidRPr="00367300" w14:paraId="179A1BEA" w14:textId="77777777" w:rsidTr="003F26A5">
        <w:trPr>
          <w:trHeight w:val="283"/>
        </w:trPr>
        <w:tc>
          <w:tcPr>
            <w:tcW w:w="5000" w:type="pct"/>
            <w:gridSpan w:val="7"/>
            <w:shd w:val="clear" w:color="auto" w:fill="auto"/>
          </w:tcPr>
          <w:p w14:paraId="25E68572" w14:textId="77777777" w:rsidR="003F26A5" w:rsidRPr="00367300" w:rsidRDefault="003F26A5" w:rsidP="00367300">
            <w:pPr>
              <w:contextualSpacing/>
              <w:rPr>
                <w:rFonts w:ascii="Times New Roman" w:hAnsi="Times New Roman" w:cs="Times New Roman"/>
                <w:b/>
                <w:bCs/>
                <w:sz w:val="24"/>
                <w:szCs w:val="24"/>
              </w:rPr>
            </w:pPr>
            <w:r w:rsidRPr="00367300">
              <w:rPr>
                <w:rFonts w:ascii="Times New Roman" w:hAnsi="Times New Roman" w:cs="Times New Roman"/>
                <w:b/>
                <w:bCs/>
                <w:sz w:val="24"/>
                <w:szCs w:val="24"/>
              </w:rPr>
              <w:lastRenderedPageBreak/>
              <w:t>24. Обучение государственных гражданских служащих органов исполнительной власти субъекта Российской Федерации и работников их подведомственных предприятий и учреждений основам государственной политики в области развития конкуренции и антимонопольного законодательства Российской Федерации</w:t>
            </w:r>
          </w:p>
        </w:tc>
      </w:tr>
    </w:tbl>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269"/>
        <w:gridCol w:w="2131"/>
        <w:gridCol w:w="993"/>
        <w:gridCol w:w="1364"/>
        <w:gridCol w:w="5987"/>
      </w:tblGrid>
      <w:tr w:rsidR="003F26A5" w:rsidRPr="00367300" w14:paraId="6648D0DD" w14:textId="77777777" w:rsidTr="00A90DF9">
        <w:trPr>
          <w:trHeight w:val="283"/>
        </w:trPr>
        <w:tc>
          <w:tcPr>
            <w:tcW w:w="335" w:type="pct"/>
            <w:shd w:val="clear" w:color="auto" w:fill="FFFFFF" w:themeFill="background1"/>
          </w:tcPr>
          <w:p w14:paraId="0E2DAE03"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24.1</w:t>
            </w:r>
          </w:p>
        </w:tc>
        <w:tc>
          <w:tcPr>
            <w:tcW w:w="1108" w:type="pct"/>
            <w:shd w:val="clear" w:color="auto" w:fill="FFFFFF" w:themeFill="background1"/>
          </w:tcPr>
          <w:p w14:paraId="09795FF1" w14:textId="77777777" w:rsidR="003F26A5" w:rsidRPr="00367300" w:rsidRDefault="003F26A5" w:rsidP="00367300">
            <w:pPr>
              <w:contextualSpacing/>
              <w:jc w:val="both"/>
              <w:rPr>
                <w:rFonts w:ascii="Times New Roman" w:hAnsi="Times New Roman" w:cs="Times New Roman"/>
                <w:bCs/>
                <w:sz w:val="24"/>
                <w:szCs w:val="24"/>
              </w:rPr>
            </w:pPr>
            <w:r w:rsidRPr="00367300">
              <w:rPr>
                <w:rFonts w:ascii="Times New Roman" w:hAnsi="Times New Roman" w:cs="Times New Roman"/>
                <w:bCs/>
                <w:sz w:val="24"/>
                <w:szCs w:val="24"/>
              </w:rPr>
              <w:t>Проведение совещаний, семинаров, круглых столов по вопросам реализации государственной политики в области развития конкуренции и антимонопольного законодательства Российской Федерации</w:t>
            </w:r>
          </w:p>
        </w:tc>
        <w:tc>
          <w:tcPr>
            <w:tcW w:w="723" w:type="pct"/>
            <w:shd w:val="clear" w:color="auto" w:fill="FFFFFF" w:themeFill="background1"/>
          </w:tcPr>
          <w:p w14:paraId="10625288"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 xml:space="preserve">Повышение компетентности государственных служащих </w:t>
            </w:r>
          </w:p>
          <w:p w14:paraId="2704E4CE" w14:textId="77777777" w:rsidR="003F26A5" w:rsidRPr="00891093"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по вопро</w:t>
            </w:r>
            <w:r w:rsidRPr="00891093">
              <w:rPr>
                <w:rFonts w:ascii="Times New Roman" w:hAnsi="Times New Roman" w:cs="Times New Roman"/>
                <w:bCs/>
                <w:sz w:val="24"/>
                <w:szCs w:val="24"/>
              </w:rPr>
              <w:t xml:space="preserve">сам содействия развитию конкуренции </w:t>
            </w:r>
          </w:p>
          <w:p w14:paraId="01CA6B90"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в Новосибирской области</w:t>
            </w:r>
          </w:p>
        </w:tc>
        <w:tc>
          <w:tcPr>
            <w:tcW w:w="337" w:type="pct"/>
            <w:shd w:val="clear" w:color="auto" w:fill="FFFFFF" w:themeFill="background1"/>
          </w:tcPr>
          <w:p w14:paraId="4D8D13AE"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shd w:val="clear" w:color="auto" w:fill="FFFFFF" w:themeFill="background1"/>
          </w:tcPr>
          <w:p w14:paraId="3838E609" w14:textId="77777777" w:rsidR="003F26A5" w:rsidRPr="008A0E4E" w:rsidRDefault="003F26A5" w:rsidP="00891093">
            <w:pPr>
              <w:contextualSpacing/>
              <w:rPr>
                <w:rFonts w:ascii="Times New Roman" w:hAnsi="Times New Roman" w:cs="Times New Roman"/>
                <w:bCs/>
                <w:sz w:val="24"/>
                <w:szCs w:val="24"/>
              </w:rPr>
            </w:pPr>
            <w:r w:rsidRPr="008A0E4E">
              <w:rPr>
                <w:rFonts w:ascii="Times New Roman" w:hAnsi="Times New Roman" w:cs="Times New Roman"/>
                <w:bCs/>
                <w:sz w:val="24"/>
                <w:szCs w:val="24"/>
              </w:rPr>
              <w:t>Минэкономразвития НСО, ОИОГВ НСО</w:t>
            </w:r>
          </w:p>
        </w:tc>
        <w:tc>
          <w:tcPr>
            <w:tcW w:w="2031" w:type="pct"/>
            <w:shd w:val="clear" w:color="auto" w:fill="FFFFFF" w:themeFill="background1"/>
          </w:tcPr>
          <w:p w14:paraId="79DDC05B" w14:textId="6768E585" w:rsidR="003F26A5" w:rsidRPr="00367300" w:rsidRDefault="003F26A5" w:rsidP="00891093">
            <w:pPr>
              <w:ind w:left="-75" w:firstLine="340"/>
              <w:jc w:val="both"/>
              <w:rPr>
                <w:rFonts w:ascii="Times New Roman" w:hAnsi="Times New Roman" w:cs="Times New Roman"/>
                <w:sz w:val="24"/>
                <w:szCs w:val="24"/>
              </w:rPr>
            </w:pPr>
            <w:r w:rsidRPr="00FC74FE">
              <w:rPr>
                <w:rFonts w:ascii="Times New Roman" w:hAnsi="Times New Roman" w:cs="Times New Roman"/>
                <w:bCs/>
                <w:sz w:val="24"/>
                <w:szCs w:val="24"/>
              </w:rPr>
              <w:t xml:space="preserve">В 2019 году </w:t>
            </w:r>
            <w:r w:rsidR="007F3886" w:rsidRPr="00FC74FE">
              <w:rPr>
                <w:rFonts w:ascii="Times New Roman" w:hAnsi="Times New Roman" w:cs="Times New Roman"/>
                <w:sz w:val="24"/>
                <w:szCs w:val="24"/>
              </w:rPr>
              <w:t>в</w:t>
            </w:r>
            <w:r w:rsidRPr="00367300">
              <w:rPr>
                <w:rFonts w:ascii="Times New Roman" w:hAnsi="Times New Roman" w:cs="Times New Roman"/>
                <w:sz w:val="24"/>
                <w:szCs w:val="24"/>
              </w:rPr>
              <w:t xml:space="preserve"> целях улучшения показателей работы, повышения уровня знаний в сфере антимонопольного комплаенса, развития навыков, повышающих эффективность работы, ОИОГВ НСО организовано участие государственных служащих в обучении, проводимом ФАС России, ЧУ ДПО «Учебный центр БДО». Обучение прошли специалисты министерства экономического развития НСО, департамента имущества и земельных отношений НСО, министерства финансов и налоговой политики, министерства науки и инновационной политики, управления делами Губернатора Новосибирской области и Правительства Новосибирской области, управления информационных проектов и др.</w:t>
            </w:r>
          </w:p>
          <w:p w14:paraId="4B296223" w14:textId="77777777" w:rsidR="003F26A5" w:rsidRPr="00367300" w:rsidRDefault="003F26A5" w:rsidP="008A0E4E">
            <w:pPr>
              <w:ind w:left="-75" w:firstLine="340"/>
              <w:contextualSpacing/>
              <w:jc w:val="both"/>
              <w:rPr>
                <w:rFonts w:ascii="Times New Roman" w:hAnsi="Times New Roman" w:cs="Times New Roman"/>
                <w:bCs/>
                <w:sz w:val="24"/>
                <w:szCs w:val="24"/>
              </w:rPr>
            </w:pPr>
            <w:r w:rsidRPr="00367300">
              <w:rPr>
                <w:rFonts w:ascii="Times New Roman" w:hAnsi="Times New Roman" w:cs="Times New Roman"/>
                <w:bCs/>
                <w:sz w:val="24"/>
                <w:szCs w:val="24"/>
              </w:rPr>
              <w:t>Кроме этого, вопросы реализации государственной политики в области развития конкуренции и антимонопольного законодательства РФ обсуждались в формате совместных мероприятий с областными исполнительными органами государственной власти, органами местного самоуправления муниципальных образований Новосибирской области: Совета по содействию развитию конкуренции в Новосибирской области; семинаров совещаний с органами местного самоуправления Новосибирской области.</w:t>
            </w:r>
          </w:p>
          <w:p w14:paraId="0DA6B4F4" w14:textId="77777777" w:rsidR="003F26A5" w:rsidRPr="00367300" w:rsidRDefault="003F26A5" w:rsidP="00FC74FE">
            <w:pPr>
              <w:ind w:left="-75" w:firstLine="340"/>
              <w:contextualSpacing/>
              <w:jc w:val="both"/>
              <w:rPr>
                <w:rFonts w:ascii="Times New Roman" w:hAnsi="Times New Roman" w:cs="Times New Roman"/>
                <w:bCs/>
                <w:sz w:val="24"/>
                <w:szCs w:val="24"/>
              </w:rPr>
            </w:pPr>
            <w:r w:rsidRPr="00367300">
              <w:rPr>
                <w:rFonts w:ascii="Times New Roman" w:hAnsi="Times New Roman" w:cs="Times New Roman"/>
                <w:bCs/>
                <w:sz w:val="24"/>
                <w:szCs w:val="24"/>
              </w:rPr>
              <w:t xml:space="preserve">В ходе мероприятий рассматривались вопросы внедрения Стандарта развития конкуренции в субъектах РФ, внедрения антимонопольного комплаенса областными исполнительными органами государственной власти Новосибирской области, органами местного самоуправления муниципальных </w:t>
            </w:r>
            <w:r w:rsidRPr="00367300">
              <w:rPr>
                <w:rFonts w:ascii="Times New Roman" w:hAnsi="Times New Roman" w:cs="Times New Roman"/>
                <w:bCs/>
                <w:sz w:val="24"/>
                <w:szCs w:val="24"/>
              </w:rPr>
              <w:lastRenderedPageBreak/>
              <w:t>образований Новосибирской области; вопросы правоприменительной практики Новосибирского УФАС.</w:t>
            </w:r>
          </w:p>
          <w:p w14:paraId="4F78BF1E" w14:textId="77777777" w:rsidR="003F26A5" w:rsidRPr="00367300" w:rsidRDefault="003F26A5" w:rsidP="009B4FC0">
            <w:pPr>
              <w:ind w:left="-75" w:firstLine="340"/>
              <w:contextualSpacing/>
              <w:jc w:val="both"/>
              <w:rPr>
                <w:rFonts w:ascii="Times New Roman" w:hAnsi="Times New Roman" w:cs="Times New Roman"/>
                <w:bCs/>
                <w:sz w:val="24"/>
                <w:szCs w:val="24"/>
              </w:rPr>
            </w:pPr>
            <w:r w:rsidRPr="00367300">
              <w:rPr>
                <w:rFonts w:ascii="Times New Roman" w:hAnsi="Times New Roman" w:cs="Times New Roman"/>
                <w:bCs/>
                <w:sz w:val="24"/>
                <w:szCs w:val="24"/>
              </w:rPr>
              <w:t xml:space="preserve">Министерством экономического развития Новосибирской области сформирована заявка по программе обучения специалистов органов власти всех уровней. </w:t>
            </w:r>
          </w:p>
        </w:tc>
      </w:tr>
    </w:tbl>
    <w:tbl>
      <w:tblPr>
        <w:tblStyle w:val="af8"/>
        <w:tblW w:w="5059" w:type="pct"/>
        <w:tblLayout w:type="fixed"/>
        <w:tblLook w:val="04A0" w:firstRow="1" w:lastRow="0" w:firstColumn="1" w:lastColumn="0" w:noHBand="0" w:noVBand="1"/>
      </w:tblPr>
      <w:tblGrid>
        <w:gridCol w:w="987"/>
        <w:gridCol w:w="3265"/>
        <w:gridCol w:w="2130"/>
        <w:gridCol w:w="993"/>
        <w:gridCol w:w="1364"/>
        <w:gridCol w:w="5984"/>
        <w:gridCol w:w="9"/>
      </w:tblGrid>
      <w:tr w:rsidR="003F26A5" w:rsidRPr="00367300" w14:paraId="08DF803C" w14:textId="77777777" w:rsidTr="003F26A5">
        <w:trPr>
          <w:gridAfter w:val="1"/>
          <w:wAfter w:w="3" w:type="pct"/>
          <w:trHeight w:val="283"/>
        </w:trPr>
        <w:tc>
          <w:tcPr>
            <w:tcW w:w="335" w:type="pct"/>
          </w:tcPr>
          <w:p w14:paraId="1281AEDD"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24.2</w:t>
            </w:r>
          </w:p>
        </w:tc>
        <w:tc>
          <w:tcPr>
            <w:tcW w:w="1108" w:type="pct"/>
          </w:tcPr>
          <w:p w14:paraId="141E2270"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bCs/>
                <w:sz w:val="24"/>
                <w:szCs w:val="24"/>
              </w:rPr>
              <w:t>Организация и проведение для органов местного самоуправления обучающих мероприятий и тренингов по вопросам содействия развитию конкуренции, повышения качества процессов, связанных с предоставлением услуг, влияющих на развитие конкуренции</w:t>
            </w:r>
          </w:p>
        </w:tc>
        <w:tc>
          <w:tcPr>
            <w:tcW w:w="723" w:type="pct"/>
          </w:tcPr>
          <w:p w14:paraId="631BE778" w14:textId="77777777" w:rsidR="003F26A5" w:rsidRPr="00891093"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Повышение компетентности руководителей и специалистов органов местного самоуправления по вопросам содействи</w:t>
            </w:r>
            <w:r w:rsidRPr="00891093">
              <w:rPr>
                <w:rFonts w:ascii="Times New Roman" w:hAnsi="Times New Roman" w:cs="Times New Roman"/>
                <w:bCs/>
                <w:sz w:val="24"/>
                <w:szCs w:val="24"/>
              </w:rPr>
              <w:t xml:space="preserve">я развитию конкуренции </w:t>
            </w:r>
          </w:p>
          <w:p w14:paraId="408BDD0E"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в муниципальных образованиях</w:t>
            </w:r>
          </w:p>
        </w:tc>
        <w:tc>
          <w:tcPr>
            <w:tcW w:w="337" w:type="pct"/>
          </w:tcPr>
          <w:p w14:paraId="50AC4298"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Pr>
          <w:p w14:paraId="7B839942" w14:textId="77777777" w:rsidR="003F26A5" w:rsidRPr="008A0E4E" w:rsidRDefault="003F26A5" w:rsidP="00891093">
            <w:pPr>
              <w:contextualSpacing/>
              <w:rPr>
                <w:rFonts w:ascii="Times New Roman" w:hAnsi="Times New Roman" w:cs="Times New Roman"/>
                <w:bCs/>
                <w:sz w:val="24"/>
                <w:szCs w:val="24"/>
              </w:rPr>
            </w:pPr>
            <w:r w:rsidRPr="008A0E4E">
              <w:rPr>
                <w:rFonts w:ascii="Times New Roman" w:hAnsi="Times New Roman" w:cs="Times New Roman"/>
                <w:bCs/>
                <w:sz w:val="24"/>
                <w:szCs w:val="24"/>
              </w:rPr>
              <w:t>Минэкономразвития НСО</w:t>
            </w:r>
          </w:p>
        </w:tc>
        <w:tc>
          <w:tcPr>
            <w:tcW w:w="2031" w:type="pct"/>
          </w:tcPr>
          <w:p w14:paraId="029B633B" w14:textId="77777777" w:rsidR="003F26A5" w:rsidRPr="00FC74FE" w:rsidRDefault="003F26A5" w:rsidP="00891093">
            <w:pPr>
              <w:ind w:left="57" w:right="57" w:firstLine="340"/>
              <w:contextualSpacing/>
              <w:jc w:val="both"/>
              <w:rPr>
                <w:rFonts w:ascii="Times New Roman" w:hAnsi="Times New Roman" w:cs="Times New Roman"/>
                <w:bCs/>
                <w:sz w:val="24"/>
                <w:szCs w:val="24"/>
              </w:rPr>
            </w:pPr>
            <w:r w:rsidRPr="00FC74FE">
              <w:rPr>
                <w:rFonts w:ascii="Times New Roman" w:hAnsi="Times New Roman" w:cs="Times New Roman"/>
                <w:bCs/>
                <w:sz w:val="24"/>
                <w:szCs w:val="24"/>
              </w:rPr>
              <w:t>В 2019 году для органов местного самоуправления проведено 9 обучающих мероприятий:</w:t>
            </w:r>
          </w:p>
          <w:p w14:paraId="1E3A716D" w14:textId="77777777" w:rsidR="007F3886" w:rsidRPr="00367300" w:rsidRDefault="007F3886" w:rsidP="008A0E4E">
            <w:pPr>
              <w:ind w:left="57" w:right="57" w:firstLine="340"/>
              <w:jc w:val="both"/>
              <w:rPr>
                <w:rFonts w:ascii="Times New Roman" w:eastAsia="Times New Roman" w:hAnsi="Times New Roman" w:cs="Times New Roman"/>
                <w:sz w:val="24"/>
                <w:szCs w:val="24"/>
              </w:rPr>
            </w:pPr>
            <w:r w:rsidRPr="009B4FC0">
              <w:rPr>
                <w:rFonts w:ascii="Times New Roman" w:eastAsia="Times New Roman" w:hAnsi="Times New Roman" w:cs="Times New Roman"/>
                <w:sz w:val="24"/>
                <w:szCs w:val="24"/>
              </w:rPr>
              <w:t>Обучающее мероприятие № </w:t>
            </w:r>
            <w:r w:rsidR="003F26A5" w:rsidRPr="00367300">
              <w:rPr>
                <w:rFonts w:ascii="Times New Roman" w:eastAsia="Times New Roman" w:hAnsi="Times New Roman" w:cs="Times New Roman"/>
                <w:sz w:val="24"/>
                <w:szCs w:val="24"/>
              </w:rPr>
              <w:t>1.</w:t>
            </w:r>
          </w:p>
          <w:p w14:paraId="431E35C5" w14:textId="77777777" w:rsidR="007F3886" w:rsidRPr="00367300" w:rsidRDefault="003F26A5" w:rsidP="00FC74FE">
            <w:pPr>
              <w:ind w:left="57" w:right="57" w:firstLine="340"/>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 xml:space="preserve"> 8-26 апреля 2019 г. </w:t>
            </w:r>
          </w:p>
          <w:p w14:paraId="7901A8DF" w14:textId="77777777" w:rsidR="003F26A5" w:rsidRPr="00367300" w:rsidRDefault="003F26A5" w:rsidP="009B4FC0">
            <w:pPr>
              <w:ind w:left="57" w:right="57" w:firstLine="340"/>
              <w:jc w:val="both"/>
              <w:rPr>
                <w:rFonts w:ascii="Times New Roman" w:eastAsia="Times New Roman" w:hAnsi="Times New Roman" w:cs="Times New Roman"/>
                <w:sz w:val="24"/>
                <w:szCs w:val="24"/>
              </w:rPr>
            </w:pPr>
            <w:r w:rsidRPr="00367300">
              <w:rPr>
                <w:rFonts w:ascii="Times New Roman" w:hAnsi="Times New Roman" w:cs="Times New Roman"/>
                <w:sz w:val="24"/>
                <w:szCs w:val="24"/>
              </w:rPr>
              <w:t xml:space="preserve">На площадке Института перспективных транспортных технологий и переподготовки кадров ФГБОУ ВО «Сибирский государственный университет путей сообщения» было проведено обучающее мероприятие для работников 35 муниципальных образований Новосибирской области по теме: «Контроль качества при ремонте и содержании автомобильных дорог». В рамках программы был рассмотрен вопрос в объеме 4 учебных часа «Строительный контроль, ценообразование по нормативам затрат (статья 26 «Централизованные закупки» Федерального закона от 05.04.2013 № 44-ФЗ «О контрактной системе в сфере закупок товаров, работ, услуг для обеспечения государственных и муниципальных нужд») </w:t>
            </w:r>
            <w:hyperlink r:id="rId130" w:history="1">
              <w:r w:rsidRPr="00367300">
                <w:rPr>
                  <w:rStyle w:val="a3"/>
                  <w:rFonts w:ascii="Times New Roman" w:hAnsi="Times New Roman" w:cs="Times New Roman"/>
                  <w:sz w:val="24"/>
                  <w:szCs w:val="24"/>
                  <w:lang w:val="en-US"/>
                </w:rPr>
                <w:t>http</w:t>
              </w:r>
              <w:r w:rsidRPr="00367300">
                <w:rPr>
                  <w:rStyle w:val="a3"/>
                  <w:rFonts w:ascii="Times New Roman" w:hAnsi="Times New Roman" w:cs="Times New Roman"/>
                  <w:sz w:val="24"/>
                  <w:szCs w:val="24"/>
                </w:rPr>
                <w:t>://</w:t>
              </w:r>
              <w:r w:rsidRPr="00367300">
                <w:rPr>
                  <w:rStyle w:val="a3"/>
                  <w:rFonts w:ascii="Times New Roman" w:hAnsi="Times New Roman" w:cs="Times New Roman"/>
                  <w:sz w:val="24"/>
                  <w:szCs w:val="24"/>
                  <w:lang w:val="en-US"/>
                </w:rPr>
                <w:t>ipk</w:t>
              </w:r>
              <w:r w:rsidRPr="00367300">
                <w:rPr>
                  <w:rStyle w:val="a3"/>
                  <w:rFonts w:ascii="Times New Roman" w:hAnsi="Times New Roman" w:cs="Times New Roman"/>
                  <w:sz w:val="24"/>
                  <w:szCs w:val="24"/>
                </w:rPr>
                <w:t>.</w:t>
              </w:r>
              <w:r w:rsidRPr="00891093">
                <w:rPr>
                  <w:rStyle w:val="a3"/>
                  <w:rFonts w:ascii="Times New Roman" w:hAnsi="Times New Roman" w:cs="Times New Roman"/>
                  <w:sz w:val="24"/>
                  <w:szCs w:val="24"/>
                  <w:lang w:val="en-US"/>
                </w:rPr>
                <w:t>stu</w:t>
              </w:r>
              <w:r w:rsidRPr="00891093">
                <w:rPr>
                  <w:rStyle w:val="a3"/>
                  <w:rFonts w:ascii="Times New Roman" w:hAnsi="Times New Roman" w:cs="Times New Roman"/>
                  <w:sz w:val="24"/>
                  <w:szCs w:val="24"/>
                </w:rPr>
                <w:t>.</w:t>
              </w:r>
              <w:r w:rsidRPr="00891093">
                <w:rPr>
                  <w:rStyle w:val="a3"/>
                  <w:rFonts w:ascii="Times New Roman" w:hAnsi="Times New Roman" w:cs="Times New Roman"/>
                  <w:sz w:val="24"/>
                  <w:szCs w:val="24"/>
                  <w:lang w:val="en-US"/>
                </w:rPr>
                <w:t>ru</w:t>
              </w:r>
              <w:r w:rsidRPr="00891093">
                <w:rPr>
                  <w:rStyle w:val="a3"/>
                  <w:rFonts w:ascii="Times New Roman" w:hAnsi="Times New Roman" w:cs="Times New Roman"/>
                  <w:sz w:val="24"/>
                  <w:szCs w:val="24"/>
                </w:rPr>
                <w:t>/</w:t>
              </w:r>
              <w:r w:rsidRPr="00891093">
                <w:rPr>
                  <w:rStyle w:val="a3"/>
                  <w:rFonts w:ascii="Times New Roman" w:hAnsi="Times New Roman" w:cs="Times New Roman"/>
                  <w:sz w:val="24"/>
                  <w:szCs w:val="24"/>
                  <w:lang w:val="en-US"/>
                </w:rPr>
                <w:t>news</w:t>
              </w:r>
              <w:r w:rsidRPr="008A0E4E">
                <w:rPr>
                  <w:rStyle w:val="a3"/>
                  <w:rFonts w:ascii="Times New Roman" w:hAnsi="Times New Roman" w:cs="Times New Roman"/>
                  <w:sz w:val="24"/>
                  <w:szCs w:val="24"/>
                </w:rPr>
                <w:t>.</w:t>
              </w:r>
              <w:r w:rsidRPr="005C70ED">
                <w:rPr>
                  <w:rStyle w:val="a3"/>
                  <w:rFonts w:ascii="Times New Roman" w:hAnsi="Times New Roman" w:cs="Times New Roman"/>
                  <w:sz w:val="24"/>
                  <w:szCs w:val="24"/>
                  <w:lang w:val="en-US"/>
                </w:rPr>
                <w:t>php</w:t>
              </w:r>
              <w:r w:rsidRPr="00FC74FE">
                <w:rPr>
                  <w:rStyle w:val="a3"/>
                  <w:rFonts w:ascii="Times New Roman" w:hAnsi="Times New Roman" w:cs="Times New Roman"/>
                  <w:sz w:val="24"/>
                  <w:szCs w:val="24"/>
                </w:rPr>
                <w:t>?</w:t>
              </w:r>
              <w:r w:rsidRPr="00FC74FE">
                <w:rPr>
                  <w:rStyle w:val="a3"/>
                  <w:rFonts w:ascii="Times New Roman" w:hAnsi="Times New Roman" w:cs="Times New Roman"/>
                  <w:sz w:val="24"/>
                  <w:szCs w:val="24"/>
                  <w:lang w:val="en-US"/>
                </w:rPr>
                <w:t>news</w:t>
              </w:r>
              <w:r w:rsidRPr="009B4FC0">
                <w:rPr>
                  <w:rStyle w:val="a3"/>
                  <w:rFonts w:ascii="Times New Roman" w:hAnsi="Times New Roman" w:cs="Times New Roman"/>
                  <w:sz w:val="24"/>
                  <w:szCs w:val="24"/>
                </w:rPr>
                <w:t>=71</w:t>
              </w:r>
            </w:hyperlink>
            <w:r w:rsidRPr="00367300">
              <w:rPr>
                <w:rFonts w:ascii="Times New Roman" w:hAnsi="Times New Roman" w:cs="Times New Roman"/>
                <w:sz w:val="24"/>
                <w:szCs w:val="24"/>
              </w:rPr>
              <w:t>.</w:t>
            </w:r>
          </w:p>
          <w:p w14:paraId="4FB858D7" w14:textId="77777777" w:rsidR="007F3886" w:rsidRPr="00E77388" w:rsidRDefault="007F3886" w:rsidP="009B4FC0">
            <w:pPr>
              <w:ind w:left="57" w:right="57" w:firstLine="340"/>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Обучающее мероприятие № 2.</w:t>
            </w:r>
          </w:p>
          <w:p w14:paraId="6E35043F" w14:textId="524617A0" w:rsidR="007F3886" w:rsidRPr="00367300" w:rsidRDefault="003F26A5">
            <w:pPr>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 21-23 мая 2019 г. </w:t>
            </w:r>
            <w:r w:rsidRPr="00367300">
              <w:rPr>
                <w:rFonts w:ascii="Times New Roman" w:hAnsi="Times New Roman" w:cs="Times New Roman"/>
                <w:sz w:val="24"/>
                <w:szCs w:val="24"/>
              </w:rPr>
              <w:tab/>
            </w:r>
          </w:p>
          <w:p w14:paraId="02F0E46B" w14:textId="77777777" w:rsidR="003F26A5" w:rsidRPr="00367300" w:rsidRDefault="003F26A5">
            <w:pPr>
              <w:ind w:left="57" w:right="57" w:firstLine="340"/>
              <w:jc w:val="both"/>
              <w:rPr>
                <w:rFonts w:ascii="Times New Roman" w:eastAsia="Times New Roman" w:hAnsi="Times New Roman" w:cs="Times New Roman"/>
                <w:sz w:val="24"/>
                <w:szCs w:val="24"/>
              </w:rPr>
            </w:pPr>
            <w:r w:rsidRPr="00367300">
              <w:rPr>
                <w:rFonts w:ascii="Times New Roman" w:hAnsi="Times New Roman" w:cs="Times New Roman"/>
                <w:sz w:val="24"/>
                <w:szCs w:val="24"/>
              </w:rPr>
              <w:t xml:space="preserve">Программа повышения квалификации муниципальных служащих по теме: «Основные аспекты проведения оценки регулирующего воздействия проектов нормативных правовых актов» </w:t>
            </w:r>
            <w:hyperlink r:id="rId131" w:history="1">
              <w:r w:rsidRPr="00367300">
                <w:rPr>
                  <w:rFonts w:ascii="Times New Roman" w:hAnsi="Times New Roman" w:cs="Times New Roman"/>
                  <w:sz w:val="24"/>
                  <w:szCs w:val="24"/>
                </w:rPr>
                <w:t>http://econom.nso.ru/news/2639</w:t>
              </w:r>
            </w:hyperlink>
          </w:p>
          <w:p w14:paraId="6E779657" w14:textId="77777777" w:rsidR="007F3886" w:rsidRPr="00367300" w:rsidRDefault="007F3886">
            <w:pPr>
              <w:ind w:left="57" w:right="57" w:firstLine="340"/>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Обучающее мероприятие № </w:t>
            </w:r>
            <w:r w:rsidR="00532901" w:rsidRPr="00367300">
              <w:rPr>
                <w:rFonts w:ascii="Times New Roman" w:eastAsia="Times New Roman" w:hAnsi="Times New Roman" w:cs="Times New Roman"/>
                <w:sz w:val="24"/>
                <w:szCs w:val="24"/>
              </w:rPr>
              <w:t>3</w:t>
            </w:r>
            <w:r w:rsidRPr="00367300">
              <w:rPr>
                <w:rFonts w:ascii="Times New Roman" w:eastAsia="Times New Roman" w:hAnsi="Times New Roman" w:cs="Times New Roman"/>
                <w:sz w:val="24"/>
                <w:szCs w:val="24"/>
              </w:rPr>
              <w:t>.</w:t>
            </w:r>
          </w:p>
          <w:p w14:paraId="7CCF6DA8" w14:textId="660523CC" w:rsidR="007F3886" w:rsidRPr="00891093" w:rsidRDefault="003F26A5">
            <w:pPr>
              <w:ind w:left="57" w:right="57" w:firstLine="340"/>
              <w:jc w:val="both"/>
              <w:rPr>
                <w:rFonts w:ascii="Times New Roman" w:eastAsia="Times New Roman" w:hAnsi="Times New Roman" w:cs="Times New Roman"/>
                <w:sz w:val="24"/>
                <w:szCs w:val="24"/>
              </w:rPr>
            </w:pPr>
            <w:r w:rsidRPr="00891093">
              <w:rPr>
                <w:rFonts w:ascii="Times New Roman" w:eastAsia="Times New Roman" w:hAnsi="Times New Roman" w:cs="Times New Roman"/>
                <w:sz w:val="24"/>
                <w:szCs w:val="24"/>
              </w:rPr>
              <w:lastRenderedPageBreak/>
              <w:t xml:space="preserve">6 июня 2019 г. </w:t>
            </w:r>
            <w:r w:rsidRPr="00891093">
              <w:rPr>
                <w:rFonts w:ascii="Times New Roman" w:eastAsia="Times New Roman" w:hAnsi="Times New Roman" w:cs="Times New Roman"/>
                <w:sz w:val="24"/>
                <w:szCs w:val="24"/>
              </w:rPr>
              <w:tab/>
            </w:r>
          </w:p>
          <w:p w14:paraId="3CAEC616" w14:textId="77777777" w:rsidR="003F26A5" w:rsidRPr="005C70ED" w:rsidRDefault="003F26A5">
            <w:pPr>
              <w:ind w:left="57" w:right="57" w:firstLine="340"/>
              <w:jc w:val="both"/>
              <w:rPr>
                <w:rFonts w:ascii="Times New Roman" w:eastAsia="Times New Roman" w:hAnsi="Times New Roman" w:cs="Times New Roman"/>
                <w:sz w:val="24"/>
                <w:szCs w:val="24"/>
              </w:rPr>
            </w:pPr>
            <w:r w:rsidRPr="00891093">
              <w:rPr>
                <w:rFonts w:ascii="Times New Roman" w:hAnsi="Times New Roman" w:cs="Times New Roman"/>
                <w:sz w:val="24"/>
                <w:szCs w:val="24"/>
              </w:rPr>
              <w:t>Семинар-совещание с представителями муниципальных районов и городских округов Новосибирской области</w:t>
            </w:r>
            <w:r w:rsidRPr="00891093">
              <w:rPr>
                <w:rFonts w:ascii="Times New Roman" w:hAnsi="Times New Roman" w:cs="Times New Roman"/>
                <w:iCs/>
                <w:sz w:val="24"/>
                <w:szCs w:val="24"/>
              </w:rPr>
              <w:t xml:space="preserve"> «Изменение градостроительного законодательства. Практика применения» с представителями администраций муниципальных районов и городских округов Новосибирской</w:t>
            </w:r>
            <w:r w:rsidRPr="008A0E4E">
              <w:rPr>
                <w:rFonts w:ascii="Times New Roman" w:hAnsi="Times New Roman" w:cs="Times New Roman"/>
                <w:iCs/>
                <w:sz w:val="24"/>
                <w:szCs w:val="24"/>
              </w:rPr>
              <w:t xml:space="preserve"> области»</w:t>
            </w:r>
          </w:p>
          <w:p w14:paraId="17F1FDCE" w14:textId="6E3B3EAB" w:rsidR="00532901" w:rsidRPr="009B4FC0" w:rsidRDefault="00532901">
            <w:pPr>
              <w:ind w:left="57" w:right="57" w:firstLine="340"/>
              <w:jc w:val="both"/>
              <w:rPr>
                <w:rFonts w:ascii="Times New Roman" w:eastAsia="Times New Roman" w:hAnsi="Times New Roman" w:cs="Times New Roman"/>
                <w:sz w:val="24"/>
                <w:szCs w:val="24"/>
              </w:rPr>
            </w:pPr>
            <w:r w:rsidRPr="009B4FC0">
              <w:rPr>
                <w:rFonts w:ascii="Times New Roman" w:eastAsia="Times New Roman" w:hAnsi="Times New Roman" w:cs="Times New Roman"/>
                <w:sz w:val="24"/>
                <w:szCs w:val="24"/>
              </w:rPr>
              <w:t>Обучающее мероприятие № 4.</w:t>
            </w:r>
          </w:p>
          <w:p w14:paraId="39A28A13" w14:textId="77777777" w:rsidR="007F3886" w:rsidRPr="00367300" w:rsidRDefault="003F26A5">
            <w:pPr>
              <w:ind w:left="57" w:right="57" w:firstLine="340"/>
              <w:jc w:val="both"/>
              <w:rPr>
                <w:rFonts w:ascii="Times New Roman" w:hAnsi="Times New Roman" w:cs="Times New Roman"/>
                <w:sz w:val="24"/>
                <w:szCs w:val="24"/>
              </w:rPr>
            </w:pPr>
            <w:r w:rsidRPr="00367300">
              <w:rPr>
                <w:rFonts w:ascii="Times New Roman" w:eastAsia="Times New Roman" w:hAnsi="Times New Roman" w:cs="Times New Roman"/>
                <w:sz w:val="24"/>
                <w:szCs w:val="24"/>
              </w:rPr>
              <w:t>19 июня 2019 г.</w:t>
            </w:r>
            <w:r w:rsidRPr="00367300">
              <w:rPr>
                <w:rFonts w:ascii="Times New Roman" w:hAnsi="Times New Roman" w:cs="Times New Roman"/>
                <w:sz w:val="24"/>
                <w:szCs w:val="24"/>
              </w:rPr>
              <w:t xml:space="preserve"> </w:t>
            </w:r>
          </w:p>
          <w:p w14:paraId="2B97C442" w14:textId="77777777" w:rsidR="003F26A5" w:rsidRPr="00367300" w:rsidRDefault="003F26A5">
            <w:pPr>
              <w:ind w:left="57" w:right="57" w:firstLine="340"/>
              <w:jc w:val="both"/>
              <w:rPr>
                <w:rFonts w:ascii="Times New Roman" w:eastAsia="Times New Roman" w:hAnsi="Times New Roman" w:cs="Times New Roman"/>
                <w:sz w:val="24"/>
                <w:szCs w:val="24"/>
              </w:rPr>
            </w:pPr>
            <w:r w:rsidRPr="00367300">
              <w:rPr>
                <w:rFonts w:ascii="Times New Roman" w:hAnsi="Times New Roman" w:cs="Times New Roman"/>
                <w:sz w:val="24"/>
                <w:szCs w:val="24"/>
              </w:rPr>
              <w:t>Семинар-совещание с представителями муниципальных районов и городских округов Новосибирской области по вопросу внедрения стандарта развития конкуренции в субъектах Российской Федерации. </w:t>
            </w:r>
            <w:hyperlink r:id="rId132" w:history="1">
              <w:r w:rsidRPr="00367300">
                <w:rPr>
                  <w:rStyle w:val="a3"/>
                  <w:rFonts w:ascii="Times New Roman" w:eastAsiaTheme="majorEastAsia" w:hAnsi="Times New Roman" w:cs="Times New Roman"/>
                  <w:sz w:val="24"/>
                  <w:szCs w:val="24"/>
                  <w:lang w:val="en-US"/>
                </w:rPr>
                <w:t>h</w:t>
              </w:r>
              <w:r w:rsidRPr="00367300">
                <w:rPr>
                  <w:rStyle w:val="a3"/>
                  <w:rFonts w:ascii="Times New Roman" w:eastAsiaTheme="majorEastAsia" w:hAnsi="Times New Roman" w:cs="Times New Roman"/>
                  <w:sz w:val="24"/>
                  <w:szCs w:val="24"/>
                </w:rPr>
                <w:t>ttp://econom.nso.ru/news/2681</w:t>
              </w:r>
            </w:hyperlink>
            <w:r w:rsidRPr="00367300">
              <w:rPr>
                <w:rStyle w:val="a3"/>
                <w:rFonts w:ascii="Times New Roman" w:eastAsiaTheme="majorEastAsia" w:hAnsi="Times New Roman" w:cs="Times New Roman"/>
                <w:sz w:val="24"/>
                <w:szCs w:val="24"/>
              </w:rPr>
              <w:t>.</w:t>
            </w:r>
            <w:r w:rsidRPr="00367300">
              <w:rPr>
                <w:rFonts w:ascii="Times New Roman" w:hAnsi="Times New Roman" w:cs="Times New Roman"/>
                <w:sz w:val="24"/>
                <w:szCs w:val="24"/>
              </w:rPr>
              <w:t xml:space="preserve"> </w:t>
            </w:r>
          </w:p>
          <w:p w14:paraId="7850EB25" w14:textId="77777777" w:rsidR="00532901" w:rsidRPr="00891093" w:rsidRDefault="00532901">
            <w:pPr>
              <w:ind w:left="57" w:right="57" w:firstLine="340"/>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 xml:space="preserve">Обучающее мероприятие </w:t>
            </w:r>
            <w:r w:rsidRPr="00891093">
              <w:rPr>
                <w:rFonts w:ascii="Times New Roman" w:eastAsia="Times New Roman" w:hAnsi="Times New Roman" w:cs="Times New Roman"/>
                <w:sz w:val="24"/>
                <w:szCs w:val="24"/>
              </w:rPr>
              <w:t>№ 5.</w:t>
            </w:r>
          </w:p>
          <w:p w14:paraId="5359DC1B" w14:textId="71E02619" w:rsidR="00532901" w:rsidRPr="00891093" w:rsidRDefault="003F26A5">
            <w:pPr>
              <w:ind w:left="57" w:right="57" w:firstLine="340"/>
              <w:jc w:val="both"/>
              <w:rPr>
                <w:rFonts w:ascii="Times New Roman" w:eastAsia="Times New Roman" w:hAnsi="Times New Roman" w:cs="Times New Roman"/>
                <w:sz w:val="24"/>
                <w:szCs w:val="24"/>
              </w:rPr>
            </w:pPr>
            <w:r w:rsidRPr="00891093">
              <w:rPr>
                <w:rFonts w:ascii="Times New Roman" w:eastAsia="Times New Roman" w:hAnsi="Times New Roman" w:cs="Times New Roman"/>
                <w:sz w:val="24"/>
                <w:szCs w:val="24"/>
              </w:rPr>
              <w:t xml:space="preserve">21 августа 2019 г. </w:t>
            </w:r>
          </w:p>
          <w:p w14:paraId="395DE6C7" w14:textId="77777777" w:rsidR="003F26A5" w:rsidRPr="00367300" w:rsidRDefault="003F26A5">
            <w:pPr>
              <w:ind w:left="57" w:right="57" w:firstLine="340"/>
              <w:jc w:val="both"/>
              <w:rPr>
                <w:rFonts w:ascii="Times New Roman" w:eastAsia="Times New Roman" w:hAnsi="Times New Roman" w:cs="Times New Roman"/>
                <w:sz w:val="24"/>
                <w:szCs w:val="24"/>
              </w:rPr>
            </w:pPr>
            <w:r w:rsidRPr="008A0E4E">
              <w:rPr>
                <w:rFonts w:ascii="Times New Roman" w:hAnsi="Times New Roman" w:cs="Times New Roman"/>
                <w:sz w:val="24"/>
                <w:szCs w:val="24"/>
              </w:rPr>
              <w:t>Семинар-совещание с представителями муниципальных районов и городских округов Новосибирской области</w:t>
            </w:r>
            <w:r w:rsidRPr="00FC74FE">
              <w:rPr>
                <w:rFonts w:ascii="Times New Roman" w:eastAsia="Times New Roman" w:hAnsi="Times New Roman" w:cs="Times New Roman"/>
                <w:sz w:val="24"/>
                <w:szCs w:val="24"/>
              </w:rPr>
              <w:t xml:space="preserve"> </w:t>
            </w:r>
            <w:r w:rsidRPr="009B4FC0">
              <w:rPr>
                <w:rFonts w:ascii="Times New Roman" w:hAnsi="Times New Roman" w:cs="Times New Roman"/>
                <w:sz w:val="24"/>
                <w:szCs w:val="24"/>
              </w:rPr>
              <w:t>«Осуществление полномочий в области кон</w:t>
            </w:r>
            <w:r w:rsidRPr="00367300">
              <w:rPr>
                <w:rFonts w:ascii="Times New Roman" w:hAnsi="Times New Roman" w:cs="Times New Roman"/>
                <w:sz w:val="24"/>
                <w:szCs w:val="24"/>
              </w:rPr>
              <w:t>троля за соблюдением органами местного самоуправления законодательства о градостроительной деятельности, организации и проведении государственной экспертизы проектной документации и результатов инженерных изысканий».</w:t>
            </w:r>
          </w:p>
          <w:p w14:paraId="626B3A81" w14:textId="77777777" w:rsidR="00532901" w:rsidRPr="00367300" w:rsidRDefault="00532901">
            <w:pPr>
              <w:ind w:left="57" w:right="57" w:firstLine="340"/>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Обучающее мероприятие № 6.</w:t>
            </w:r>
          </w:p>
          <w:p w14:paraId="46B05B60" w14:textId="3F227036" w:rsidR="00532901" w:rsidRPr="00367300" w:rsidRDefault="003F26A5">
            <w:pPr>
              <w:pStyle w:val="af0"/>
              <w:shd w:val="clear" w:color="auto" w:fill="FFFFFF"/>
              <w:tabs>
                <w:tab w:val="left" w:pos="696"/>
              </w:tabs>
              <w:spacing w:before="0" w:beforeAutospacing="0" w:after="0" w:afterAutospacing="0"/>
              <w:ind w:left="57" w:right="57" w:firstLine="340"/>
              <w:jc w:val="both"/>
              <w:rPr>
                <w:rFonts w:eastAsia="Calibri"/>
              </w:rPr>
            </w:pPr>
            <w:r w:rsidRPr="00367300">
              <w:rPr>
                <w:rFonts w:eastAsia="Calibri"/>
              </w:rPr>
              <w:t xml:space="preserve">9 – 26 сентября 2019 г. </w:t>
            </w:r>
          </w:p>
          <w:p w14:paraId="76AE5D05" w14:textId="77777777" w:rsidR="003F26A5" w:rsidRPr="00367300" w:rsidRDefault="003F26A5">
            <w:pPr>
              <w:pStyle w:val="af0"/>
              <w:shd w:val="clear" w:color="auto" w:fill="FFFFFF"/>
              <w:tabs>
                <w:tab w:val="left" w:pos="696"/>
              </w:tabs>
              <w:spacing w:before="0" w:beforeAutospacing="0" w:after="0" w:afterAutospacing="0"/>
              <w:ind w:left="57" w:right="57" w:firstLine="340"/>
              <w:jc w:val="both"/>
              <w:rPr>
                <w:rFonts w:eastAsia="Calibri"/>
              </w:rPr>
            </w:pPr>
            <w:r w:rsidRPr="00367300">
              <w:rPr>
                <w:rFonts w:eastAsia="Calibri"/>
                <w:iCs/>
              </w:rPr>
              <w:t>Программа повышения квалификации муниципальных служащих по теме: «Контрактная система в сфере закупок товаров, работ, услуг для обеспечения государственных и муниципальных нужд»</w:t>
            </w:r>
            <w:r w:rsidRPr="00367300">
              <w:rPr>
                <w:rFonts w:eastAsia="Calibri"/>
              </w:rPr>
              <w:t xml:space="preserve"> </w:t>
            </w:r>
            <w:hyperlink r:id="rId133" w:history="1">
              <w:r w:rsidRPr="00367300">
                <w:rPr>
                  <w:rStyle w:val="a3"/>
                  <w:rFonts w:eastAsia="Calibri"/>
                  <w:iCs/>
                </w:rPr>
                <w:t>http://dou.nso.ru/news/773</w:t>
              </w:r>
            </w:hyperlink>
            <w:r w:rsidRPr="00367300">
              <w:rPr>
                <w:rStyle w:val="a3"/>
                <w:rFonts w:eastAsia="Calibri"/>
                <w:iCs/>
              </w:rPr>
              <w:t>.</w:t>
            </w:r>
          </w:p>
          <w:p w14:paraId="3A9409B1" w14:textId="4CEB3101" w:rsidR="004C4B1D" w:rsidRPr="00891093" w:rsidRDefault="004C4B1D">
            <w:pPr>
              <w:ind w:left="57" w:right="57" w:firstLine="340"/>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Обучающее мероприятие № 7.</w:t>
            </w:r>
          </w:p>
          <w:p w14:paraId="75C3D704" w14:textId="2737AD72" w:rsidR="004C4B1D" w:rsidRPr="00891093" w:rsidRDefault="003F26A5">
            <w:pPr>
              <w:pStyle w:val="af0"/>
              <w:shd w:val="clear" w:color="auto" w:fill="FFFFFF"/>
              <w:tabs>
                <w:tab w:val="left" w:pos="696"/>
              </w:tabs>
              <w:spacing w:before="0" w:beforeAutospacing="0" w:after="0" w:afterAutospacing="0"/>
              <w:ind w:left="57" w:right="57" w:firstLine="340"/>
              <w:jc w:val="both"/>
              <w:rPr>
                <w:rFonts w:eastAsia="Calibri"/>
              </w:rPr>
            </w:pPr>
            <w:r w:rsidRPr="00891093">
              <w:rPr>
                <w:rFonts w:eastAsia="Calibri"/>
              </w:rPr>
              <w:t xml:space="preserve">25 – 29 ноября 2019 г. </w:t>
            </w:r>
          </w:p>
          <w:p w14:paraId="1A337F48" w14:textId="751CA49E" w:rsidR="003F26A5" w:rsidRPr="00367300" w:rsidRDefault="003F26A5">
            <w:pPr>
              <w:pStyle w:val="af0"/>
              <w:shd w:val="clear" w:color="auto" w:fill="FFFFFF"/>
              <w:tabs>
                <w:tab w:val="left" w:pos="696"/>
              </w:tabs>
              <w:spacing w:before="0" w:beforeAutospacing="0" w:after="0" w:afterAutospacing="0"/>
              <w:ind w:left="57" w:right="57" w:firstLine="340"/>
              <w:jc w:val="both"/>
              <w:rPr>
                <w:rFonts w:eastAsia="Calibri"/>
              </w:rPr>
            </w:pPr>
            <w:r w:rsidRPr="00891093">
              <w:rPr>
                <w:rFonts w:eastAsia="Calibri"/>
                <w:iCs/>
              </w:rPr>
              <w:lastRenderedPageBreak/>
              <w:t>Программа повышения квалификации муниципальных служащих по теме: «Внедрение антимонопольного комплаенса органами местного самоуправления. Внедрение стандарта развития конкуренции в Российской Ф</w:t>
            </w:r>
            <w:r w:rsidRPr="008A0E4E">
              <w:rPr>
                <w:rFonts w:eastAsia="Calibri"/>
                <w:iCs/>
              </w:rPr>
              <w:t xml:space="preserve">едерации» </w:t>
            </w:r>
            <w:hyperlink r:id="rId134" w:history="1">
              <w:r w:rsidRPr="00367300">
                <w:rPr>
                  <w:color w:val="0000FF"/>
                  <w:u w:val="single"/>
                </w:rPr>
                <w:t>http://econom.nso.ru/news/2896</w:t>
              </w:r>
            </w:hyperlink>
            <w:r w:rsidRPr="00367300">
              <w:rPr>
                <w:color w:val="0000FF"/>
                <w:u w:val="single"/>
              </w:rPr>
              <w:t>.</w:t>
            </w:r>
          </w:p>
          <w:p w14:paraId="66E43E74" w14:textId="7FD6413F" w:rsidR="004C4B1D" w:rsidRPr="00891093" w:rsidRDefault="004C4B1D">
            <w:pPr>
              <w:ind w:left="57" w:right="57" w:firstLine="340"/>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Обучающее мероприятие № 8.</w:t>
            </w:r>
          </w:p>
          <w:p w14:paraId="599214FB" w14:textId="1E05C27C" w:rsidR="004C4B1D" w:rsidRPr="00891093" w:rsidRDefault="003F26A5">
            <w:pPr>
              <w:pStyle w:val="af0"/>
              <w:shd w:val="clear" w:color="auto" w:fill="FFFFFF"/>
              <w:tabs>
                <w:tab w:val="left" w:pos="696"/>
              </w:tabs>
              <w:spacing w:before="0" w:beforeAutospacing="0" w:after="0" w:afterAutospacing="0"/>
              <w:ind w:left="57" w:right="57" w:firstLine="340"/>
              <w:jc w:val="both"/>
              <w:rPr>
                <w:rFonts w:eastAsia="Calibri"/>
              </w:rPr>
            </w:pPr>
            <w:r w:rsidRPr="00891093">
              <w:rPr>
                <w:rFonts w:eastAsia="Calibri"/>
              </w:rPr>
              <w:t>10 декабря 2019 г.</w:t>
            </w:r>
            <w:r w:rsidRPr="00891093">
              <w:rPr>
                <w:rFonts w:eastAsia="Calibri"/>
              </w:rPr>
              <w:tab/>
            </w:r>
          </w:p>
          <w:p w14:paraId="44A6A760" w14:textId="543BCE34" w:rsidR="003F26A5" w:rsidRPr="005C70ED" w:rsidRDefault="003F26A5">
            <w:pPr>
              <w:pStyle w:val="af0"/>
              <w:shd w:val="clear" w:color="auto" w:fill="FFFFFF"/>
              <w:tabs>
                <w:tab w:val="left" w:pos="696"/>
              </w:tabs>
              <w:spacing w:before="0" w:beforeAutospacing="0" w:after="0" w:afterAutospacing="0"/>
              <w:ind w:left="57" w:right="57" w:firstLine="340"/>
              <w:jc w:val="both"/>
              <w:rPr>
                <w:rFonts w:eastAsia="Calibri"/>
              </w:rPr>
            </w:pPr>
            <w:r w:rsidRPr="00891093">
              <w:t>Семинар-совещание с представителями муниципальных районов и городских округов Новосибирской области</w:t>
            </w:r>
            <w:r w:rsidRPr="008A0E4E">
              <w:rPr>
                <w:rFonts w:eastAsia="Calibri"/>
              </w:rPr>
              <w:t xml:space="preserve"> «Предоставление о</w:t>
            </w:r>
            <w:r w:rsidRPr="005C70ED">
              <w:rPr>
                <w:rFonts w:eastAsia="Calibri"/>
              </w:rPr>
              <w:t>рганами местного самоуправления муниципальных услуг в сфере строительства».</w:t>
            </w:r>
          </w:p>
          <w:p w14:paraId="156285BF" w14:textId="5FB6C6A0" w:rsidR="004C4B1D" w:rsidRPr="00FC74FE" w:rsidRDefault="004C4B1D">
            <w:pPr>
              <w:ind w:left="57" w:right="57" w:firstLine="340"/>
              <w:jc w:val="both"/>
              <w:rPr>
                <w:rFonts w:ascii="Times New Roman" w:eastAsia="Times New Roman" w:hAnsi="Times New Roman" w:cs="Times New Roman"/>
                <w:sz w:val="24"/>
                <w:szCs w:val="24"/>
              </w:rPr>
            </w:pPr>
            <w:r w:rsidRPr="00FC74FE">
              <w:rPr>
                <w:rFonts w:ascii="Times New Roman" w:eastAsia="Times New Roman" w:hAnsi="Times New Roman" w:cs="Times New Roman"/>
                <w:sz w:val="24"/>
                <w:szCs w:val="24"/>
              </w:rPr>
              <w:t>Обучающее мероприятие № 9.</w:t>
            </w:r>
          </w:p>
          <w:p w14:paraId="01EEC710" w14:textId="5E02E13E" w:rsidR="004C4B1D" w:rsidRPr="00367300" w:rsidRDefault="003F26A5">
            <w:pPr>
              <w:pStyle w:val="af0"/>
              <w:shd w:val="clear" w:color="auto" w:fill="FFFFFF"/>
              <w:tabs>
                <w:tab w:val="left" w:pos="696"/>
              </w:tabs>
              <w:spacing w:before="0" w:beforeAutospacing="0" w:after="0" w:afterAutospacing="0"/>
              <w:ind w:left="57" w:right="57" w:firstLine="340"/>
              <w:jc w:val="both"/>
              <w:rPr>
                <w:rFonts w:eastAsia="Calibri"/>
              </w:rPr>
            </w:pPr>
            <w:r w:rsidRPr="00367300">
              <w:rPr>
                <w:rFonts w:eastAsia="Calibri"/>
              </w:rPr>
              <w:t xml:space="preserve">12 декабря 2019 г. </w:t>
            </w:r>
          </w:p>
          <w:p w14:paraId="486FECE2" w14:textId="4057699C" w:rsidR="003F26A5" w:rsidRPr="00367300" w:rsidRDefault="003F26A5">
            <w:pPr>
              <w:pStyle w:val="af0"/>
              <w:shd w:val="clear" w:color="auto" w:fill="FFFFFF"/>
              <w:tabs>
                <w:tab w:val="left" w:pos="696"/>
              </w:tabs>
              <w:spacing w:before="0" w:beforeAutospacing="0" w:after="0" w:afterAutospacing="0"/>
              <w:ind w:left="57" w:right="57" w:firstLine="340"/>
              <w:jc w:val="both"/>
              <w:rPr>
                <w:rFonts w:eastAsia="Calibri"/>
              </w:rPr>
            </w:pPr>
            <w:r w:rsidRPr="00367300">
              <w:t>Семинар-совещание с представителями муниципальных районов и городских округов Новосибирской области «Снос объектов капитального строительства».</w:t>
            </w:r>
          </w:p>
        </w:tc>
      </w:tr>
      <w:tr w:rsidR="003F26A5" w:rsidRPr="00367300" w14:paraId="7CDB79A4" w14:textId="77777777" w:rsidTr="003F26A5">
        <w:trPr>
          <w:gridAfter w:val="1"/>
          <w:wAfter w:w="3" w:type="pct"/>
          <w:trHeight w:val="283"/>
        </w:trPr>
        <w:tc>
          <w:tcPr>
            <w:tcW w:w="335" w:type="pct"/>
          </w:tcPr>
          <w:p w14:paraId="01472104"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24.3</w:t>
            </w:r>
          </w:p>
        </w:tc>
        <w:tc>
          <w:tcPr>
            <w:tcW w:w="1108" w:type="pct"/>
          </w:tcPr>
          <w:p w14:paraId="20CA582B"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bCs/>
                <w:sz w:val="24"/>
                <w:szCs w:val="24"/>
              </w:rPr>
              <w:t>Информирование ОИОГВ НСО, ОМСУ НСО о проведении обучающих мероприятий, проводимых Министерством экономического развития Российской Федерации, ФАС России и другими федеральными органами власти</w:t>
            </w:r>
          </w:p>
        </w:tc>
        <w:tc>
          <w:tcPr>
            <w:tcW w:w="723" w:type="pct"/>
          </w:tcPr>
          <w:p w14:paraId="0DA52891"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 xml:space="preserve">Информированность ОИОГВ НСО и ОМСУ НСО </w:t>
            </w:r>
          </w:p>
          <w:p w14:paraId="1411F179" w14:textId="77777777" w:rsidR="003F26A5" w:rsidRPr="00891093" w:rsidRDefault="003F26A5" w:rsidP="00367300">
            <w:pPr>
              <w:contextualSpacing/>
              <w:rPr>
                <w:rFonts w:ascii="Times New Roman" w:hAnsi="Times New Roman" w:cs="Times New Roman"/>
                <w:bCs/>
                <w:sz w:val="24"/>
                <w:szCs w:val="24"/>
              </w:rPr>
            </w:pPr>
            <w:r w:rsidRPr="00891093">
              <w:rPr>
                <w:rFonts w:ascii="Times New Roman" w:hAnsi="Times New Roman" w:cs="Times New Roman"/>
                <w:bCs/>
                <w:sz w:val="24"/>
                <w:szCs w:val="24"/>
              </w:rPr>
              <w:t xml:space="preserve">о возможности обновления теоретических и практических знаний </w:t>
            </w:r>
          </w:p>
        </w:tc>
        <w:tc>
          <w:tcPr>
            <w:tcW w:w="337" w:type="pct"/>
          </w:tcPr>
          <w:p w14:paraId="0F695FED"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tcPr>
          <w:p w14:paraId="5891C254"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Минэкономразвития НСО</w:t>
            </w:r>
          </w:p>
        </w:tc>
        <w:tc>
          <w:tcPr>
            <w:tcW w:w="2031" w:type="pct"/>
          </w:tcPr>
          <w:p w14:paraId="6AD8EDB0" w14:textId="77777777" w:rsidR="003F26A5" w:rsidRPr="00891093" w:rsidRDefault="003F26A5" w:rsidP="00891093">
            <w:pPr>
              <w:pStyle w:val="ae"/>
              <w:ind w:left="57" w:right="57" w:firstLine="340"/>
              <w:jc w:val="both"/>
              <w:rPr>
                <w:rFonts w:ascii="Times New Roman" w:hAnsi="Times New Roman" w:cs="Times New Roman"/>
                <w:bCs/>
                <w:sz w:val="24"/>
                <w:szCs w:val="24"/>
              </w:rPr>
            </w:pPr>
            <w:r w:rsidRPr="00891093">
              <w:rPr>
                <w:rFonts w:ascii="Times New Roman" w:hAnsi="Times New Roman" w:cs="Times New Roman"/>
                <w:bCs/>
                <w:sz w:val="24"/>
                <w:szCs w:val="24"/>
              </w:rPr>
              <w:t xml:space="preserve">1. В соответствии с письмом Минэкономразвития России от 12.03.2019 № 353/8 о проведении питч-сессии с ОАО «РЖД» 15.03.2019 на официальном сайте Минэкономразвития НСО и Инвестиционном портале НСО об указанном мероприятии был размещен пресс-релиз. </w:t>
            </w:r>
          </w:p>
          <w:p w14:paraId="1F2360F1" w14:textId="77777777" w:rsidR="003F26A5" w:rsidRPr="00FC74FE" w:rsidRDefault="003F26A5" w:rsidP="00891093">
            <w:pPr>
              <w:ind w:left="57" w:right="57" w:firstLine="340"/>
              <w:jc w:val="both"/>
              <w:rPr>
                <w:rFonts w:ascii="Times New Roman" w:hAnsi="Times New Roman" w:cs="Times New Roman"/>
                <w:bCs/>
                <w:sz w:val="24"/>
                <w:szCs w:val="24"/>
              </w:rPr>
            </w:pPr>
            <w:r w:rsidRPr="00891093">
              <w:rPr>
                <w:rFonts w:ascii="Times New Roman" w:hAnsi="Times New Roman" w:cs="Times New Roman"/>
                <w:bCs/>
                <w:sz w:val="24"/>
                <w:szCs w:val="24"/>
              </w:rPr>
              <w:t>В рамках приоритетных проектов Минэкономразвития России «Поддержка частных высокотехнологических компаний–лидеров» и «Развитие инновационных кластеров – лидеров инвестици</w:t>
            </w:r>
            <w:r w:rsidRPr="008A0E4E">
              <w:rPr>
                <w:rFonts w:ascii="Times New Roman" w:hAnsi="Times New Roman" w:cs="Times New Roman"/>
                <w:bCs/>
                <w:sz w:val="24"/>
                <w:szCs w:val="24"/>
              </w:rPr>
              <w:t xml:space="preserve">онной привлекательности мирового уровня» - ОАО «РЖД» совместно с Департаментом стратегического развития и инноваций Минэкономразвития России было предложило </w:t>
            </w:r>
            <w:r w:rsidRPr="008A0E4E">
              <w:rPr>
                <w:rFonts w:ascii="Times New Roman" w:hAnsi="Times New Roman" w:cs="Times New Roman"/>
                <w:bCs/>
                <w:sz w:val="24"/>
                <w:szCs w:val="24"/>
              </w:rPr>
              <w:lastRenderedPageBreak/>
              <w:t>участникам указанных проектов презентовать свои инновационные разработки для решения приоритетных з</w:t>
            </w:r>
            <w:r w:rsidRPr="00FC74FE">
              <w:rPr>
                <w:rFonts w:ascii="Times New Roman" w:hAnsi="Times New Roman" w:cs="Times New Roman"/>
                <w:bCs/>
                <w:sz w:val="24"/>
                <w:szCs w:val="24"/>
              </w:rPr>
              <w:t>адач корпорации. Мероприятие прошло в формате питч-сессии.</w:t>
            </w:r>
          </w:p>
          <w:p w14:paraId="2B4AB586" w14:textId="77777777" w:rsidR="003F26A5" w:rsidRPr="00367300" w:rsidRDefault="003F26A5" w:rsidP="008A0E4E">
            <w:pPr>
              <w:pStyle w:val="ae"/>
              <w:ind w:left="57" w:right="57" w:firstLine="340"/>
              <w:jc w:val="both"/>
              <w:rPr>
                <w:rFonts w:ascii="Times New Roman" w:hAnsi="Times New Roman" w:cs="Times New Roman"/>
                <w:bCs/>
                <w:sz w:val="24"/>
                <w:szCs w:val="24"/>
              </w:rPr>
            </w:pPr>
            <w:r w:rsidRPr="009B4FC0">
              <w:rPr>
                <w:rFonts w:ascii="Times New Roman" w:hAnsi="Times New Roman" w:cs="Times New Roman"/>
                <w:bCs/>
                <w:sz w:val="24"/>
                <w:szCs w:val="24"/>
              </w:rPr>
              <w:t>2. В соответствии с письмом Минэкономразвития России от 14.03.2019 № 379/8 о визите китайской делегации, возглавляемой Генеральным директором Административного комитета Технопарка Чжунгуаньцунь гос</w:t>
            </w:r>
            <w:r w:rsidRPr="00367300">
              <w:rPr>
                <w:rFonts w:ascii="Times New Roman" w:hAnsi="Times New Roman" w:cs="Times New Roman"/>
                <w:bCs/>
                <w:sz w:val="24"/>
                <w:szCs w:val="24"/>
              </w:rPr>
              <w:t xml:space="preserve">подином Чжэ Лисинь, Минэкономразвития НСО к участию в работе круглого стола, организуемого Минэкономразвития России, были приглашены представители технопарков региона, с участием представителей Технопарка Чжунгуаньцунь (КНР) и российских институтов развития, высокотехнологичных компаний, технопарков, ассоциаций, компаний малого и среднего бизнеса. </w:t>
            </w:r>
          </w:p>
          <w:p w14:paraId="6C22A374" w14:textId="77777777" w:rsidR="003F26A5" w:rsidRPr="00367300" w:rsidRDefault="003F26A5" w:rsidP="00FC74FE">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 xml:space="preserve">3. В соответствии с письмом Минэкономразвития России от 07.06.2019 № 1055/8 о мероприятиях по развитию сотрудничества между Минэкономразвития России и Министерством науки и информационно-коммуникационных технологий Республики Кореи в области инноваций, науки и технологий Минэкономразвития НСО совместно с Центром кластерного развития НСО были проинформированы компании-участники Научного производственного кластера «Сибирский наукополис» биотехнологического направления. Заинтересованность в сотрудничестве c корейской организацией по биотехнологиям Korea Biotechnology Industry Organization высказала компания ООО «МедИн», занимающаяся разработкой медицинских клеевых композиций и медицинского оборудования. </w:t>
            </w:r>
          </w:p>
          <w:p w14:paraId="07E587D0" w14:textId="77777777" w:rsidR="003F26A5" w:rsidRPr="00367300" w:rsidRDefault="003F26A5" w:rsidP="00FC74FE">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lastRenderedPageBreak/>
              <w:t>4. В соответствии с письмом Минэкономразвития России от 09.06.2019 № 1039/8 компании-участники Научного производственного кластера «Сибирский наукополис» были проинформированы о рабочей встрече по вопросу развития кооперации в сфере инновационного и технологического развития на уровне глав правительства России и Франции.</w:t>
            </w:r>
          </w:p>
          <w:p w14:paraId="0B97F4FB" w14:textId="77777777" w:rsidR="003F26A5" w:rsidRPr="00367300" w:rsidRDefault="003F26A5" w:rsidP="009B4FC0">
            <w:pPr>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Заинтересованность в сотрудничестве с Французской Республикой в сфере энергетики (производство накопителей электроэнергии) высказала компания ООО «Энергозапас» с проектом «Разработка технологии твердотельных аккумулирующих электростанций» (презентационные материалы прилагаются). Компания занимается разработкой твердотельных аккумулирующих электростанций (ТАЭС) – промышленных накопителей энергии, которые аналогичны по экономическим показателям гидроаккумулирующим электростанциям (ГАЭС), но могут размещаться и на равнинных поверхностях.</w:t>
            </w:r>
          </w:p>
          <w:p w14:paraId="5F9E006C" w14:textId="77777777" w:rsidR="003F26A5" w:rsidRPr="00367300" w:rsidRDefault="003F26A5">
            <w:pPr>
              <w:pStyle w:val="ae"/>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5. В соответствии с письмом Минэкономразвития России от 26.07.2019 № 1370/8 о проведении ОАО «РЖД» открытого запроса на поиск инновационных решений и технологий для распознавания неисправностей, и коммерческой непригодности подвижного состава в автоматическом режиме информация о данном мероприятии размещена на официальных сайтах Научно-производственного кластера «Сибирский наукополис» и Центра кластерного развития Новосибирской области.</w:t>
            </w:r>
          </w:p>
          <w:p w14:paraId="4B8314C3" w14:textId="77777777" w:rsidR="003F26A5" w:rsidRPr="00367300" w:rsidRDefault="003F26A5">
            <w:pPr>
              <w:pStyle w:val="ae"/>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 xml:space="preserve">6. В соответствии с письмом Минэкономразвития России от 28.08.2019 № 1555/8 о проведении открытого запроса ОАО «РЖД» по защите населения от сверхнормативного акустического воздействия </w:t>
            </w:r>
            <w:r w:rsidRPr="00367300">
              <w:rPr>
                <w:rFonts w:ascii="Times New Roman" w:hAnsi="Times New Roman" w:cs="Times New Roman"/>
                <w:bCs/>
                <w:sz w:val="24"/>
                <w:szCs w:val="24"/>
              </w:rPr>
              <w:lastRenderedPageBreak/>
              <w:t xml:space="preserve">(вибрации) объектов железнодорожного транспорта 28.08.2019 на официальном сайте Минэкономразвития НСО и Инвестиционном портале НСО об указанном мероприятии был размещен пресс-релиз. </w:t>
            </w:r>
          </w:p>
          <w:p w14:paraId="7EC05B65" w14:textId="77777777" w:rsidR="003F26A5" w:rsidRPr="00367300" w:rsidRDefault="003F26A5">
            <w:pPr>
              <w:pStyle w:val="ae"/>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 xml:space="preserve">7. В соответствии с письмом Минэкономразвития России от 03.09.2019 № 1602/8 о проведении открытого запроса ОАО «РЖД» по определению содержания нефтепродуктов в сточных водах 04.09.2019 на официальном сайте Минэкономразвития НСО и Инвестиционном портале НСО об указанном мероприятии был размещен пресс-релиз. </w:t>
            </w:r>
          </w:p>
          <w:p w14:paraId="347F3ABC" w14:textId="77777777" w:rsidR="003F26A5" w:rsidRPr="00367300" w:rsidRDefault="003F26A5">
            <w:pPr>
              <w:pStyle w:val="ae"/>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 xml:space="preserve">8. В соответствии с письмом Минэкономразвития России от 02.10.2019 № 14458/1 МЭДО о проведении совещания по вопросу реализации национального проекта «Малое и среднее предпринимательство и поддержка индивидуальной предпринимательской инициативы 3 октября 2019 года представители Минэкономразвития НСО приняли участие в совещание в формате ВКС. </w:t>
            </w:r>
          </w:p>
          <w:p w14:paraId="0FFD20AE" w14:textId="77777777" w:rsidR="003F26A5" w:rsidRPr="00367300" w:rsidRDefault="003F26A5">
            <w:pPr>
              <w:pStyle w:val="ae"/>
              <w:ind w:left="57" w:right="57" w:firstLine="340"/>
              <w:jc w:val="both"/>
              <w:rPr>
                <w:rFonts w:ascii="Times New Roman" w:hAnsi="Times New Roman" w:cs="Times New Roman"/>
                <w:bCs/>
                <w:sz w:val="24"/>
                <w:szCs w:val="24"/>
              </w:rPr>
            </w:pPr>
            <w:r w:rsidRPr="00367300">
              <w:rPr>
                <w:rFonts w:ascii="Times New Roman" w:hAnsi="Times New Roman" w:cs="Times New Roman"/>
                <w:bCs/>
                <w:sz w:val="24"/>
                <w:szCs w:val="24"/>
              </w:rPr>
              <w:t>9. В соответствии с письмом Минэкономразвития России от 10.10.2019 № 1832/8 об оказании содействия в информировании технологических компаний о сервисе «Оценка потенциала роста» АО «РВК» об указанной онлайн-платформе, позволяющей российским технологическим компаниям получить доступ ко всем текущим мерам поддержки АО «Российская венчурная компания» (АО «РВК») в формате «одного окна», 18.10.2019 на официальном сайте Минэкономразвития НСО и Инвестиционном портале НСО был размещен пресс-релиз.</w:t>
            </w:r>
          </w:p>
        </w:tc>
      </w:tr>
      <w:tr w:rsidR="003F26A5" w:rsidRPr="00367300" w14:paraId="61CEC379" w14:textId="77777777" w:rsidTr="003F26A5">
        <w:trPr>
          <w:trHeight w:val="283"/>
        </w:trPr>
        <w:tc>
          <w:tcPr>
            <w:tcW w:w="5000" w:type="pct"/>
            <w:gridSpan w:val="7"/>
          </w:tcPr>
          <w:p w14:paraId="0AD67EE5" w14:textId="77777777" w:rsidR="003F26A5" w:rsidRPr="00367300" w:rsidRDefault="003F26A5" w:rsidP="00367300">
            <w:pPr>
              <w:contextualSpacing/>
              <w:rPr>
                <w:rFonts w:ascii="Times New Roman" w:hAnsi="Times New Roman" w:cs="Times New Roman"/>
                <w:b/>
                <w:bCs/>
                <w:sz w:val="24"/>
                <w:szCs w:val="24"/>
              </w:rPr>
            </w:pPr>
            <w:r w:rsidRPr="00367300">
              <w:rPr>
                <w:rFonts w:ascii="Times New Roman" w:hAnsi="Times New Roman" w:cs="Times New Roman"/>
                <w:b/>
                <w:bCs/>
                <w:sz w:val="24"/>
                <w:szCs w:val="24"/>
              </w:rPr>
              <w:lastRenderedPageBreak/>
              <w:t>25. </w:t>
            </w:r>
            <w:r w:rsidRPr="00367300">
              <w:rPr>
                <w:rFonts w:ascii="Times New Roman" w:hAnsi="Times New Roman" w:cs="Times New Roman"/>
                <w:b/>
                <w:sz w:val="24"/>
                <w:szCs w:val="24"/>
              </w:rPr>
              <w:t>Разработка и утверждение административного регламента предоставления муниципальной услуги по выдаче разрешения на строительство для целей возведения (создания) антенно-мачтовых сооружений (объектов) для услуг связи</w:t>
            </w:r>
            <w:r w:rsidRPr="00367300">
              <w:rPr>
                <w:rFonts w:ascii="Times New Roman" w:hAnsi="Times New Roman" w:cs="Times New Roman"/>
                <w:b/>
                <w:sz w:val="24"/>
                <w:szCs w:val="24"/>
                <w:vertAlign w:val="superscript"/>
              </w:rPr>
              <w:footnoteReference w:id="15"/>
            </w:r>
          </w:p>
        </w:tc>
      </w:tr>
      <w:tr w:rsidR="003F26A5" w:rsidRPr="00367300" w14:paraId="73B5555F" w14:textId="77777777" w:rsidTr="003F26A5">
        <w:trPr>
          <w:gridAfter w:val="1"/>
          <w:wAfter w:w="3" w:type="pct"/>
          <w:trHeight w:val="283"/>
        </w:trPr>
        <w:tc>
          <w:tcPr>
            <w:tcW w:w="335" w:type="pct"/>
            <w:shd w:val="clear" w:color="auto" w:fill="FFFFFF" w:themeFill="background1"/>
          </w:tcPr>
          <w:p w14:paraId="542DE035"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25.1</w:t>
            </w:r>
          </w:p>
        </w:tc>
        <w:tc>
          <w:tcPr>
            <w:tcW w:w="1108" w:type="pct"/>
            <w:shd w:val="clear" w:color="auto" w:fill="FFFFFF" w:themeFill="background1"/>
          </w:tcPr>
          <w:p w14:paraId="7EFF36A1" w14:textId="77777777" w:rsidR="003F26A5" w:rsidRPr="00367300" w:rsidRDefault="003F26A5" w:rsidP="00367300">
            <w:pPr>
              <w:ind w:left="57" w:right="57"/>
              <w:contextualSpacing/>
              <w:jc w:val="both"/>
              <w:rPr>
                <w:rFonts w:ascii="Times New Roman" w:hAnsi="Times New Roman" w:cs="Times New Roman"/>
                <w:bCs/>
                <w:sz w:val="24"/>
                <w:szCs w:val="24"/>
              </w:rPr>
            </w:pPr>
            <w:r w:rsidRPr="00367300">
              <w:rPr>
                <w:rFonts w:ascii="Times New Roman" w:hAnsi="Times New Roman" w:cs="Times New Roman"/>
                <w:sz w:val="24"/>
                <w:szCs w:val="24"/>
              </w:rPr>
              <w:t>Актуализация административного регламента предоставления муниципальной услуги по выдаче разрешения на строительство для целей возведения (создания) антенно-мачтовых сооружений (объектов) для услуг связи</w:t>
            </w:r>
          </w:p>
        </w:tc>
        <w:tc>
          <w:tcPr>
            <w:tcW w:w="723" w:type="pct"/>
            <w:shd w:val="clear" w:color="auto" w:fill="FFFFFF" w:themeFill="background1"/>
          </w:tcPr>
          <w:p w14:paraId="1FDFB57A" w14:textId="77777777" w:rsidR="003F26A5" w:rsidRPr="00891093" w:rsidRDefault="003F26A5" w:rsidP="00367300">
            <w:pPr>
              <w:contextualSpacing/>
              <w:rPr>
                <w:rFonts w:ascii="Times New Roman" w:hAnsi="Times New Roman" w:cs="Times New Roman"/>
                <w:bCs/>
                <w:sz w:val="24"/>
                <w:szCs w:val="24"/>
              </w:rPr>
            </w:pPr>
            <w:r w:rsidRPr="00367300">
              <w:rPr>
                <w:rFonts w:ascii="Times New Roman" w:hAnsi="Times New Roman" w:cs="Times New Roman"/>
                <w:color w:val="222222"/>
                <w:sz w:val="24"/>
                <w:szCs w:val="24"/>
                <w:shd w:val="clear" w:color="auto" w:fill="FFFFFF"/>
              </w:rPr>
              <w:t>Оптимизация (повышение качества и доступности) предоставления муниципальной услуги</w:t>
            </w:r>
          </w:p>
        </w:tc>
        <w:tc>
          <w:tcPr>
            <w:tcW w:w="337" w:type="pct"/>
            <w:shd w:val="clear" w:color="auto" w:fill="FFFFFF" w:themeFill="background1"/>
          </w:tcPr>
          <w:p w14:paraId="6441CDE1" w14:textId="77777777" w:rsidR="003F26A5" w:rsidRPr="00891093" w:rsidRDefault="003F26A5" w:rsidP="00367300">
            <w:pPr>
              <w:contextualSpacing/>
              <w:rPr>
                <w:rFonts w:ascii="Times New Roman" w:hAnsi="Times New Roman" w:cs="Times New Roman"/>
                <w:bCs/>
                <w:sz w:val="24"/>
                <w:szCs w:val="24"/>
              </w:rPr>
            </w:pPr>
            <w:r w:rsidRPr="00891093">
              <w:rPr>
                <w:rFonts w:ascii="Times New Roman" w:hAnsi="Times New Roman" w:cs="Times New Roman"/>
                <w:bCs/>
                <w:sz w:val="24"/>
                <w:szCs w:val="24"/>
              </w:rPr>
              <w:t>2019-2021 годы</w:t>
            </w:r>
          </w:p>
        </w:tc>
        <w:tc>
          <w:tcPr>
            <w:tcW w:w="463" w:type="pct"/>
            <w:shd w:val="clear" w:color="auto" w:fill="FFFFFF" w:themeFill="background1"/>
          </w:tcPr>
          <w:p w14:paraId="4B84124B"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ОМСУ НСО</w:t>
            </w:r>
          </w:p>
        </w:tc>
        <w:tc>
          <w:tcPr>
            <w:tcW w:w="2031" w:type="pct"/>
            <w:shd w:val="clear" w:color="auto" w:fill="FFFFFF" w:themeFill="background1"/>
          </w:tcPr>
          <w:p w14:paraId="24BEB41E" w14:textId="77777777" w:rsidR="003F26A5" w:rsidRPr="00D13B6E" w:rsidRDefault="003F26A5" w:rsidP="00891093">
            <w:pPr>
              <w:ind w:left="57" w:right="57" w:firstLine="340"/>
              <w:contextualSpacing/>
              <w:jc w:val="both"/>
              <w:rPr>
                <w:rFonts w:ascii="Times New Roman" w:hAnsi="Times New Roman" w:cs="Times New Roman"/>
                <w:sz w:val="24"/>
                <w:szCs w:val="24"/>
              </w:rPr>
            </w:pPr>
            <w:r w:rsidRPr="00891093">
              <w:rPr>
                <w:rFonts w:ascii="Times New Roman" w:hAnsi="Times New Roman" w:cs="Times New Roman"/>
                <w:sz w:val="24"/>
                <w:szCs w:val="24"/>
              </w:rPr>
              <w:t>В соответствии с пунктом</w:t>
            </w:r>
            <w:r w:rsidRPr="00891093">
              <w:rPr>
                <w:rFonts w:ascii="Times New Roman" w:hAnsi="Times New Roman" w:cs="Times New Roman"/>
                <w:color w:val="1F497D"/>
                <w:sz w:val="24"/>
                <w:szCs w:val="24"/>
              </w:rPr>
              <w:t> </w:t>
            </w:r>
            <w:r w:rsidRPr="00891093">
              <w:rPr>
                <w:rFonts w:ascii="Times New Roman" w:hAnsi="Times New Roman" w:cs="Times New Roman"/>
                <w:sz w:val="24"/>
                <w:szCs w:val="24"/>
              </w:rPr>
              <w:t>4.5 части 17 статьи 51 Градостроительного кодекса Российской Федерации</w:t>
            </w:r>
            <w:r w:rsidRPr="008A0E4E">
              <w:rPr>
                <w:rFonts w:ascii="Times New Roman" w:hAnsi="Times New Roman" w:cs="Times New Roman"/>
                <w:b/>
                <w:bCs/>
                <w:sz w:val="24"/>
                <w:szCs w:val="24"/>
              </w:rPr>
              <w:t xml:space="preserve"> </w:t>
            </w:r>
            <w:r w:rsidRPr="00FC74FE">
              <w:rPr>
                <w:rFonts w:ascii="Times New Roman" w:hAnsi="Times New Roman" w:cs="Times New Roman"/>
                <w:sz w:val="24"/>
                <w:szCs w:val="24"/>
              </w:rPr>
              <w:t>выдача разрешения на строительство не требуется в случае размещения антенных опор (мачт и баше</w:t>
            </w:r>
            <w:r w:rsidRPr="009B4FC0">
              <w:rPr>
                <w:rFonts w:ascii="Times New Roman" w:hAnsi="Times New Roman" w:cs="Times New Roman"/>
                <w:sz w:val="24"/>
                <w:szCs w:val="24"/>
              </w:rPr>
              <w:t>н) высотой до 50 метров, предназначенных для размещения средств связи. Данный пункт введен Федеральным законом от 02.08.2019 № 283-ФЗ «О внесении изменений в Градостроительный кодекс Российской Федерации и отдельные законодательные акты Российской Федераци</w:t>
            </w:r>
            <w:r w:rsidRPr="00D13B6E">
              <w:rPr>
                <w:rFonts w:ascii="Times New Roman" w:hAnsi="Times New Roman" w:cs="Times New Roman"/>
                <w:sz w:val="24"/>
                <w:szCs w:val="24"/>
              </w:rPr>
              <w:t>и».</w:t>
            </w:r>
          </w:p>
          <w:p w14:paraId="4310B9D1" w14:textId="77777777" w:rsidR="003F26A5" w:rsidRPr="00367300" w:rsidRDefault="003F26A5" w:rsidP="00891093">
            <w:pPr>
              <w:ind w:left="57" w:right="57" w:firstLine="340"/>
              <w:contextualSpacing/>
              <w:jc w:val="both"/>
              <w:rPr>
                <w:rFonts w:ascii="Times New Roman" w:hAnsi="Times New Roman" w:cs="Times New Roman"/>
                <w:sz w:val="24"/>
                <w:szCs w:val="24"/>
              </w:rPr>
            </w:pPr>
            <w:r w:rsidRPr="00E77388">
              <w:rPr>
                <w:rFonts w:ascii="Times New Roman" w:hAnsi="Times New Roman" w:cs="Times New Roman"/>
                <w:sz w:val="24"/>
                <w:szCs w:val="24"/>
              </w:rPr>
              <w:t xml:space="preserve">Органам местного самоуправления муниципальных образований Новосибирской области поставлена задача создание специального раздела (информации) на официальных сайтах администраций информацию о механизмах (процедуре) получения необходимой документации на строительство для целей создания антенно-мачтовых сооружений для услуг связи. </w:t>
            </w:r>
          </w:p>
        </w:tc>
      </w:tr>
      <w:tr w:rsidR="003F26A5" w:rsidRPr="00367300" w14:paraId="241B5B89" w14:textId="77777777" w:rsidTr="003F26A5">
        <w:trPr>
          <w:trHeight w:val="283"/>
        </w:trPr>
        <w:tc>
          <w:tcPr>
            <w:tcW w:w="5000" w:type="pct"/>
            <w:gridSpan w:val="7"/>
          </w:tcPr>
          <w:p w14:paraId="0E992489" w14:textId="77777777" w:rsidR="003F26A5" w:rsidRPr="00367300" w:rsidRDefault="003F26A5" w:rsidP="00367300">
            <w:pPr>
              <w:autoSpaceDE w:val="0"/>
              <w:autoSpaceDN w:val="0"/>
              <w:adjustRightInd w:val="0"/>
              <w:ind w:firstLine="539"/>
              <w:rPr>
                <w:rFonts w:ascii="Times New Roman" w:hAnsi="Times New Roman" w:cs="Times New Roman"/>
                <w:b/>
                <w:bCs/>
                <w:sz w:val="24"/>
                <w:szCs w:val="24"/>
              </w:rPr>
            </w:pPr>
            <w:r w:rsidRPr="00367300">
              <w:rPr>
                <w:rFonts w:ascii="Times New Roman" w:hAnsi="Times New Roman" w:cs="Times New Roman"/>
                <w:b/>
                <w:bCs/>
                <w:sz w:val="24"/>
                <w:szCs w:val="24"/>
              </w:rPr>
              <w:t xml:space="preserve">26. Организация в государственных жилищных инспекциях в субъектах Российской Федерации горячей телефонной линии, а также электронной формы обратной связи в сети «Интернет» </w:t>
            </w:r>
          </w:p>
        </w:tc>
      </w:tr>
      <w:tr w:rsidR="003F26A5" w:rsidRPr="00367300" w14:paraId="777EF9E3" w14:textId="77777777" w:rsidTr="003F26A5">
        <w:trPr>
          <w:gridAfter w:val="1"/>
          <w:wAfter w:w="3" w:type="pct"/>
          <w:trHeight w:val="283"/>
        </w:trPr>
        <w:tc>
          <w:tcPr>
            <w:tcW w:w="335" w:type="pct"/>
          </w:tcPr>
          <w:p w14:paraId="48936059"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26.1.</w:t>
            </w:r>
          </w:p>
        </w:tc>
        <w:tc>
          <w:tcPr>
            <w:tcW w:w="1108" w:type="pct"/>
          </w:tcPr>
          <w:p w14:paraId="58E41E68"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Рассмотрение обращений, </w:t>
            </w:r>
          </w:p>
          <w:p w14:paraId="426F6116"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поступивших в Государственную жилищную инспекцию Новосибирской области по горячей телефонной линии, а также путем использования </w:t>
            </w:r>
            <w:r w:rsidRPr="00367300">
              <w:rPr>
                <w:rFonts w:ascii="Times New Roman" w:hAnsi="Times New Roman" w:cs="Times New Roman"/>
                <w:sz w:val="24"/>
                <w:szCs w:val="24"/>
              </w:rPr>
              <w:lastRenderedPageBreak/>
              <w:t>электронной формы обратной связи в сети «Интернет» (с возможностью прикрепления файлов фото- и видеосъемки)</w:t>
            </w:r>
          </w:p>
        </w:tc>
        <w:tc>
          <w:tcPr>
            <w:tcW w:w="723" w:type="pct"/>
          </w:tcPr>
          <w:p w14:paraId="45EC52A6" w14:textId="77777777" w:rsidR="003F26A5" w:rsidRPr="00891093" w:rsidRDefault="003F26A5" w:rsidP="00367300">
            <w:pPr>
              <w:contextualSpacing/>
              <w:rPr>
                <w:rFonts w:ascii="Times New Roman" w:hAnsi="Times New Roman" w:cs="Times New Roman"/>
                <w:bCs/>
                <w:sz w:val="24"/>
                <w:szCs w:val="24"/>
              </w:rPr>
            </w:pPr>
            <w:r w:rsidRPr="00891093">
              <w:rPr>
                <w:rFonts w:ascii="Times New Roman" w:hAnsi="Times New Roman" w:cs="Times New Roman"/>
                <w:color w:val="000000"/>
                <w:sz w:val="24"/>
                <w:szCs w:val="24"/>
              </w:rPr>
              <w:lastRenderedPageBreak/>
              <w:t>Оперативное рассмотрение поступивших обращений</w:t>
            </w:r>
          </w:p>
        </w:tc>
        <w:tc>
          <w:tcPr>
            <w:tcW w:w="337" w:type="pct"/>
          </w:tcPr>
          <w:p w14:paraId="162B72FD"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Постоянно</w:t>
            </w:r>
          </w:p>
        </w:tc>
        <w:tc>
          <w:tcPr>
            <w:tcW w:w="463" w:type="pct"/>
          </w:tcPr>
          <w:p w14:paraId="1BE70EBB"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sz w:val="24"/>
                <w:szCs w:val="24"/>
              </w:rPr>
              <w:t xml:space="preserve">ГЖИ НСО </w:t>
            </w:r>
          </w:p>
        </w:tc>
        <w:tc>
          <w:tcPr>
            <w:tcW w:w="2031" w:type="pct"/>
          </w:tcPr>
          <w:p w14:paraId="0A2CE5F7" w14:textId="77777777" w:rsidR="003F26A5" w:rsidRPr="009B4FC0" w:rsidRDefault="003F26A5" w:rsidP="00891093">
            <w:pPr>
              <w:autoSpaceDE w:val="0"/>
              <w:autoSpaceDN w:val="0"/>
              <w:adjustRightInd w:val="0"/>
              <w:ind w:left="57" w:right="57" w:firstLine="340"/>
              <w:jc w:val="both"/>
              <w:rPr>
                <w:rFonts w:ascii="Times New Roman" w:hAnsi="Times New Roman" w:cs="Times New Roman"/>
                <w:sz w:val="24"/>
                <w:szCs w:val="24"/>
              </w:rPr>
            </w:pPr>
            <w:r w:rsidRPr="008A0E4E">
              <w:rPr>
                <w:rFonts w:ascii="Times New Roman" w:hAnsi="Times New Roman" w:cs="Times New Roman"/>
                <w:sz w:val="24"/>
                <w:szCs w:val="24"/>
              </w:rPr>
              <w:t>В инспекции организована работа круглосуточной «горячей» телефонной линии, а также, существует возможность электронной формы обратной связи в сети «Интернет» с возможностью прикрепле</w:t>
            </w:r>
            <w:r w:rsidRPr="00FC74FE">
              <w:rPr>
                <w:rFonts w:ascii="Times New Roman" w:hAnsi="Times New Roman" w:cs="Times New Roman"/>
                <w:sz w:val="24"/>
                <w:szCs w:val="24"/>
              </w:rPr>
              <w:t xml:space="preserve">ния файлов фото- и видеосъемки, что дает возможность оперативного рассмотрения обращений, поступивших в адрес инспекции. В 2019 году отработано 16819 звонков, по </w:t>
            </w:r>
            <w:r w:rsidRPr="00FC74FE">
              <w:rPr>
                <w:rFonts w:ascii="Times New Roman" w:hAnsi="Times New Roman" w:cs="Times New Roman"/>
                <w:sz w:val="24"/>
                <w:szCs w:val="24"/>
              </w:rPr>
              <w:lastRenderedPageBreak/>
              <w:t>результатам которых управляющим организациям передано 8741 информационное сообщение о необходи</w:t>
            </w:r>
            <w:r w:rsidRPr="009B4FC0">
              <w:rPr>
                <w:rFonts w:ascii="Times New Roman" w:hAnsi="Times New Roman" w:cs="Times New Roman"/>
                <w:sz w:val="24"/>
                <w:szCs w:val="24"/>
              </w:rPr>
              <w:t>мости соблюдения обязательных требований.</w:t>
            </w:r>
          </w:p>
        </w:tc>
      </w:tr>
      <w:tr w:rsidR="003F26A5" w:rsidRPr="00367300" w14:paraId="3B1FDC3B" w14:textId="77777777" w:rsidTr="003F26A5">
        <w:trPr>
          <w:trHeight w:val="283"/>
        </w:trPr>
        <w:tc>
          <w:tcPr>
            <w:tcW w:w="5000" w:type="pct"/>
            <w:gridSpan w:val="7"/>
          </w:tcPr>
          <w:p w14:paraId="5D456C67" w14:textId="77777777" w:rsidR="003F26A5" w:rsidRPr="00367300" w:rsidRDefault="003F26A5" w:rsidP="00367300">
            <w:pPr>
              <w:contextualSpacing/>
              <w:rPr>
                <w:rFonts w:ascii="Times New Roman" w:hAnsi="Times New Roman" w:cs="Times New Roman"/>
                <w:b/>
                <w:sz w:val="24"/>
                <w:szCs w:val="24"/>
              </w:rPr>
            </w:pPr>
            <w:r w:rsidRPr="00367300">
              <w:rPr>
                <w:rFonts w:ascii="Times New Roman" w:hAnsi="Times New Roman" w:cs="Times New Roman"/>
                <w:b/>
                <w:sz w:val="24"/>
                <w:szCs w:val="24"/>
              </w:rPr>
              <w:lastRenderedPageBreak/>
              <w:t xml:space="preserve">27. Разработка и утверждение административного регламента предоставления муниципальной услуги по выдаче разрешения на строительство и административного регламента предоставления муниципальной услуги по выдаче разрешений на ввод объекта в эксплуатацию при осуществлении строительства, реконструкции объектов </w:t>
            </w:r>
          </w:p>
          <w:p w14:paraId="4B5C9DD5" w14:textId="77777777" w:rsidR="003F26A5" w:rsidRPr="00367300" w:rsidRDefault="003F26A5" w:rsidP="00367300">
            <w:pPr>
              <w:contextualSpacing/>
              <w:rPr>
                <w:rFonts w:ascii="Times New Roman" w:hAnsi="Times New Roman" w:cs="Times New Roman"/>
                <w:b/>
                <w:sz w:val="24"/>
                <w:szCs w:val="24"/>
              </w:rPr>
            </w:pPr>
            <w:r w:rsidRPr="00367300">
              <w:rPr>
                <w:rFonts w:ascii="Times New Roman" w:hAnsi="Times New Roman" w:cs="Times New Roman"/>
                <w:b/>
                <w:sz w:val="24"/>
                <w:szCs w:val="24"/>
              </w:rPr>
              <w:t>капитального строительства</w:t>
            </w:r>
          </w:p>
        </w:tc>
      </w:tr>
      <w:tr w:rsidR="003F26A5" w:rsidRPr="00367300" w14:paraId="1F1082DF" w14:textId="77777777" w:rsidTr="003F26A5">
        <w:trPr>
          <w:gridAfter w:val="1"/>
          <w:wAfter w:w="3" w:type="pct"/>
          <w:trHeight w:val="283"/>
        </w:trPr>
        <w:tc>
          <w:tcPr>
            <w:tcW w:w="335" w:type="pct"/>
          </w:tcPr>
          <w:p w14:paraId="505093D5"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27.1</w:t>
            </w:r>
          </w:p>
        </w:tc>
        <w:tc>
          <w:tcPr>
            <w:tcW w:w="1108" w:type="pct"/>
          </w:tcPr>
          <w:p w14:paraId="3E442866"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Актуализация административного регламента предоставления муниципальной услуги по выдаче разрешения на строительство и административного регламента предоставления муниципальной услуги по выдаче разрешений </w:t>
            </w:r>
          </w:p>
          <w:p w14:paraId="57CE989C"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на ввод объекта в эксплуатацию при осуществлении строительства, реконструкции объектов капитального строительства </w:t>
            </w:r>
          </w:p>
          <w:p w14:paraId="2BC1846C" w14:textId="77777777" w:rsidR="003F26A5" w:rsidRPr="00891093"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в соответствии с действующим законодатель</w:t>
            </w:r>
            <w:r w:rsidRPr="00891093">
              <w:rPr>
                <w:rFonts w:ascii="Times New Roman" w:hAnsi="Times New Roman" w:cs="Times New Roman"/>
                <w:sz w:val="24"/>
                <w:szCs w:val="24"/>
              </w:rPr>
              <w:t>ством Российской Федерации</w:t>
            </w:r>
          </w:p>
        </w:tc>
        <w:tc>
          <w:tcPr>
            <w:tcW w:w="723" w:type="pct"/>
          </w:tcPr>
          <w:p w14:paraId="3A01DE5A" w14:textId="77777777" w:rsidR="003F26A5" w:rsidRPr="00891093" w:rsidRDefault="003F26A5" w:rsidP="00891093">
            <w:pPr>
              <w:contextualSpacing/>
              <w:rPr>
                <w:rFonts w:ascii="Times New Roman" w:hAnsi="Times New Roman" w:cs="Times New Roman"/>
                <w:color w:val="000000"/>
                <w:sz w:val="24"/>
                <w:szCs w:val="24"/>
              </w:rPr>
            </w:pPr>
            <w:r w:rsidRPr="00891093">
              <w:rPr>
                <w:rFonts w:ascii="Times New Roman" w:hAnsi="Times New Roman" w:cs="Times New Roman"/>
                <w:sz w:val="24"/>
                <w:szCs w:val="24"/>
                <w:shd w:val="clear" w:color="auto" w:fill="FFFFFF"/>
              </w:rPr>
              <w:t>Оптимизация (повышение качества и доступности) предоставления муниципальной услуги</w:t>
            </w:r>
          </w:p>
        </w:tc>
        <w:tc>
          <w:tcPr>
            <w:tcW w:w="337" w:type="pct"/>
          </w:tcPr>
          <w:p w14:paraId="74BC0898" w14:textId="77777777" w:rsidR="003F26A5" w:rsidRPr="008A0E4E" w:rsidRDefault="003F26A5" w:rsidP="00891093">
            <w:pPr>
              <w:rPr>
                <w:rFonts w:ascii="Times New Roman" w:hAnsi="Times New Roman" w:cs="Times New Roman"/>
                <w:sz w:val="24"/>
                <w:szCs w:val="24"/>
              </w:rPr>
            </w:pPr>
            <w:r w:rsidRPr="008A0E4E">
              <w:rPr>
                <w:rFonts w:ascii="Times New Roman" w:hAnsi="Times New Roman" w:cs="Times New Roman"/>
                <w:sz w:val="24"/>
                <w:szCs w:val="24"/>
              </w:rPr>
              <w:t>2019-2021 годы</w:t>
            </w:r>
          </w:p>
        </w:tc>
        <w:tc>
          <w:tcPr>
            <w:tcW w:w="463" w:type="pct"/>
          </w:tcPr>
          <w:p w14:paraId="6CA2B09E" w14:textId="77777777" w:rsidR="003F26A5" w:rsidRPr="00FC74FE" w:rsidRDefault="003F26A5" w:rsidP="00891093">
            <w:pPr>
              <w:contextualSpacing/>
              <w:rPr>
                <w:rFonts w:ascii="Times New Roman" w:hAnsi="Times New Roman" w:cs="Times New Roman"/>
                <w:sz w:val="24"/>
                <w:szCs w:val="24"/>
              </w:rPr>
            </w:pPr>
            <w:r w:rsidRPr="00FC74FE">
              <w:rPr>
                <w:rFonts w:ascii="Times New Roman" w:hAnsi="Times New Roman" w:cs="Times New Roman"/>
                <w:sz w:val="24"/>
                <w:szCs w:val="24"/>
              </w:rPr>
              <w:t>ОМСУ НСО</w:t>
            </w:r>
          </w:p>
        </w:tc>
        <w:tc>
          <w:tcPr>
            <w:tcW w:w="2031" w:type="pct"/>
          </w:tcPr>
          <w:p w14:paraId="385E91EA" w14:textId="77777777" w:rsidR="003F26A5" w:rsidRPr="00367300" w:rsidRDefault="003F26A5" w:rsidP="00891093">
            <w:pPr>
              <w:autoSpaceDE w:val="0"/>
              <w:autoSpaceDN w:val="0"/>
              <w:adjustRightInd w:val="0"/>
              <w:ind w:left="57" w:right="57" w:firstLine="340"/>
              <w:jc w:val="both"/>
              <w:rPr>
                <w:rFonts w:ascii="Times New Roman" w:hAnsi="Times New Roman" w:cs="Times New Roman"/>
                <w:sz w:val="24"/>
                <w:szCs w:val="24"/>
              </w:rPr>
            </w:pPr>
            <w:r w:rsidRPr="009B4FC0">
              <w:rPr>
                <w:rFonts w:ascii="Times New Roman" w:hAnsi="Times New Roman" w:cs="Times New Roman"/>
                <w:sz w:val="24"/>
                <w:szCs w:val="24"/>
              </w:rPr>
              <w:t xml:space="preserve">Муниципальными образованиями организована и проведена работа по актуализации административного регламента предоставления муниципальной услуги по </w:t>
            </w:r>
            <w:r w:rsidRPr="00367300">
              <w:rPr>
                <w:rFonts w:ascii="Times New Roman" w:hAnsi="Times New Roman" w:cs="Times New Roman"/>
                <w:sz w:val="24"/>
                <w:szCs w:val="24"/>
              </w:rPr>
              <w:t>выдаче разрешения на строительство и административного регламента предоставления муниципальной услуги по выдаче разрешений на ввод объекта в эксплуатацию при осуществлении строительства, реконструкции объектов капитального строительства в соответствии с действующим законодательством Российской Федерации.</w:t>
            </w:r>
          </w:p>
        </w:tc>
      </w:tr>
      <w:tr w:rsidR="003F26A5" w:rsidRPr="00367300" w14:paraId="458F8453" w14:textId="77777777" w:rsidTr="003F26A5">
        <w:trPr>
          <w:gridAfter w:val="1"/>
          <w:wAfter w:w="3" w:type="pct"/>
          <w:trHeight w:val="283"/>
        </w:trPr>
        <w:tc>
          <w:tcPr>
            <w:tcW w:w="335" w:type="pct"/>
          </w:tcPr>
          <w:p w14:paraId="577955B7"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27.2</w:t>
            </w:r>
          </w:p>
        </w:tc>
        <w:tc>
          <w:tcPr>
            <w:tcW w:w="1108" w:type="pct"/>
          </w:tcPr>
          <w:p w14:paraId="64DA29DD"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Размещение на официальных сайтах муниципальных образований административного регламента предоставления муниципальной услуги по </w:t>
            </w:r>
            <w:r w:rsidRPr="00367300">
              <w:rPr>
                <w:rFonts w:ascii="Times New Roman" w:hAnsi="Times New Roman" w:cs="Times New Roman"/>
                <w:sz w:val="24"/>
                <w:szCs w:val="24"/>
              </w:rPr>
              <w:lastRenderedPageBreak/>
              <w:t xml:space="preserve">выдаче разрешения на строительство и административного регламента предоставления муниципальной услуги по выдаче разрешений </w:t>
            </w:r>
          </w:p>
          <w:p w14:paraId="20850211"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на ввод объекта в эксплуатацию при осуществлении строительства, реконструкции объектов капитального строительства</w:t>
            </w:r>
          </w:p>
        </w:tc>
        <w:tc>
          <w:tcPr>
            <w:tcW w:w="723" w:type="pct"/>
          </w:tcPr>
          <w:p w14:paraId="29AD068A" w14:textId="77777777" w:rsidR="003F26A5" w:rsidRPr="00367300" w:rsidRDefault="003F26A5" w:rsidP="00367300">
            <w:pPr>
              <w:contextualSpacing/>
              <w:rPr>
                <w:rFonts w:ascii="Times New Roman" w:hAnsi="Times New Roman" w:cs="Times New Roman"/>
                <w:sz w:val="24"/>
                <w:szCs w:val="24"/>
              </w:rPr>
            </w:pPr>
            <w:r w:rsidRPr="00367300">
              <w:rPr>
                <w:rFonts w:ascii="Times New Roman" w:hAnsi="Times New Roman" w:cs="Times New Roman"/>
                <w:sz w:val="24"/>
                <w:szCs w:val="24"/>
              </w:rPr>
              <w:lastRenderedPageBreak/>
              <w:t xml:space="preserve">Повышение информированности хозяйствующих субъектов </w:t>
            </w:r>
          </w:p>
          <w:p w14:paraId="6DE0B718" w14:textId="747B535F" w:rsidR="003F26A5" w:rsidRPr="00891093" w:rsidRDefault="003F26A5" w:rsidP="00891093">
            <w:pPr>
              <w:contextualSpacing/>
              <w:rPr>
                <w:rFonts w:ascii="Times New Roman" w:hAnsi="Times New Roman" w:cs="Times New Roman"/>
                <w:color w:val="222222"/>
                <w:sz w:val="24"/>
                <w:szCs w:val="24"/>
                <w:shd w:val="clear" w:color="auto" w:fill="FFFFFF"/>
              </w:rPr>
            </w:pPr>
            <w:r w:rsidRPr="00891093">
              <w:rPr>
                <w:rFonts w:ascii="Times New Roman" w:hAnsi="Times New Roman" w:cs="Times New Roman"/>
                <w:sz w:val="24"/>
                <w:szCs w:val="24"/>
              </w:rPr>
              <w:t>по вопроса</w:t>
            </w:r>
            <w:r w:rsidR="004C4B1D" w:rsidRPr="00891093">
              <w:rPr>
                <w:rFonts w:ascii="Times New Roman" w:hAnsi="Times New Roman" w:cs="Times New Roman"/>
                <w:sz w:val="24"/>
                <w:szCs w:val="24"/>
              </w:rPr>
              <w:t>м</w:t>
            </w:r>
            <w:r w:rsidRPr="00891093">
              <w:rPr>
                <w:rFonts w:ascii="Times New Roman" w:hAnsi="Times New Roman" w:cs="Times New Roman"/>
                <w:sz w:val="24"/>
                <w:szCs w:val="24"/>
              </w:rPr>
              <w:t xml:space="preserve"> получения </w:t>
            </w:r>
            <w:r w:rsidRPr="00891093">
              <w:rPr>
                <w:rFonts w:ascii="Times New Roman" w:hAnsi="Times New Roman" w:cs="Times New Roman"/>
                <w:sz w:val="24"/>
                <w:szCs w:val="24"/>
              </w:rPr>
              <w:lastRenderedPageBreak/>
              <w:t>разрешения на строительство и разрешения на ввод объекта в эксплуатацию при осуществлении строительства, реконструкции объектов капитального строительства</w:t>
            </w:r>
          </w:p>
        </w:tc>
        <w:tc>
          <w:tcPr>
            <w:tcW w:w="337" w:type="pct"/>
          </w:tcPr>
          <w:p w14:paraId="60DD0130" w14:textId="77777777" w:rsidR="003F26A5" w:rsidRPr="008A0E4E" w:rsidRDefault="003F26A5" w:rsidP="00891093">
            <w:pPr>
              <w:rPr>
                <w:rFonts w:ascii="Times New Roman" w:hAnsi="Times New Roman" w:cs="Times New Roman"/>
                <w:sz w:val="24"/>
                <w:szCs w:val="24"/>
              </w:rPr>
            </w:pPr>
            <w:r w:rsidRPr="008A0E4E">
              <w:rPr>
                <w:rFonts w:ascii="Times New Roman" w:hAnsi="Times New Roman" w:cs="Times New Roman"/>
                <w:sz w:val="24"/>
                <w:szCs w:val="24"/>
              </w:rPr>
              <w:lastRenderedPageBreak/>
              <w:t>2019-2021 годы</w:t>
            </w:r>
          </w:p>
          <w:p w14:paraId="198376D1" w14:textId="77777777" w:rsidR="003F26A5" w:rsidRPr="00FC74FE" w:rsidRDefault="003F26A5" w:rsidP="00891093">
            <w:pPr>
              <w:contextualSpacing/>
              <w:rPr>
                <w:rFonts w:ascii="Times New Roman" w:hAnsi="Times New Roman" w:cs="Times New Roman"/>
                <w:bCs/>
                <w:sz w:val="24"/>
                <w:szCs w:val="24"/>
              </w:rPr>
            </w:pPr>
          </w:p>
        </w:tc>
        <w:tc>
          <w:tcPr>
            <w:tcW w:w="463" w:type="pct"/>
          </w:tcPr>
          <w:p w14:paraId="6371E460" w14:textId="77777777" w:rsidR="003F26A5" w:rsidRPr="009B4FC0" w:rsidRDefault="003F26A5" w:rsidP="00891093">
            <w:pPr>
              <w:contextualSpacing/>
              <w:rPr>
                <w:rFonts w:ascii="Times New Roman" w:hAnsi="Times New Roman" w:cs="Times New Roman"/>
                <w:sz w:val="24"/>
                <w:szCs w:val="24"/>
              </w:rPr>
            </w:pPr>
            <w:r w:rsidRPr="009B4FC0">
              <w:rPr>
                <w:rFonts w:ascii="Times New Roman" w:hAnsi="Times New Roman" w:cs="Times New Roman"/>
                <w:sz w:val="24"/>
                <w:szCs w:val="24"/>
              </w:rPr>
              <w:t>ОМСУ НСО</w:t>
            </w:r>
          </w:p>
        </w:tc>
        <w:tc>
          <w:tcPr>
            <w:tcW w:w="2031" w:type="pct"/>
          </w:tcPr>
          <w:p w14:paraId="23531669" w14:textId="2F87EB54" w:rsidR="003F26A5" w:rsidRPr="00367300" w:rsidRDefault="003F26A5" w:rsidP="008A0E4E">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Административный регламент предоставления муниципальной услуги по выдаче разрешения на строительство и административный регламент предоставления муниципальной услуги по выдаче разрешений на ввод объекта в эксплуатацию при осуществлении строительства, реконструкции объектов </w:t>
            </w:r>
            <w:r w:rsidRPr="00367300">
              <w:rPr>
                <w:rFonts w:ascii="Times New Roman" w:hAnsi="Times New Roman" w:cs="Times New Roman"/>
                <w:sz w:val="24"/>
                <w:szCs w:val="24"/>
              </w:rPr>
              <w:lastRenderedPageBreak/>
              <w:t>капитального строительства размещены на официальных сайтах муниципальных образований</w:t>
            </w:r>
          </w:p>
        </w:tc>
      </w:tr>
      <w:tr w:rsidR="003F26A5" w:rsidRPr="00367300" w14:paraId="2E77E7A5" w14:textId="77777777" w:rsidTr="003F26A5">
        <w:trPr>
          <w:gridAfter w:val="1"/>
          <w:wAfter w:w="3" w:type="pct"/>
          <w:trHeight w:val="283"/>
        </w:trPr>
        <w:tc>
          <w:tcPr>
            <w:tcW w:w="335" w:type="pct"/>
          </w:tcPr>
          <w:p w14:paraId="2DD43740"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27.3</w:t>
            </w:r>
          </w:p>
        </w:tc>
        <w:tc>
          <w:tcPr>
            <w:tcW w:w="1108" w:type="pct"/>
          </w:tcPr>
          <w:p w14:paraId="41585696"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Мониторинг размещения </w:t>
            </w:r>
          </w:p>
          <w:p w14:paraId="74FE8524"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на официальных сайтах муниципальных образований актуального административного регламента предоставления муниципальной услуги по выдаче разрешения на строительство и актуального административного регламента предоставления муниципальной услуги по выдаче разрешений на ввод объекта </w:t>
            </w:r>
          </w:p>
          <w:p w14:paraId="6346AF4F" w14:textId="77777777" w:rsidR="003F26A5" w:rsidRPr="00891093" w:rsidRDefault="003F26A5" w:rsidP="00367300">
            <w:pPr>
              <w:autoSpaceDE w:val="0"/>
              <w:autoSpaceDN w:val="0"/>
              <w:adjustRightInd w:val="0"/>
              <w:ind w:left="57" w:right="57"/>
              <w:jc w:val="both"/>
              <w:rPr>
                <w:rFonts w:ascii="Times New Roman" w:hAnsi="Times New Roman" w:cs="Times New Roman"/>
                <w:sz w:val="24"/>
                <w:szCs w:val="24"/>
              </w:rPr>
            </w:pPr>
            <w:r w:rsidRPr="00891093">
              <w:rPr>
                <w:rFonts w:ascii="Times New Roman" w:hAnsi="Times New Roman" w:cs="Times New Roman"/>
                <w:sz w:val="24"/>
                <w:szCs w:val="24"/>
              </w:rPr>
              <w:t>в эксплуатацию при осуществлении строительства, реконструкции объектов капитального строительства</w:t>
            </w:r>
          </w:p>
        </w:tc>
        <w:tc>
          <w:tcPr>
            <w:tcW w:w="723" w:type="pct"/>
          </w:tcPr>
          <w:p w14:paraId="29C06602"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 xml:space="preserve">Доля размещенных </w:t>
            </w:r>
          </w:p>
          <w:p w14:paraId="55161B50"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 xml:space="preserve">на официальных сайтах муниципальных образований Новосибирской области актуальных административных регламентов по выдаче разрешения на строительство и актуального административного регламента предоставления муниципальной услуги </w:t>
            </w:r>
          </w:p>
          <w:p w14:paraId="4C22BBEE"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 xml:space="preserve">по выдаче разрешений на ввод объекта в эксплуатацию при осуществлении </w:t>
            </w:r>
            <w:r w:rsidRPr="00891093">
              <w:rPr>
                <w:rFonts w:ascii="Times New Roman" w:hAnsi="Times New Roman" w:cs="Times New Roman"/>
                <w:sz w:val="24"/>
                <w:szCs w:val="24"/>
              </w:rPr>
              <w:lastRenderedPageBreak/>
              <w:t>строительства, реконструкции объектов капитального строительства 100%</w:t>
            </w:r>
          </w:p>
        </w:tc>
        <w:tc>
          <w:tcPr>
            <w:tcW w:w="337" w:type="pct"/>
          </w:tcPr>
          <w:p w14:paraId="6B907A91"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lastRenderedPageBreak/>
              <w:t>Ежеквартально</w:t>
            </w:r>
          </w:p>
        </w:tc>
        <w:tc>
          <w:tcPr>
            <w:tcW w:w="463" w:type="pct"/>
          </w:tcPr>
          <w:p w14:paraId="20BAF61A" w14:textId="77777777" w:rsidR="003F26A5" w:rsidRPr="008A0E4E" w:rsidRDefault="003F26A5" w:rsidP="008A0E4E">
            <w:pPr>
              <w:contextualSpacing/>
              <w:rPr>
                <w:rFonts w:ascii="Times New Roman" w:hAnsi="Times New Roman" w:cs="Times New Roman"/>
                <w:sz w:val="24"/>
                <w:szCs w:val="24"/>
              </w:rPr>
            </w:pPr>
            <w:r w:rsidRPr="008A0E4E">
              <w:rPr>
                <w:rFonts w:ascii="Times New Roman" w:hAnsi="Times New Roman" w:cs="Times New Roman"/>
                <w:sz w:val="24"/>
                <w:szCs w:val="24"/>
              </w:rPr>
              <w:t>Министерство строительства Новосибирской области</w:t>
            </w:r>
          </w:p>
        </w:tc>
        <w:tc>
          <w:tcPr>
            <w:tcW w:w="2031" w:type="pct"/>
          </w:tcPr>
          <w:p w14:paraId="3F800CCD" w14:textId="77777777" w:rsidR="003F26A5" w:rsidRPr="00367300" w:rsidRDefault="003F26A5" w:rsidP="00FC74FE">
            <w:pPr>
              <w:autoSpaceDE w:val="0"/>
              <w:autoSpaceDN w:val="0"/>
              <w:adjustRightInd w:val="0"/>
              <w:ind w:left="57" w:right="57" w:firstLine="340"/>
              <w:jc w:val="both"/>
              <w:rPr>
                <w:rFonts w:ascii="Times New Roman" w:hAnsi="Times New Roman" w:cs="Times New Roman"/>
                <w:b/>
                <w:i/>
                <w:sz w:val="24"/>
                <w:szCs w:val="24"/>
                <w:highlight w:val="magenta"/>
                <w:u w:val="single"/>
              </w:rPr>
            </w:pPr>
            <w:r w:rsidRPr="00FC74FE">
              <w:rPr>
                <w:rFonts w:ascii="Times New Roman" w:hAnsi="Times New Roman" w:cs="Times New Roman"/>
                <w:sz w:val="24"/>
                <w:szCs w:val="24"/>
              </w:rPr>
              <w:t>Административные регламенты размещены на официальных сайтах органов местного самоуправления муниципальных образований Новосибирской области. Сроки получения</w:t>
            </w:r>
            <w:r w:rsidRPr="009B4FC0">
              <w:rPr>
                <w:rFonts w:ascii="Times New Roman" w:hAnsi="Times New Roman" w:cs="Times New Roman"/>
                <w:sz w:val="24"/>
                <w:szCs w:val="24"/>
              </w:rPr>
              <w:t xml:space="preserve"> услуг по выдаче разрешения на строительство и выдаче разрешения на ввод объекта в эксплуатацию соответствуют действующему законодательству (на 2019 год), в настоящее время ведется работа по корректировке сроков предоставления разрешения на строительство и</w:t>
            </w:r>
            <w:r w:rsidRPr="00367300">
              <w:rPr>
                <w:rFonts w:ascii="Times New Roman" w:hAnsi="Times New Roman" w:cs="Times New Roman"/>
                <w:sz w:val="24"/>
                <w:szCs w:val="24"/>
              </w:rPr>
              <w:t xml:space="preserve"> разрешения на ввод объекта в эксплуатацию в соответствии с изменениями Градостроительного кодекса Российской Федерации вступившими в силу </w:t>
            </w:r>
            <w:r w:rsidRPr="00367300">
              <w:rPr>
                <w:rFonts w:ascii="Times New Roman" w:hAnsi="Times New Roman" w:cs="Times New Roman"/>
                <w:bCs/>
                <w:iCs/>
                <w:sz w:val="24"/>
                <w:szCs w:val="24"/>
              </w:rPr>
              <w:t xml:space="preserve">от 27.12.2019 </w:t>
            </w:r>
            <w:hyperlink r:id="rId135" w:history="1">
              <w:r w:rsidRPr="00367300">
                <w:rPr>
                  <w:rFonts w:ascii="Times New Roman" w:hAnsi="Times New Roman" w:cs="Times New Roman"/>
                  <w:bCs/>
                  <w:iCs/>
                  <w:sz w:val="24"/>
                  <w:szCs w:val="24"/>
                </w:rPr>
                <w:t>№ 472-ФЗ</w:t>
              </w:r>
            </w:hyperlink>
            <w:r w:rsidRPr="00367300">
              <w:rPr>
                <w:rFonts w:ascii="Times New Roman" w:hAnsi="Times New Roman" w:cs="Times New Roman"/>
                <w:bCs/>
                <w:iCs/>
                <w:sz w:val="24"/>
                <w:szCs w:val="24"/>
              </w:rPr>
              <w:t>.</w:t>
            </w:r>
          </w:p>
        </w:tc>
      </w:tr>
      <w:tr w:rsidR="003F26A5" w:rsidRPr="00367300" w14:paraId="6424E96A" w14:textId="77777777" w:rsidTr="003F26A5">
        <w:trPr>
          <w:trHeight w:val="283"/>
        </w:trPr>
        <w:tc>
          <w:tcPr>
            <w:tcW w:w="5000" w:type="pct"/>
            <w:gridSpan w:val="7"/>
          </w:tcPr>
          <w:p w14:paraId="48FE703E" w14:textId="77777777" w:rsidR="003F26A5" w:rsidRPr="00367300" w:rsidRDefault="003F26A5" w:rsidP="00367300">
            <w:pPr>
              <w:contextualSpacing/>
              <w:rPr>
                <w:rFonts w:ascii="Times New Roman" w:hAnsi="Times New Roman" w:cs="Times New Roman"/>
                <w:b/>
                <w:bCs/>
                <w:i/>
                <w:sz w:val="24"/>
                <w:szCs w:val="24"/>
              </w:rPr>
            </w:pPr>
            <w:r w:rsidRPr="00367300">
              <w:rPr>
                <w:rFonts w:ascii="Times New Roman" w:hAnsi="Times New Roman" w:cs="Times New Roman"/>
                <w:b/>
                <w:bCs/>
                <w:i/>
                <w:sz w:val="24"/>
                <w:szCs w:val="24"/>
              </w:rPr>
              <w:t>Дополнительные системные мероприятия, обеспечивающие достижение установленных результатов (целей), направленные на развитие конкурентной среды в Новосибирской области</w:t>
            </w:r>
          </w:p>
        </w:tc>
      </w:tr>
      <w:tr w:rsidR="003F26A5" w:rsidRPr="00367300" w14:paraId="75352E2B" w14:textId="77777777" w:rsidTr="003F26A5">
        <w:trPr>
          <w:trHeight w:val="283"/>
        </w:trPr>
        <w:tc>
          <w:tcPr>
            <w:tcW w:w="5000" w:type="pct"/>
            <w:gridSpan w:val="7"/>
          </w:tcPr>
          <w:p w14:paraId="771B811D" w14:textId="77777777" w:rsidR="003F26A5" w:rsidRPr="00367300" w:rsidRDefault="003F26A5" w:rsidP="00367300">
            <w:pPr>
              <w:contextualSpacing/>
              <w:rPr>
                <w:rFonts w:ascii="Times New Roman" w:hAnsi="Times New Roman" w:cs="Times New Roman"/>
                <w:b/>
                <w:bCs/>
                <w:sz w:val="24"/>
                <w:szCs w:val="24"/>
              </w:rPr>
            </w:pPr>
            <w:r w:rsidRPr="00367300">
              <w:rPr>
                <w:rFonts w:ascii="Times New Roman" w:hAnsi="Times New Roman" w:cs="Times New Roman"/>
                <w:b/>
                <w:bCs/>
                <w:sz w:val="24"/>
                <w:szCs w:val="24"/>
              </w:rPr>
              <w:t>28. Создание условий для развития конкуренции на рынке строительства, в том числе путем создания условий максимального благоприятствования хозяйствующим субъектам при входе на рынок строительства</w:t>
            </w:r>
          </w:p>
        </w:tc>
      </w:tr>
      <w:tr w:rsidR="003F26A5" w:rsidRPr="00367300" w14:paraId="7826726E" w14:textId="77777777" w:rsidTr="003F26A5">
        <w:trPr>
          <w:gridAfter w:val="1"/>
          <w:wAfter w:w="3" w:type="pct"/>
          <w:trHeight w:val="283"/>
        </w:trPr>
        <w:tc>
          <w:tcPr>
            <w:tcW w:w="335" w:type="pct"/>
          </w:tcPr>
          <w:p w14:paraId="1439128C"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28.1</w:t>
            </w:r>
          </w:p>
        </w:tc>
        <w:tc>
          <w:tcPr>
            <w:tcW w:w="1108" w:type="pct"/>
          </w:tcPr>
          <w:p w14:paraId="6C894020"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Организация обучения </w:t>
            </w:r>
          </w:p>
          <w:p w14:paraId="686DFF76"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и повышения квалификации представителей органов власти, участвующих в осуществлении процедур, необходимых </w:t>
            </w:r>
          </w:p>
          <w:p w14:paraId="5EEE4B2D"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для получения разрешения </w:t>
            </w:r>
          </w:p>
          <w:p w14:paraId="76C6DA1B" w14:textId="77777777" w:rsidR="003F26A5" w:rsidRPr="00891093" w:rsidRDefault="003F26A5" w:rsidP="00891093">
            <w:pPr>
              <w:autoSpaceDE w:val="0"/>
              <w:autoSpaceDN w:val="0"/>
              <w:adjustRightInd w:val="0"/>
              <w:ind w:left="57" w:right="57"/>
              <w:jc w:val="both"/>
              <w:rPr>
                <w:rFonts w:ascii="Times New Roman" w:hAnsi="Times New Roman" w:cs="Times New Roman"/>
                <w:sz w:val="24"/>
                <w:szCs w:val="24"/>
              </w:rPr>
            </w:pPr>
            <w:r w:rsidRPr="00891093">
              <w:rPr>
                <w:rFonts w:ascii="Times New Roman" w:hAnsi="Times New Roman" w:cs="Times New Roman"/>
                <w:sz w:val="24"/>
                <w:szCs w:val="24"/>
              </w:rPr>
              <w:t>на строительство</w:t>
            </w:r>
          </w:p>
        </w:tc>
        <w:tc>
          <w:tcPr>
            <w:tcW w:w="723" w:type="pct"/>
          </w:tcPr>
          <w:p w14:paraId="45AA3911"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 xml:space="preserve">Повышение квалификации представителей органов власти, участвующих </w:t>
            </w:r>
          </w:p>
          <w:p w14:paraId="2E5C1360" w14:textId="77777777" w:rsidR="003F26A5" w:rsidRPr="00891093" w:rsidRDefault="003F26A5" w:rsidP="00891093">
            <w:pPr>
              <w:contextualSpacing/>
              <w:rPr>
                <w:rFonts w:ascii="Times New Roman" w:hAnsi="Times New Roman" w:cs="Times New Roman"/>
                <w:color w:val="000000"/>
                <w:sz w:val="24"/>
                <w:szCs w:val="24"/>
              </w:rPr>
            </w:pPr>
            <w:r w:rsidRPr="00891093">
              <w:rPr>
                <w:rFonts w:ascii="Times New Roman" w:hAnsi="Times New Roman" w:cs="Times New Roman"/>
                <w:sz w:val="24"/>
                <w:szCs w:val="24"/>
              </w:rPr>
              <w:t>в осуществлении процедур, необходимых для получения разрешения на строительство</w:t>
            </w:r>
          </w:p>
        </w:tc>
        <w:tc>
          <w:tcPr>
            <w:tcW w:w="337" w:type="pct"/>
          </w:tcPr>
          <w:p w14:paraId="1D600752"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Постоянно</w:t>
            </w:r>
          </w:p>
        </w:tc>
        <w:tc>
          <w:tcPr>
            <w:tcW w:w="463" w:type="pct"/>
          </w:tcPr>
          <w:p w14:paraId="0805862C" w14:textId="77777777" w:rsidR="003F26A5" w:rsidRPr="008A0E4E" w:rsidRDefault="003F26A5" w:rsidP="008A0E4E">
            <w:pPr>
              <w:contextualSpacing/>
              <w:rPr>
                <w:rFonts w:ascii="Times New Roman" w:hAnsi="Times New Roman" w:cs="Times New Roman"/>
                <w:sz w:val="24"/>
                <w:szCs w:val="24"/>
              </w:rPr>
            </w:pPr>
            <w:r w:rsidRPr="008A0E4E">
              <w:rPr>
                <w:rFonts w:ascii="Times New Roman" w:hAnsi="Times New Roman" w:cs="Times New Roman"/>
                <w:sz w:val="24"/>
                <w:szCs w:val="24"/>
              </w:rPr>
              <w:t>Минстрой НСО</w:t>
            </w:r>
          </w:p>
        </w:tc>
        <w:tc>
          <w:tcPr>
            <w:tcW w:w="2031" w:type="pct"/>
          </w:tcPr>
          <w:p w14:paraId="56F8EDFF" w14:textId="77777777" w:rsidR="003F26A5" w:rsidRPr="00FC74FE" w:rsidRDefault="003F26A5" w:rsidP="00FC74FE">
            <w:pPr>
              <w:suppressAutoHyphens/>
              <w:ind w:left="57" w:right="57" w:firstLine="340"/>
              <w:jc w:val="both"/>
              <w:rPr>
                <w:rFonts w:ascii="Times New Roman" w:hAnsi="Times New Roman" w:cs="Times New Roman"/>
                <w:sz w:val="24"/>
                <w:szCs w:val="24"/>
              </w:rPr>
            </w:pPr>
            <w:r w:rsidRPr="00FC74FE">
              <w:rPr>
                <w:rFonts w:ascii="Times New Roman" w:hAnsi="Times New Roman" w:cs="Times New Roman"/>
                <w:sz w:val="24"/>
                <w:szCs w:val="24"/>
              </w:rPr>
              <w:t xml:space="preserve">В отчетном периоде проведены совещания в формате видеоконференцсвязи: </w:t>
            </w:r>
          </w:p>
          <w:p w14:paraId="26CF2954" w14:textId="77777777" w:rsidR="003F26A5" w:rsidRPr="00367300" w:rsidRDefault="003F26A5" w:rsidP="009B4FC0">
            <w:pPr>
              <w:suppressAutoHyphens/>
              <w:ind w:left="57" w:right="57" w:firstLine="340"/>
              <w:jc w:val="both"/>
              <w:rPr>
                <w:rFonts w:ascii="Times New Roman" w:hAnsi="Times New Roman" w:cs="Times New Roman"/>
                <w:sz w:val="24"/>
                <w:szCs w:val="24"/>
              </w:rPr>
            </w:pPr>
            <w:r w:rsidRPr="009B4FC0">
              <w:rPr>
                <w:rFonts w:ascii="Times New Roman" w:hAnsi="Times New Roman" w:cs="Times New Roman"/>
                <w:sz w:val="24"/>
                <w:szCs w:val="24"/>
              </w:rPr>
              <w:t>1. «Изменение градостроительного законодательства. Практика применения» с представителями администраций муниципальных районов и городских округов Новосибирской области, 6</w:t>
            </w:r>
            <w:r w:rsidRPr="00367300">
              <w:rPr>
                <w:rFonts w:ascii="Times New Roman" w:hAnsi="Times New Roman" w:cs="Times New Roman"/>
                <w:sz w:val="24"/>
                <w:szCs w:val="24"/>
              </w:rPr>
              <w:t xml:space="preserve"> июня 2019 года.</w:t>
            </w:r>
          </w:p>
          <w:p w14:paraId="74713F3F" w14:textId="77777777" w:rsidR="003F26A5" w:rsidRPr="00367300" w:rsidRDefault="003F26A5">
            <w:pPr>
              <w:suppressAutoHyphens/>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2. «Осуществление полномочий в области контроля за соблюдением органами местного самоуправления законодательства о градостроительной деятельности, организации и проведении государственной экспертизы проектной документации и результатов инженерных изысканий», 21 августа 2019 года.</w:t>
            </w:r>
          </w:p>
          <w:p w14:paraId="37945BE2" w14:textId="225BB378" w:rsidR="003F26A5" w:rsidRPr="00367300" w:rsidRDefault="003F26A5">
            <w:pPr>
              <w:suppressAutoHyphens/>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3. «Предоставление органами местного самоуправления муниципальных услуг в сфере строительства»,</w:t>
            </w:r>
            <w:r w:rsidR="000C0FC6" w:rsidRPr="00367300">
              <w:rPr>
                <w:rFonts w:ascii="Times New Roman" w:hAnsi="Times New Roman" w:cs="Times New Roman"/>
                <w:sz w:val="24"/>
                <w:szCs w:val="24"/>
              </w:rPr>
              <w:t xml:space="preserve"> </w:t>
            </w:r>
            <w:r w:rsidRPr="00367300">
              <w:rPr>
                <w:rFonts w:ascii="Times New Roman" w:hAnsi="Times New Roman" w:cs="Times New Roman"/>
                <w:sz w:val="24"/>
                <w:szCs w:val="24"/>
              </w:rPr>
              <w:t>10 декабря 2019 года.</w:t>
            </w:r>
          </w:p>
          <w:p w14:paraId="5195BAA7" w14:textId="0C5BCD43" w:rsidR="003F26A5" w:rsidRPr="00367300" w:rsidRDefault="003F26A5">
            <w:pPr>
              <w:suppressAutoHyphens/>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4. «Снос объектов капитального строительства», 12</w:t>
            </w:r>
            <w:r w:rsidR="000C0FC6" w:rsidRPr="00367300">
              <w:rPr>
                <w:rFonts w:ascii="Times New Roman" w:hAnsi="Times New Roman" w:cs="Times New Roman"/>
                <w:sz w:val="24"/>
                <w:szCs w:val="24"/>
              </w:rPr>
              <w:t> </w:t>
            </w:r>
            <w:r w:rsidRPr="00367300">
              <w:rPr>
                <w:rFonts w:ascii="Times New Roman" w:hAnsi="Times New Roman" w:cs="Times New Roman"/>
                <w:sz w:val="24"/>
                <w:szCs w:val="24"/>
              </w:rPr>
              <w:t>декабря 2019 года.</w:t>
            </w:r>
          </w:p>
        </w:tc>
      </w:tr>
      <w:tr w:rsidR="003F26A5" w:rsidRPr="00367300" w14:paraId="27269572" w14:textId="77777777" w:rsidTr="003F26A5">
        <w:trPr>
          <w:gridAfter w:val="1"/>
          <w:wAfter w:w="3" w:type="pct"/>
          <w:trHeight w:val="283"/>
        </w:trPr>
        <w:tc>
          <w:tcPr>
            <w:tcW w:w="335" w:type="pct"/>
          </w:tcPr>
          <w:p w14:paraId="7600D706"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28.2</w:t>
            </w:r>
          </w:p>
        </w:tc>
        <w:tc>
          <w:tcPr>
            <w:tcW w:w="1108" w:type="pct"/>
          </w:tcPr>
          <w:p w14:paraId="19460522"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Размещение на сайте министерства строительства Новосибирской области актуальной информации </w:t>
            </w:r>
          </w:p>
          <w:p w14:paraId="2E3F97E2"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о прохождении процедур, необходимых для получения разрешения на строительство</w:t>
            </w:r>
          </w:p>
        </w:tc>
        <w:tc>
          <w:tcPr>
            <w:tcW w:w="723" w:type="pct"/>
          </w:tcPr>
          <w:p w14:paraId="58B28B39" w14:textId="77777777" w:rsidR="003F26A5" w:rsidRPr="00891093" w:rsidRDefault="003F26A5" w:rsidP="00367300">
            <w:pPr>
              <w:contextualSpacing/>
              <w:rPr>
                <w:rFonts w:ascii="Times New Roman" w:hAnsi="Times New Roman" w:cs="Times New Roman"/>
                <w:color w:val="000000"/>
                <w:sz w:val="24"/>
                <w:szCs w:val="24"/>
              </w:rPr>
            </w:pPr>
            <w:r w:rsidRPr="00367300">
              <w:rPr>
                <w:rFonts w:ascii="Times New Roman" w:hAnsi="Times New Roman" w:cs="Times New Roman"/>
                <w:sz w:val="24"/>
                <w:szCs w:val="24"/>
              </w:rPr>
              <w:t>Повышение информированности получателей услуги о выдаче разрешения на строительство пу</w:t>
            </w:r>
            <w:r w:rsidRPr="00891093">
              <w:rPr>
                <w:rFonts w:ascii="Times New Roman" w:hAnsi="Times New Roman" w:cs="Times New Roman"/>
                <w:sz w:val="24"/>
                <w:szCs w:val="24"/>
              </w:rPr>
              <w:t xml:space="preserve">тем обеспечения </w:t>
            </w:r>
            <w:r w:rsidRPr="00891093">
              <w:rPr>
                <w:rFonts w:ascii="Times New Roman" w:hAnsi="Times New Roman" w:cs="Times New Roman"/>
                <w:sz w:val="24"/>
                <w:szCs w:val="24"/>
              </w:rPr>
              <w:lastRenderedPageBreak/>
              <w:t>актуального информационного материала</w:t>
            </w:r>
          </w:p>
        </w:tc>
        <w:tc>
          <w:tcPr>
            <w:tcW w:w="337" w:type="pct"/>
          </w:tcPr>
          <w:p w14:paraId="5493E68B"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lastRenderedPageBreak/>
              <w:t>Постоянно</w:t>
            </w:r>
          </w:p>
        </w:tc>
        <w:tc>
          <w:tcPr>
            <w:tcW w:w="463" w:type="pct"/>
          </w:tcPr>
          <w:p w14:paraId="49003E5C" w14:textId="77777777" w:rsidR="003F26A5" w:rsidRPr="008A0E4E" w:rsidRDefault="003F26A5" w:rsidP="00891093">
            <w:pPr>
              <w:contextualSpacing/>
              <w:rPr>
                <w:rFonts w:ascii="Times New Roman" w:hAnsi="Times New Roman" w:cs="Times New Roman"/>
                <w:sz w:val="24"/>
                <w:szCs w:val="24"/>
              </w:rPr>
            </w:pPr>
            <w:r w:rsidRPr="008A0E4E">
              <w:rPr>
                <w:rFonts w:ascii="Times New Roman" w:hAnsi="Times New Roman" w:cs="Times New Roman"/>
                <w:sz w:val="24"/>
                <w:szCs w:val="24"/>
              </w:rPr>
              <w:t xml:space="preserve">Минстрой НСО </w:t>
            </w:r>
          </w:p>
        </w:tc>
        <w:tc>
          <w:tcPr>
            <w:tcW w:w="2031" w:type="pct"/>
          </w:tcPr>
          <w:p w14:paraId="29651D6D" w14:textId="77777777" w:rsidR="003F26A5" w:rsidRPr="009B4FC0" w:rsidRDefault="003F26A5" w:rsidP="00891093">
            <w:pPr>
              <w:ind w:left="57" w:right="57" w:firstLine="340"/>
              <w:contextualSpacing/>
              <w:jc w:val="both"/>
              <w:rPr>
                <w:rFonts w:ascii="Times New Roman" w:hAnsi="Times New Roman" w:cs="Times New Roman"/>
                <w:sz w:val="24"/>
                <w:szCs w:val="24"/>
              </w:rPr>
            </w:pPr>
            <w:r w:rsidRPr="00FC74FE">
              <w:rPr>
                <w:rFonts w:ascii="Times New Roman" w:hAnsi="Times New Roman" w:cs="Times New Roman"/>
                <w:sz w:val="24"/>
                <w:szCs w:val="24"/>
              </w:rPr>
              <w:t>Проведена актуализация на сайте министерства строительства Новосибирской области «калькулятора процедур» демонстрирующего последовательность прохождения процедур, в зависимости от типа, вида и особе</w:t>
            </w:r>
            <w:r w:rsidRPr="009B4FC0">
              <w:rPr>
                <w:rFonts w:ascii="Times New Roman" w:hAnsi="Times New Roman" w:cs="Times New Roman"/>
                <w:sz w:val="24"/>
                <w:szCs w:val="24"/>
              </w:rPr>
              <w:t>нности строительства проекта, получения разрешения на строительство объекта капитального строительства.</w:t>
            </w:r>
          </w:p>
        </w:tc>
      </w:tr>
      <w:tr w:rsidR="003F26A5" w:rsidRPr="00367300" w14:paraId="4A82E1DF" w14:textId="77777777" w:rsidTr="003F26A5">
        <w:trPr>
          <w:trHeight w:val="283"/>
        </w:trPr>
        <w:tc>
          <w:tcPr>
            <w:tcW w:w="5000" w:type="pct"/>
            <w:gridSpan w:val="7"/>
          </w:tcPr>
          <w:p w14:paraId="0E400EC2" w14:textId="77777777" w:rsidR="003F26A5" w:rsidRPr="00367300" w:rsidRDefault="003F26A5" w:rsidP="00367300">
            <w:pPr>
              <w:contextualSpacing/>
              <w:rPr>
                <w:rFonts w:ascii="Times New Roman" w:hAnsi="Times New Roman" w:cs="Times New Roman"/>
                <w:b/>
                <w:sz w:val="24"/>
                <w:szCs w:val="24"/>
              </w:rPr>
            </w:pPr>
            <w:r w:rsidRPr="00367300">
              <w:rPr>
                <w:rFonts w:ascii="Times New Roman" w:hAnsi="Times New Roman" w:cs="Times New Roman"/>
                <w:b/>
                <w:sz w:val="24"/>
                <w:szCs w:val="24"/>
              </w:rPr>
              <w:t>29. Создание и реализация механизмов общественного контроля за деятельностью субъектов естественных монополий, повышение уровня информированности субъектов предпринимательской деятельности и потребителей товаров, работ, услуг о деятельности субъектов естественных монополий</w:t>
            </w:r>
          </w:p>
        </w:tc>
      </w:tr>
      <w:tr w:rsidR="003F26A5" w:rsidRPr="00367300" w14:paraId="47716CC5" w14:textId="77777777" w:rsidTr="003F26A5">
        <w:trPr>
          <w:gridAfter w:val="1"/>
          <w:wAfter w:w="3" w:type="pct"/>
          <w:trHeight w:val="283"/>
        </w:trPr>
        <w:tc>
          <w:tcPr>
            <w:tcW w:w="335" w:type="pct"/>
          </w:tcPr>
          <w:p w14:paraId="1A200719"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29.1</w:t>
            </w:r>
          </w:p>
        </w:tc>
        <w:tc>
          <w:tcPr>
            <w:tcW w:w="1108" w:type="pct"/>
          </w:tcPr>
          <w:p w14:paraId="59BD10D0"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Проведение заседаний межотраслевого совета потребителей по вопросам деятельности субъектов естественных монополий </w:t>
            </w:r>
          </w:p>
          <w:p w14:paraId="453AE762"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при Губернаторе Новосибирской области</w:t>
            </w:r>
          </w:p>
        </w:tc>
        <w:tc>
          <w:tcPr>
            <w:tcW w:w="723" w:type="pct"/>
          </w:tcPr>
          <w:p w14:paraId="7FCB830C" w14:textId="77777777" w:rsidR="003F26A5" w:rsidRPr="00367300" w:rsidRDefault="003F26A5" w:rsidP="00367300">
            <w:pPr>
              <w:autoSpaceDE w:val="0"/>
              <w:autoSpaceDN w:val="0"/>
              <w:adjustRightInd w:val="0"/>
              <w:rPr>
                <w:rFonts w:ascii="Times New Roman" w:hAnsi="Times New Roman" w:cs="Times New Roman"/>
                <w:sz w:val="24"/>
                <w:szCs w:val="24"/>
              </w:rPr>
            </w:pPr>
            <w:r w:rsidRPr="00367300">
              <w:rPr>
                <w:rFonts w:ascii="Times New Roman" w:hAnsi="Times New Roman" w:cs="Times New Roman"/>
                <w:sz w:val="24"/>
                <w:szCs w:val="24"/>
              </w:rPr>
              <w:t xml:space="preserve">Осуществление общественного контроля </w:t>
            </w:r>
          </w:p>
          <w:p w14:paraId="3D6F6B81"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за деятельностью субъектов естественных монополий, осуществляющих деятельность на территории Новосибирской области</w:t>
            </w:r>
          </w:p>
        </w:tc>
        <w:tc>
          <w:tcPr>
            <w:tcW w:w="337" w:type="pct"/>
          </w:tcPr>
          <w:p w14:paraId="767C0F59"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 xml:space="preserve">Не реже одного раза </w:t>
            </w:r>
          </w:p>
          <w:p w14:paraId="1065C138" w14:textId="77777777" w:rsidR="003F26A5" w:rsidRPr="00891093" w:rsidRDefault="003F26A5" w:rsidP="00891093">
            <w:pPr>
              <w:contextualSpacing/>
              <w:rPr>
                <w:rFonts w:ascii="Times New Roman" w:hAnsi="Times New Roman" w:cs="Times New Roman"/>
                <w:bCs/>
                <w:sz w:val="24"/>
                <w:szCs w:val="24"/>
              </w:rPr>
            </w:pPr>
            <w:r w:rsidRPr="00891093">
              <w:rPr>
                <w:rFonts w:ascii="Times New Roman" w:hAnsi="Times New Roman" w:cs="Times New Roman"/>
                <w:bCs/>
                <w:sz w:val="24"/>
                <w:szCs w:val="24"/>
              </w:rPr>
              <w:t>в полугодие</w:t>
            </w:r>
          </w:p>
        </w:tc>
        <w:tc>
          <w:tcPr>
            <w:tcW w:w="463" w:type="pct"/>
          </w:tcPr>
          <w:p w14:paraId="2AB24CCC" w14:textId="77777777" w:rsidR="003F26A5" w:rsidRPr="00891093" w:rsidRDefault="003F26A5" w:rsidP="00891093">
            <w:pPr>
              <w:shd w:val="clear" w:color="auto" w:fill="FFFFFF"/>
              <w:rPr>
                <w:rFonts w:ascii="Times New Roman" w:hAnsi="Times New Roman" w:cs="Times New Roman"/>
                <w:sz w:val="24"/>
                <w:szCs w:val="24"/>
              </w:rPr>
            </w:pPr>
            <w:r w:rsidRPr="00891093">
              <w:rPr>
                <w:rFonts w:ascii="Times New Roman" w:hAnsi="Times New Roman" w:cs="Times New Roman"/>
                <w:sz w:val="24"/>
                <w:szCs w:val="24"/>
              </w:rPr>
              <w:t>Департамент по тарифам НСО</w:t>
            </w:r>
          </w:p>
        </w:tc>
        <w:tc>
          <w:tcPr>
            <w:tcW w:w="2031" w:type="pct"/>
          </w:tcPr>
          <w:p w14:paraId="15390494" w14:textId="1D9F9AB4" w:rsidR="003F26A5" w:rsidRPr="00367300" w:rsidRDefault="003F26A5" w:rsidP="008A0E4E">
            <w:pPr>
              <w:autoSpaceDE w:val="0"/>
              <w:autoSpaceDN w:val="0"/>
              <w:adjustRightInd w:val="0"/>
              <w:ind w:left="57" w:right="57" w:firstLine="340"/>
              <w:jc w:val="both"/>
              <w:rPr>
                <w:rFonts w:ascii="Times New Roman" w:hAnsi="Times New Roman" w:cs="Times New Roman"/>
                <w:sz w:val="24"/>
                <w:szCs w:val="24"/>
              </w:rPr>
            </w:pPr>
            <w:r w:rsidRPr="008A0E4E">
              <w:rPr>
                <w:rFonts w:ascii="Times New Roman" w:hAnsi="Times New Roman" w:cs="Times New Roman"/>
                <w:sz w:val="24"/>
                <w:szCs w:val="24"/>
              </w:rPr>
              <w:t>В 2019 году прошл</w:t>
            </w:r>
            <w:r w:rsidRPr="005C70ED">
              <w:rPr>
                <w:rFonts w:ascii="Times New Roman" w:hAnsi="Times New Roman" w:cs="Times New Roman"/>
                <w:sz w:val="24"/>
                <w:szCs w:val="24"/>
              </w:rPr>
              <w:t>и 2 заседания межотраслевого совета потребителей по вопросам деятельности субъектов естественных монополий при Губернаторе Новосибирской области (04.06.2019, 13.11.2019). На заседаниях межотраслевого совета было рассмотрено 15</w:t>
            </w:r>
            <w:r w:rsidR="000C0FC6" w:rsidRPr="00FC74FE">
              <w:rPr>
                <w:rFonts w:ascii="Times New Roman" w:hAnsi="Times New Roman" w:cs="Times New Roman"/>
                <w:sz w:val="24"/>
                <w:szCs w:val="24"/>
              </w:rPr>
              <w:t> </w:t>
            </w:r>
            <w:r w:rsidRPr="00367300">
              <w:rPr>
                <w:rFonts w:ascii="Times New Roman" w:hAnsi="Times New Roman" w:cs="Times New Roman"/>
                <w:sz w:val="24"/>
                <w:szCs w:val="24"/>
              </w:rPr>
              <w:t>вопросов, в том числе 14 вопросов о рассмотрении инвестиционных программ (корректировке инвестиционных программ) в области водоснабжения, водоотведения, теплоснабжения и электроэнергетики, 1</w:t>
            </w:r>
            <w:r w:rsidR="000C0FC6" w:rsidRPr="00367300">
              <w:rPr>
                <w:rFonts w:ascii="Times New Roman" w:hAnsi="Times New Roman" w:cs="Times New Roman"/>
                <w:sz w:val="24"/>
                <w:szCs w:val="24"/>
              </w:rPr>
              <w:t> </w:t>
            </w:r>
            <w:r w:rsidRPr="00367300">
              <w:rPr>
                <w:rFonts w:ascii="Times New Roman" w:hAnsi="Times New Roman" w:cs="Times New Roman"/>
                <w:sz w:val="24"/>
                <w:szCs w:val="24"/>
              </w:rPr>
              <w:t>отчет об исполнении инвестиционных программ.</w:t>
            </w:r>
          </w:p>
        </w:tc>
      </w:tr>
      <w:tr w:rsidR="003F26A5" w:rsidRPr="00367300" w14:paraId="76BC35AC" w14:textId="77777777" w:rsidTr="003F26A5">
        <w:trPr>
          <w:gridAfter w:val="1"/>
          <w:wAfter w:w="3" w:type="pct"/>
          <w:trHeight w:val="283"/>
        </w:trPr>
        <w:tc>
          <w:tcPr>
            <w:tcW w:w="335" w:type="pct"/>
          </w:tcPr>
          <w:p w14:paraId="65669496"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29.2</w:t>
            </w:r>
          </w:p>
        </w:tc>
        <w:tc>
          <w:tcPr>
            <w:tcW w:w="1108" w:type="pct"/>
          </w:tcPr>
          <w:p w14:paraId="2B5F2239"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Доработка ГИС НСО «Электронная демократия Новосибирской области» в части разработки нового раздела «Межотраслевой совет потребителей по вопросам деятельности субъектов естественных монополий </w:t>
            </w:r>
          </w:p>
          <w:p w14:paraId="7BB0B57A"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при Губернаторе Новосибирской области», предназначенного </w:t>
            </w:r>
          </w:p>
          <w:p w14:paraId="452F022E" w14:textId="77777777" w:rsidR="003F26A5" w:rsidRPr="00891093"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для проведения общественных </w:t>
            </w:r>
            <w:r w:rsidRPr="00891093">
              <w:rPr>
                <w:rFonts w:ascii="Times New Roman" w:hAnsi="Times New Roman" w:cs="Times New Roman"/>
                <w:sz w:val="24"/>
                <w:szCs w:val="24"/>
              </w:rPr>
              <w:t xml:space="preserve">обсуждений проектов инвестиционных программ </w:t>
            </w:r>
          </w:p>
          <w:p w14:paraId="3773781A" w14:textId="77777777" w:rsidR="003F26A5" w:rsidRPr="00891093" w:rsidRDefault="003F26A5" w:rsidP="00891093">
            <w:pPr>
              <w:autoSpaceDE w:val="0"/>
              <w:autoSpaceDN w:val="0"/>
              <w:adjustRightInd w:val="0"/>
              <w:ind w:left="57" w:right="57"/>
              <w:jc w:val="both"/>
              <w:rPr>
                <w:rFonts w:ascii="Times New Roman" w:hAnsi="Times New Roman" w:cs="Times New Roman"/>
                <w:sz w:val="24"/>
                <w:szCs w:val="24"/>
              </w:rPr>
            </w:pPr>
            <w:r w:rsidRPr="00891093">
              <w:rPr>
                <w:rFonts w:ascii="Times New Roman" w:hAnsi="Times New Roman" w:cs="Times New Roman"/>
                <w:sz w:val="24"/>
                <w:szCs w:val="24"/>
              </w:rPr>
              <w:lastRenderedPageBreak/>
              <w:t xml:space="preserve">и вопросов установления (изменения) тарифов на товары </w:t>
            </w:r>
          </w:p>
          <w:p w14:paraId="63D34BAB" w14:textId="77777777" w:rsidR="003F26A5" w:rsidRPr="00891093" w:rsidRDefault="003F26A5" w:rsidP="00891093">
            <w:pPr>
              <w:autoSpaceDE w:val="0"/>
              <w:autoSpaceDN w:val="0"/>
              <w:adjustRightInd w:val="0"/>
              <w:ind w:left="57" w:right="57"/>
              <w:jc w:val="both"/>
              <w:rPr>
                <w:rFonts w:ascii="Times New Roman" w:hAnsi="Times New Roman" w:cs="Times New Roman"/>
                <w:sz w:val="24"/>
                <w:szCs w:val="24"/>
              </w:rPr>
            </w:pPr>
            <w:r w:rsidRPr="00891093">
              <w:rPr>
                <w:rFonts w:ascii="Times New Roman" w:hAnsi="Times New Roman" w:cs="Times New Roman"/>
                <w:sz w:val="24"/>
                <w:szCs w:val="24"/>
              </w:rPr>
              <w:t>и услуги субъектов естественных монополий</w:t>
            </w:r>
          </w:p>
        </w:tc>
        <w:tc>
          <w:tcPr>
            <w:tcW w:w="723" w:type="pct"/>
          </w:tcPr>
          <w:p w14:paraId="3C0AD13D"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lastRenderedPageBreak/>
              <w:t xml:space="preserve">Доведение позиции потребителей до сведения ОИОГВ НСО, уполномоченных на утверждение инвестиционных программ субъектов естественных монополий </w:t>
            </w:r>
          </w:p>
          <w:p w14:paraId="0609DD24"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 xml:space="preserve">и осуществление контроля их реализации, разработку проектов </w:t>
            </w:r>
            <w:r w:rsidRPr="00891093">
              <w:rPr>
                <w:rFonts w:ascii="Times New Roman" w:hAnsi="Times New Roman" w:cs="Times New Roman"/>
                <w:sz w:val="24"/>
                <w:szCs w:val="24"/>
              </w:rPr>
              <w:lastRenderedPageBreak/>
              <w:t>стратегических документов Новосибирской области, осуществление государственного регулирования цен (тарифов) на товары и услуги субъектов естественных монополий.</w:t>
            </w:r>
          </w:p>
          <w:p w14:paraId="43756899" w14:textId="77777777" w:rsidR="003F26A5" w:rsidRPr="00FC74FE" w:rsidRDefault="003F26A5" w:rsidP="008A0E4E">
            <w:pPr>
              <w:contextualSpacing/>
              <w:rPr>
                <w:rFonts w:ascii="Times New Roman" w:hAnsi="Times New Roman" w:cs="Times New Roman"/>
                <w:sz w:val="24"/>
                <w:szCs w:val="24"/>
              </w:rPr>
            </w:pPr>
            <w:r w:rsidRPr="008A0E4E">
              <w:rPr>
                <w:rFonts w:ascii="Times New Roman" w:hAnsi="Times New Roman" w:cs="Times New Roman"/>
                <w:sz w:val="24"/>
                <w:szCs w:val="24"/>
              </w:rPr>
              <w:t>Достижение баланса интере</w:t>
            </w:r>
            <w:r w:rsidRPr="00FC74FE">
              <w:rPr>
                <w:rFonts w:ascii="Times New Roman" w:hAnsi="Times New Roman" w:cs="Times New Roman"/>
                <w:sz w:val="24"/>
                <w:szCs w:val="24"/>
              </w:rPr>
              <w:t>сов потребителей и субъектов естественных монополий, обеспечивающего доступность реализуемых субъектами естественных монополий товаров и услуг для потребителей</w:t>
            </w:r>
          </w:p>
        </w:tc>
        <w:tc>
          <w:tcPr>
            <w:tcW w:w="337" w:type="pct"/>
          </w:tcPr>
          <w:p w14:paraId="0A3A8A1B" w14:textId="77777777" w:rsidR="003F26A5" w:rsidRPr="00367300" w:rsidRDefault="003F26A5" w:rsidP="00FC74FE">
            <w:pPr>
              <w:contextualSpacing/>
              <w:rPr>
                <w:rFonts w:ascii="Times New Roman" w:hAnsi="Times New Roman" w:cs="Times New Roman"/>
                <w:sz w:val="24"/>
                <w:szCs w:val="24"/>
              </w:rPr>
            </w:pPr>
            <w:r w:rsidRPr="009B4FC0">
              <w:rPr>
                <w:rFonts w:ascii="Times New Roman" w:hAnsi="Times New Roman" w:cs="Times New Roman"/>
                <w:bCs/>
                <w:sz w:val="24"/>
                <w:szCs w:val="24"/>
              </w:rPr>
              <w:lastRenderedPageBreak/>
              <w:t>2019-2020 годы</w:t>
            </w:r>
          </w:p>
        </w:tc>
        <w:tc>
          <w:tcPr>
            <w:tcW w:w="463" w:type="pct"/>
          </w:tcPr>
          <w:p w14:paraId="02D0DD18" w14:textId="77777777" w:rsidR="003F26A5" w:rsidRPr="00367300" w:rsidRDefault="003F26A5" w:rsidP="009B4FC0">
            <w:pPr>
              <w:shd w:val="clear" w:color="auto" w:fill="FFFFFF"/>
              <w:rPr>
                <w:rFonts w:ascii="Times New Roman" w:hAnsi="Times New Roman" w:cs="Times New Roman"/>
                <w:sz w:val="24"/>
                <w:szCs w:val="24"/>
              </w:rPr>
            </w:pPr>
            <w:r w:rsidRPr="00367300">
              <w:rPr>
                <w:rFonts w:ascii="Times New Roman" w:hAnsi="Times New Roman" w:cs="Times New Roman"/>
                <w:sz w:val="24"/>
                <w:szCs w:val="24"/>
              </w:rPr>
              <w:t>Департамент по тарифам НСО, Минцифра НСО</w:t>
            </w:r>
          </w:p>
        </w:tc>
        <w:tc>
          <w:tcPr>
            <w:tcW w:w="2031" w:type="pct"/>
          </w:tcPr>
          <w:p w14:paraId="21BE8670" w14:textId="77777777" w:rsidR="003F26A5" w:rsidRPr="00367300" w:rsidRDefault="003F26A5">
            <w:pPr>
              <w:shd w:val="clear" w:color="auto" w:fill="FFFFFF"/>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Министерство цифрового развития и связи Новосибирской области обеспечило разработку и тестирование нового раздела ГИС НСО «Электронная демократия Новосибирской области». Раздел будет опубликован в первом полугодии 2020 года</w:t>
            </w:r>
            <w:r w:rsidRPr="00367300" w:rsidDel="00974B63">
              <w:rPr>
                <w:rFonts w:ascii="Times New Roman" w:hAnsi="Times New Roman" w:cs="Times New Roman"/>
                <w:sz w:val="24"/>
                <w:szCs w:val="24"/>
              </w:rPr>
              <w:t xml:space="preserve"> </w:t>
            </w:r>
            <w:r w:rsidRPr="00367300">
              <w:rPr>
                <w:rFonts w:ascii="Times New Roman" w:hAnsi="Times New Roman" w:cs="Times New Roman"/>
                <w:sz w:val="24"/>
                <w:szCs w:val="24"/>
              </w:rPr>
              <w:t xml:space="preserve">после размещения в нем первого проекта инвестиционной </w:t>
            </w:r>
            <w:r w:rsidR="0034170A" w:rsidRPr="00367300">
              <w:rPr>
                <w:rFonts w:ascii="Times New Roman" w:hAnsi="Times New Roman" w:cs="Times New Roman"/>
                <w:sz w:val="24"/>
                <w:szCs w:val="24"/>
              </w:rPr>
              <w:t>программы для</w:t>
            </w:r>
            <w:r w:rsidRPr="00367300">
              <w:rPr>
                <w:rFonts w:ascii="Times New Roman" w:hAnsi="Times New Roman" w:cs="Times New Roman"/>
                <w:sz w:val="24"/>
                <w:szCs w:val="24"/>
              </w:rPr>
              <w:t xml:space="preserve"> его общественного обсуждения перед проведением очередного </w:t>
            </w:r>
            <w:r w:rsidR="0034170A" w:rsidRPr="00367300">
              <w:rPr>
                <w:rFonts w:ascii="Times New Roman" w:hAnsi="Times New Roman" w:cs="Times New Roman"/>
                <w:sz w:val="24"/>
                <w:szCs w:val="24"/>
              </w:rPr>
              <w:t>заседания межотраслевого</w:t>
            </w:r>
            <w:r w:rsidRPr="00367300">
              <w:rPr>
                <w:rFonts w:ascii="Times New Roman" w:hAnsi="Times New Roman" w:cs="Times New Roman"/>
                <w:sz w:val="24"/>
                <w:szCs w:val="24"/>
              </w:rPr>
              <w:t xml:space="preserve"> совета потребителей по вопросам деятельности субъектов естественных монополий при Губернаторе Новосибирской области.</w:t>
            </w:r>
          </w:p>
          <w:p w14:paraId="25382A51" w14:textId="77777777" w:rsidR="003F26A5" w:rsidRPr="00367300" w:rsidRDefault="003F26A5">
            <w:pPr>
              <w:shd w:val="clear" w:color="auto" w:fill="FFFFFF"/>
              <w:rPr>
                <w:rFonts w:ascii="Times New Roman" w:hAnsi="Times New Roman" w:cs="Times New Roman"/>
                <w:sz w:val="24"/>
                <w:szCs w:val="24"/>
              </w:rPr>
            </w:pPr>
          </w:p>
        </w:tc>
      </w:tr>
      <w:tr w:rsidR="003F26A5" w:rsidRPr="00367300" w14:paraId="758B3BAF" w14:textId="77777777" w:rsidTr="003F26A5">
        <w:trPr>
          <w:gridAfter w:val="1"/>
          <w:wAfter w:w="3" w:type="pct"/>
          <w:trHeight w:val="283"/>
        </w:trPr>
        <w:tc>
          <w:tcPr>
            <w:tcW w:w="335" w:type="pct"/>
          </w:tcPr>
          <w:p w14:paraId="2D63F5EE"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29.3</w:t>
            </w:r>
          </w:p>
        </w:tc>
        <w:tc>
          <w:tcPr>
            <w:tcW w:w="1108" w:type="pct"/>
          </w:tcPr>
          <w:p w14:paraId="6EDE7B68"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Обеспечение контроля </w:t>
            </w:r>
          </w:p>
          <w:p w14:paraId="68313DB7"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за раскрытием информации </w:t>
            </w:r>
          </w:p>
          <w:p w14:paraId="441975EA"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и деятельностью субъектов естественных монополий (в рамках полномочий, закрепленных законодательством Российской Федерации)</w:t>
            </w:r>
          </w:p>
        </w:tc>
        <w:tc>
          <w:tcPr>
            <w:tcW w:w="723" w:type="pct"/>
          </w:tcPr>
          <w:p w14:paraId="1FCD6315"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Раскрытие информации и деятельности субъектов естественных монополий</w:t>
            </w:r>
          </w:p>
        </w:tc>
        <w:tc>
          <w:tcPr>
            <w:tcW w:w="337" w:type="pct"/>
          </w:tcPr>
          <w:p w14:paraId="255EE4A3"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Постоянно</w:t>
            </w:r>
          </w:p>
        </w:tc>
        <w:tc>
          <w:tcPr>
            <w:tcW w:w="463" w:type="pct"/>
          </w:tcPr>
          <w:p w14:paraId="44760A0C"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ОИОГВ НСО</w:t>
            </w:r>
          </w:p>
        </w:tc>
        <w:tc>
          <w:tcPr>
            <w:tcW w:w="2031" w:type="pct"/>
          </w:tcPr>
          <w:p w14:paraId="7F6C371C" w14:textId="77777777" w:rsidR="003F26A5" w:rsidRPr="00FC74FE" w:rsidRDefault="003F26A5" w:rsidP="00891093">
            <w:pPr>
              <w:ind w:left="57" w:right="57" w:firstLine="340"/>
              <w:contextualSpacing/>
              <w:jc w:val="both"/>
              <w:rPr>
                <w:rFonts w:ascii="Times New Roman" w:hAnsi="Times New Roman" w:cs="Times New Roman"/>
                <w:sz w:val="24"/>
                <w:szCs w:val="24"/>
              </w:rPr>
            </w:pPr>
            <w:r w:rsidRPr="00891093">
              <w:rPr>
                <w:rFonts w:ascii="Times New Roman" w:hAnsi="Times New Roman" w:cs="Times New Roman"/>
                <w:sz w:val="24"/>
                <w:szCs w:val="24"/>
              </w:rPr>
              <w:t>Областными исполнительными органами государственной власти Новосибирской области на постоянной основе обеспечивается контроль за раскрытием информации о деятельности субъектов естественных монополий в курируемых сферах деятельности, осуществляющих деятельность на территории Новосибирской области в преде</w:t>
            </w:r>
            <w:r w:rsidRPr="008A0E4E">
              <w:rPr>
                <w:rFonts w:ascii="Times New Roman" w:hAnsi="Times New Roman" w:cs="Times New Roman"/>
                <w:sz w:val="24"/>
                <w:szCs w:val="24"/>
              </w:rPr>
              <w:t>лах норм законодательства РФ</w:t>
            </w:r>
            <w:r w:rsidR="0034170A" w:rsidRPr="00FC74FE">
              <w:rPr>
                <w:rFonts w:ascii="Times New Roman" w:hAnsi="Times New Roman" w:cs="Times New Roman"/>
                <w:sz w:val="24"/>
                <w:szCs w:val="24"/>
              </w:rPr>
              <w:t>.</w:t>
            </w:r>
          </w:p>
        </w:tc>
      </w:tr>
      <w:tr w:rsidR="003F26A5" w:rsidRPr="00367300" w14:paraId="7E446584" w14:textId="77777777" w:rsidTr="003F26A5">
        <w:trPr>
          <w:gridAfter w:val="1"/>
          <w:wAfter w:w="3" w:type="pct"/>
          <w:trHeight w:val="283"/>
        </w:trPr>
        <w:tc>
          <w:tcPr>
            <w:tcW w:w="335" w:type="pct"/>
          </w:tcPr>
          <w:p w14:paraId="797D94FE"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29.4</w:t>
            </w:r>
          </w:p>
        </w:tc>
        <w:tc>
          <w:tcPr>
            <w:tcW w:w="1108" w:type="pct"/>
          </w:tcPr>
          <w:p w14:paraId="61C9CE2E"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Обеспечение доступности</w:t>
            </w:r>
          </w:p>
          <w:p w14:paraId="15F7A8EF"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и наглядности в сети «Интернет» информации о свободных резервах трансформаторной мощности </w:t>
            </w:r>
          </w:p>
          <w:p w14:paraId="591893B7"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с указанием и отображением </w:t>
            </w:r>
          </w:p>
          <w:p w14:paraId="1EE7CAD8" w14:textId="77777777" w:rsidR="003F26A5" w:rsidRPr="00891093" w:rsidRDefault="003F26A5" w:rsidP="00891093">
            <w:pPr>
              <w:autoSpaceDE w:val="0"/>
              <w:autoSpaceDN w:val="0"/>
              <w:adjustRightInd w:val="0"/>
              <w:ind w:left="57" w:right="57"/>
              <w:jc w:val="both"/>
              <w:rPr>
                <w:rFonts w:ascii="Times New Roman" w:hAnsi="Times New Roman" w:cs="Times New Roman"/>
                <w:sz w:val="24"/>
                <w:szCs w:val="24"/>
                <w:highlight w:val="yellow"/>
              </w:rPr>
            </w:pPr>
            <w:r w:rsidRPr="00891093">
              <w:rPr>
                <w:rFonts w:ascii="Times New Roman" w:hAnsi="Times New Roman" w:cs="Times New Roman"/>
                <w:sz w:val="24"/>
                <w:szCs w:val="24"/>
              </w:rPr>
              <w:t>на Инвестиционной карте Новосибирской области ориентировочного места подключения (технологического присоединения) к сетям территориальных сетевых организаций 35-110 кВ</w:t>
            </w:r>
          </w:p>
        </w:tc>
        <w:tc>
          <w:tcPr>
            <w:tcW w:w="723" w:type="pct"/>
          </w:tcPr>
          <w:p w14:paraId="3D5D8182"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 xml:space="preserve">Доступность и наглядность </w:t>
            </w:r>
          </w:p>
          <w:p w14:paraId="473E252E" w14:textId="77777777" w:rsidR="003F26A5" w:rsidRPr="008A0E4E" w:rsidRDefault="003F26A5" w:rsidP="00891093">
            <w:pPr>
              <w:autoSpaceDE w:val="0"/>
              <w:autoSpaceDN w:val="0"/>
              <w:adjustRightInd w:val="0"/>
              <w:rPr>
                <w:rFonts w:ascii="Times New Roman" w:hAnsi="Times New Roman" w:cs="Times New Roman"/>
                <w:sz w:val="24"/>
                <w:szCs w:val="24"/>
              </w:rPr>
            </w:pPr>
            <w:r w:rsidRPr="008A0E4E">
              <w:rPr>
                <w:rFonts w:ascii="Times New Roman" w:hAnsi="Times New Roman" w:cs="Times New Roman"/>
                <w:sz w:val="24"/>
                <w:szCs w:val="24"/>
              </w:rPr>
              <w:t>в сети «Интернет» информации об услугах субъектов естественных монополий</w:t>
            </w:r>
          </w:p>
        </w:tc>
        <w:tc>
          <w:tcPr>
            <w:tcW w:w="337" w:type="pct"/>
          </w:tcPr>
          <w:p w14:paraId="36251E18" w14:textId="77777777" w:rsidR="003F26A5" w:rsidRPr="00FC74FE" w:rsidRDefault="003F26A5" w:rsidP="00891093">
            <w:pPr>
              <w:contextualSpacing/>
              <w:rPr>
                <w:rFonts w:ascii="Times New Roman" w:hAnsi="Times New Roman" w:cs="Times New Roman"/>
                <w:sz w:val="24"/>
                <w:szCs w:val="24"/>
              </w:rPr>
            </w:pPr>
            <w:r w:rsidRPr="00FC74FE">
              <w:rPr>
                <w:rFonts w:ascii="Times New Roman" w:hAnsi="Times New Roman" w:cs="Times New Roman"/>
                <w:sz w:val="24"/>
                <w:szCs w:val="24"/>
              </w:rPr>
              <w:t>2019-2021 годы</w:t>
            </w:r>
          </w:p>
        </w:tc>
        <w:tc>
          <w:tcPr>
            <w:tcW w:w="463" w:type="pct"/>
          </w:tcPr>
          <w:p w14:paraId="49004407" w14:textId="77777777" w:rsidR="003F26A5" w:rsidRPr="009B4FC0" w:rsidRDefault="003F26A5" w:rsidP="008A0E4E">
            <w:pPr>
              <w:contextualSpacing/>
              <w:rPr>
                <w:rFonts w:ascii="Times New Roman" w:hAnsi="Times New Roman" w:cs="Times New Roman"/>
                <w:sz w:val="24"/>
                <w:szCs w:val="24"/>
              </w:rPr>
            </w:pPr>
            <w:r w:rsidRPr="009B4FC0">
              <w:rPr>
                <w:rFonts w:ascii="Times New Roman" w:hAnsi="Times New Roman" w:cs="Times New Roman"/>
                <w:sz w:val="24"/>
                <w:szCs w:val="24"/>
              </w:rPr>
              <w:t>МЖКХиЭ НСО,</w:t>
            </w:r>
          </w:p>
          <w:p w14:paraId="2A3E9B0F" w14:textId="77777777" w:rsidR="003F26A5" w:rsidRPr="00367300" w:rsidRDefault="003F26A5" w:rsidP="00FC74FE">
            <w:pPr>
              <w:contextualSpacing/>
              <w:rPr>
                <w:rFonts w:ascii="Times New Roman" w:hAnsi="Times New Roman" w:cs="Times New Roman"/>
                <w:sz w:val="24"/>
                <w:szCs w:val="24"/>
              </w:rPr>
            </w:pPr>
            <w:r w:rsidRPr="00367300">
              <w:rPr>
                <w:rFonts w:ascii="Times New Roman" w:hAnsi="Times New Roman" w:cs="Times New Roman"/>
                <w:sz w:val="24"/>
                <w:szCs w:val="24"/>
              </w:rPr>
              <w:t>Минэкономразвития НСО,</w:t>
            </w:r>
          </w:p>
          <w:p w14:paraId="3ECF521C" w14:textId="77777777" w:rsidR="003F26A5" w:rsidRPr="00367300" w:rsidRDefault="003F26A5" w:rsidP="009B4FC0">
            <w:pPr>
              <w:contextualSpacing/>
              <w:rPr>
                <w:rFonts w:ascii="Times New Roman" w:hAnsi="Times New Roman" w:cs="Times New Roman"/>
                <w:sz w:val="24"/>
                <w:szCs w:val="24"/>
              </w:rPr>
            </w:pPr>
            <w:r w:rsidRPr="00367300">
              <w:rPr>
                <w:rFonts w:ascii="Times New Roman" w:hAnsi="Times New Roman" w:cs="Times New Roman"/>
                <w:sz w:val="24"/>
                <w:szCs w:val="24"/>
              </w:rPr>
              <w:t>Минцифра НСО</w:t>
            </w:r>
          </w:p>
        </w:tc>
        <w:tc>
          <w:tcPr>
            <w:tcW w:w="2031" w:type="pct"/>
          </w:tcPr>
          <w:p w14:paraId="328DD6D6"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Доступность и наглядность в сети «Интернет» информации об услугах субъектов естественных монополий обеспечена информацией о свободных резервах трансформаторной </w:t>
            </w:r>
            <w:r w:rsidR="0034170A" w:rsidRPr="00367300">
              <w:rPr>
                <w:rFonts w:ascii="Times New Roman" w:hAnsi="Times New Roman" w:cs="Times New Roman"/>
                <w:sz w:val="24"/>
                <w:szCs w:val="24"/>
              </w:rPr>
              <w:t>мощности с</w:t>
            </w:r>
            <w:r w:rsidRPr="00367300">
              <w:rPr>
                <w:rFonts w:ascii="Times New Roman" w:hAnsi="Times New Roman" w:cs="Times New Roman"/>
                <w:sz w:val="24"/>
                <w:szCs w:val="24"/>
              </w:rPr>
              <w:t xml:space="preserve"> указанием и отображением на Инвестиционной карте Новосибирской области ориентировочного места подключения (технологического присоединения) к сетям территориальных сетевых организаций 35-110 кВ:</w:t>
            </w:r>
          </w:p>
          <w:p w14:paraId="0677A158" w14:textId="77777777" w:rsidR="003F26A5" w:rsidRPr="00367300" w:rsidRDefault="003F26A5">
            <w:pPr>
              <w:ind w:left="57" w:right="57" w:firstLine="340"/>
              <w:contextualSpacing/>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Акционерное общество «Региональные электрические сети»:</w:t>
            </w:r>
          </w:p>
          <w:p w14:paraId="36755907" w14:textId="77777777" w:rsidR="003F26A5" w:rsidRPr="00367300" w:rsidRDefault="00E3307E">
            <w:pPr>
              <w:ind w:left="57" w:right="57" w:firstLine="340"/>
              <w:contextualSpacing/>
              <w:jc w:val="both"/>
              <w:rPr>
                <w:rFonts w:ascii="Times New Roman" w:eastAsia="Times New Roman" w:hAnsi="Times New Roman" w:cs="Times New Roman"/>
                <w:sz w:val="24"/>
                <w:szCs w:val="24"/>
                <w:u w:val="single"/>
              </w:rPr>
            </w:pPr>
            <w:hyperlink r:id="rId136" w:history="1">
              <w:r w:rsidR="003F26A5" w:rsidRPr="00367300">
                <w:rPr>
                  <w:rFonts w:ascii="Times New Roman" w:eastAsia="Times New Roman" w:hAnsi="Times New Roman" w:cs="Times New Roman"/>
                  <w:sz w:val="24"/>
                  <w:szCs w:val="24"/>
                  <w:u w:val="single"/>
                </w:rPr>
                <w:t>http://www.eseti.ru/clients/PowerGridJoining/MapPowerCenters.aspx</w:t>
              </w:r>
            </w:hyperlink>
          </w:p>
          <w:p w14:paraId="4EE533E3" w14:textId="77777777" w:rsidR="003F26A5" w:rsidRPr="00367300" w:rsidRDefault="003F26A5">
            <w:pPr>
              <w:ind w:left="57" w:right="57" w:firstLine="340"/>
              <w:contextualSpacing/>
              <w:jc w:val="both"/>
              <w:rPr>
                <w:rFonts w:ascii="Times New Roman" w:eastAsia="Times New Roman" w:hAnsi="Times New Roman" w:cs="Times New Roman"/>
                <w:sz w:val="24"/>
                <w:szCs w:val="24"/>
              </w:rPr>
            </w:pPr>
            <w:r w:rsidRPr="00367300">
              <w:rPr>
                <w:rFonts w:ascii="Times New Roman" w:eastAsia="Times New Roman" w:hAnsi="Times New Roman" w:cs="Times New Roman"/>
                <w:sz w:val="24"/>
                <w:szCs w:val="24"/>
              </w:rPr>
              <w:t>Инвестиционная карта Новосибирской области:</w:t>
            </w:r>
          </w:p>
          <w:p w14:paraId="4A047D35" w14:textId="77777777" w:rsidR="003F26A5" w:rsidRPr="00367300" w:rsidRDefault="00E3307E">
            <w:pPr>
              <w:ind w:left="57" w:right="57" w:firstLine="340"/>
              <w:contextualSpacing/>
              <w:jc w:val="both"/>
              <w:rPr>
                <w:rFonts w:ascii="Times New Roman" w:eastAsia="Times New Roman" w:hAnsi="Times New Roman" w:cs="Times New Roman"/>
                <w:sz w:val="24"/>
                <w:szCs w:val="24"/>
                <w:u w:val="single"/>
              </w:rPr>
            </w:pPr>
            <w:hyperlink r:id="rId137" w:history="1">
              <w:r w:rsidR="003F26A5" w:rsidRPr="00367300">
                <w:rPr>
                  <w:rFonts w:ascii="Times New Roman" w:eastAsia="Times New Roman" w:hAnsi="Times New Roman" w:cs="Times New Roman"/>
                  <w:sz w:val="24"/>
                  <w:szCs w:val="24"/>
                  <w:u w:val="single"/>
                </w:rPr>
                <w:t>https://maps.nso.ru/CoGIS/Investment</w:t>
              </w:r>
            </w:hyperlink>
          </w:p>
          <w:p w14:paraId="294429C1"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На инвестиционной карте Новосибирской области в составе РГИС НСО создана группа слоев, отображающая:</w:t>
            </w:r>
          </w:p>
          <w:p w14:paraId="3702A03D" w14:textId="77777777" w:rsidR="003F26A5" w:rsidRPr="00891093"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загрузк</w:t>
            </w:r>
            <w:r w:rsidRPr="00891093">
              <w:rPr>
                <w:rFonts w:ascii="Times New Roman" w:hAnsi="Times New Roman" w:cs="Times New Roman"/>
                <w:sz w:val="24"/>
                <w:szCs w:val="24"/>
              </w:rPr>
              <w:t>у центров электропитания высокого напряжения РЭС;</w:t>
            </w:r>
          </w:p>
          <w:p w14:paraId="7ACA16CE" w14:textId="77777777" w:rsidR="003F26A5" w:rsidRPr="00891093" w:rsidRDefault="003F26A5">
            <w:pPr>
              <w:autoSpaceDE w:val="0"/>
              <w:autoSpaceDN w:val="0"/>
              <w:adjustRightInd w:val="0"/>
              <w:ind w:left="57" w:right="57" w:firstLine="340"/>
              <w:jc w:val="both"/>
              <w:rPr>
                <w:rFonts w:ascii="Times New Roman" w:hAnsi="Times New Roman" w:cs="Times New Roman"/>
                <w:sz w:val="24"/>
                <w:szCs w:val="24"/>
              </w:rPr>
            </w:pPr>
            <w:r w:rsidRPr="00891093">
              <w:rPr>
                <w:rFonts w:ascii="Times New Roman" w:hAnsi="Times New Roman" w:cs="Times New Roman"/>
                <w:sz w:val="24"/>
                <w:szCs w:val="24"/>
              </w:rPr>
              <w:t>загрузку центров электропитания высокого напряжения РЖД.</w:t>
            </w:r>
          </w:p>
          <w:p w14:paraId="35D9C417" w14:textId="77777777" w:rsidR="003F26A5" w:rsidRPr="00891093" w:rsidRDefault="003F26A5">
            <w:pPr>
              <w:ind w:left="57" w:right="57" w:firstLine="340"/>
              <w:contextualSpacing/>
              <w:jc w:val="both"/>
              <w:rPr>
                <w:rFonts w:ascii="Times New Roman" w:hAnsi="Times New Roman" w:cs="Times New Roman"/>
                <w:sz w:val="24"/>
                <w:szCs w:val="24"/>
              </w:rPr>
            </w:pPr>
            <w:r w:rsidRPr="00891093">
              <w:rPr>
                <w:rFonts w:ascii="Times New Roman" w:hAnsi="Times New Roman" w:cs="Times New Roman"/>
                <w:sz w:val="24"/>
                <w:szCs w:val="24"/>
              </w:rPr>
              <w:t>Актуализация контента осуществляется уполномоченными ОИОГВ НСО.</w:t>
            </w:r>
          </w:p>
        </w:tc>
      </w:tr>
      <w:tr w:rsidR="003F26A5" w:rsidRPr="00367300" w14:paraId="736B9259" w14:textId="77777777" w:rsidTr="003F26A5">
        <w:trPr>
          <w:gridAfter w:val="1"/>
          <w:wAfter w:w="3" w:type="pct"/>
          <w:trHeight w:val="283"/>
        </w:trPr>
        <w:tc>
          <w:tcPr>
            <w:tcW w:w="335" w:type="pct"/>
          </w:tcPr>
          <w:p w14:paraId="20F77DE1"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t>29.5</w:t>
            </w:r>
          </w:p>
        </w:tc>
        <w:tc>
          <w:tcPr>
            <w:tcW w:w="1108" w:type="pct"/>
          </w:tcPr>
          <w:p w14:paraId="51A4DD34"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Обеспечение доступности </w:t>
            </w:r>
          </w:p>
          <w:p w14:paraId="3CC70422"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и наглядности в сети «Интернет» информации, отображающей </w:t>
            </w:r>
          </w:p>
          <w:p w14:paraId="39F669F0" w14:textId="77777777" w:rsidR="003F26A5" w:rsidRPr="00891093"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на Инвестиционной карте Новосибирской области ориентировочное место подключения (технологического присоединения) к сетям </w:t>
            </w:r>
            <w:r w:rsidRPr="00367300">
              <w:rPr>
                <w:rFonts w:ascii="Times New Roman" w:hAnsi="Times New Roman" w:cs="Times New Roman"/>
                <w:sz w:val="24"/>
                <w:szCs w:val="24"/>
              </w:rPr>
              <w:lastRenderedPageBreak/>
              <w:t>газораспределительных станций, включая информацию о проектной мощности (</w:t>
            </w:r>
            <w:r w:rsidRPr="00891093">
              <w:rPr>
                <w:rFonts w:ascii="Times New Roman" w:hAnsi="Times New Roman" w:cs="Times New Roman"/>
                <w:sz w:val="24"/>
                <w:szCs w:val="24"/>
              </w:rPr>
              <w:t xml:space="preserve">пропускной способности) газораспределительных станций </w:t>
            </w:r>
          </w:p>
          <w:p w14:paraId="3D4AF102" w14:textId="77777777" w:rsidR="003F26A5" w:rsidRPr="00891093" w:rsidRDefault="003F26A5" w:rsidP="00891093">
            <w:pPr>
              <w:autoSpaceDE w:val="0"/>
              <w:autoSpaceDN w:val="0"/>
              <w:adjustRightInd w:val="0"/>
              <w:ind w:left="57" w:right="57"/>
              <w:jc w:val="both"/>
              <w:rPr>
                <w:rFonts w:ascii="Times New Roman" w:hAnsi="Times New Roman" w:cs="Times New Roman"/>
                <w:sz w:val="24"/>
                <w:szCs w:val="24"/>
              </w:rPr>
            </w:pPr>
            <w:r w:rsidRPr="00891093">
              <w:rPr>
                <w:rFonts w:ascii="Times New Roman" w:hAnsi="Times New Roman" w:cs="Times New Roman"/>
                <w:sz w:val="24"/>
                <w:szCs w:val="24"/>
              </w:rPr>
              <w:t xml:space="preserve">и наличии свободных резервов мощности и размере этих резервов, а также о планируемых сроках строительства и реконструкции газораспределительных станций </w:t>
            </w:r>
          </w:p>
        </w:tc>
        <w:tc>
          <w:tcPr>
            <w:tcW w:w="723" w:type="pct"/>
          </w:tcPr>
          <w:p w14:paraId="7F0CA4E0"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lastRenderedPageBreak/>
              <w:t xml:space="preserve">Доступность и наглядность </w:t>
            </w:r>
          </w:p>
          <w:p w14:paraId="231E2CB3"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в сети «Интернет»</w:t>
            </w:r>
          </w:p>
          <w:p w14:paraId="57A5844D" w14:textId="77777777" w:rsidR="003F26A5" w:rsidRPr="008A0E4E"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информации об услугах</w:t>
            </w:r>
            <w:r w:rsidRPr="008A0E4E">
              <w:rPr>
                <w:rFonts w:ascii="Times New Roman" w:hAnsi="Times New Roman" w:cs="Times New Roman"/>
                <w:sz w:val="24"/>
                <w:szCs w:val="24"/>
              </w:rPr>
              <w:t xml:space="preserve"> субъектов естественных монополий</w:t>
            </w:r>
          </w:p>
        </w:tc>
        <w:tc>
          <w:tcPr>
            <w:tcW w:w="337" w:type="pct"/>
          </w:tcPr>
          <w:p w14:paraId="03D15D6F" w14:textId="77777777" w:rsidR="003F26A5" w:rsidRPr="005C70ED" w:rsidRDefault="003F26A5" w:rsidP="008A0E4E">
            <w:pPr>
              <w:contextualSpacing/>
              <w:rPr>
                <w:rFonts w:ascii="Times New Roman" w:hAnsi="Times New Roman" w:cs="Times New Roman"/>
                <w:sz w:val="24"/>
                <w:szCs w:val="24"/>
              </w:rPr>
            </w:pPr>
            <w:r w:rsidRPr="005C70ED">
              <w:rPr>
                <w:rFonts w:ascii="Times New Roman" w:hAnsi="Times New Roman" w:cs="Times New Roman"/>
                <w:sz w:val="24"/>
                <w:szCs w:val="24"/>
              </w:rPr>
              <w:t>2019-2021 годы</w:t>
            </w:r>
          </w:p>
        </w:tc>
        <w:tc>
          <w:tcPr>
            <w:tcW w:w="463" w:type="pct"/>
          </w:tcPr>
          <w:p w14:paraId="11FA2E8A" w14:textId="77777777" w:rsidR="003F26A5" w:rsidRPr="00FC74FE" w:rsidRDefault="003F26A5" w:rsidP="00FC74FE">
            <w:pPr>
              <w:contextualSpacing/>
              <w:rPr>
                <w:rFonts w:ascii="Times New Roman" w:hAnsi="Times New Roman" w:cs="Times New Roman"/>
                <w:sz w:val="24"/>
                <w:szCs w:val="24"/>
              </w:rPr>
            </w:pPr>
            <w:r w:rsidRPr="00FC74FE">
              <w:rPr>
                <w:rFonts w:ascii="Times New Roman" w:hAnsi="Times New Roman" w:cs="Times New Roman"/>
                <w:sz w:val="24"/>
                <w:szCs w:val="24"/>
              </w:rPr>
              <w:t>МЖКХиЭ НСО,</w:t>
            </w:r>
          </w:p>
          <w:p w14:paraId="45D814FC" w14:textId="77777777" w:rsidR="003F26A5" w:rsidRPr="009B4FC0" w:rsidRDefault="003F26A5" w:rsidP="009B4FC0">
            <w:pPr>
              <w:contextualSpacing/>
              <w:rPr>
                <w:rFonts w:ascii="Times New Roman" w:hAnsi="Times New Roman" w:cs="Times New Roman"/>
                <w:sz w:val="24"/>
                <w:szCs w:val="24"/>
              </w:rPr>
            </w:pPr>
            <w:r w:rsidRPr="009B4FC0">
              <w:rPr>
                <w:rFonts w:ascii="Times New Roman" w:hAnsi="Times New Roman" w:cs="Times New Roman"/>
                <w:sz w:val="24"/>
                <w:szCs w:val="24"/>
              </w:rPr>
              <w:t>Минэкономразвития НСО, Минцифра НСО</w:t>
            </w:r>
          </w:p>
        </w:tc>
        <w:tc>
          <w:tcPr>
            <w:tcW w:w="2031" w:type="pct"/>
          </w:tcPr>
          <w:p w14:paraId="0DA9F1E0" w14:textId="77777777" w:rsidR="003F26A5" w:rsidRPr="00367300" w:rsidRDefault="003F26A5">
            <w:pPr>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 xml:space="preserve">Доступность и наглядность в сети «Интернет» информации об услугах субъектов естественных монополий обеспечена информацией, отображающей  на Инвестиционной карте Новосибирской области ориентировочное место подключения (технологического присоединения) к сетям газораспределительных станций, включая информацию о проектной мощности (пропускной способности) газораспределительных станций и наличии свободных резервов мощности и размере этих резервов, а также о планируемых сроках </w:t>
            </w:r>
            <w:r w:rsidRPr="00367300">
              <w:rPr>
                <w:rFonts w:ascii="Times New Roman" w:hAnsi="Times New Roman" w:cs="Times New Roman"/>
                <w:sz w:val="24"/>
                <w:szCs w:val="24"/>
              </w:rPr>
              <w:lastRenderedPageBreak/>
              <w:t>строительства и реконструкции газораспределительных станций.</w:t>
            </w:r>
          </w:p>
          <w:p w14:paraId="4BB0C82F" w14:textId="77777777" w:rsidR="003F26A5" w:rsidRPr="00367300" w:rsidRDefault="003F26A5">
            <w:pPr>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Инвестиционная карта Новосибирской области:</w:t>
            </w:r>
          </w:p>
          <w:p w14:paraId="57FC9A8D" w14:textId="77777777" w:rsidR="003F26A5" w:rsidRPr="00367300" w:rsidRDefault="00E3307E">
            <w:pPr>
              <w:ind w:left="57" w:right="57" w:firstLine="340"/>
              <w:contextualSpacing/>
              <w:jc w:val="both"/>
              <w:rPr>
                <w:rFonts w:ascii="Times New Roman" w:hAnsi="Times New Roman" w:cs="Times New Roman"/>
                <w:color w:val="000000"/>
                <w:sz w:val="24"/>
                <w:szCs w:val="24"/>
              </w:rPr>
            </w:pPr>
            <w:hyperlink r:id="rId138" w:history="1">
              <w:r w:rsidR="003F26A5" w:rsidRPr="00367300">
                <w:rPr>
                  <w:rStyle w:val="a3"/>
                  <w:rFonts w:ascii="Times New Roman" w:hAnsi="Times New Roman" w:cs="Times New Roman"/>
                  <w:color w:val="000000"/>
                  <w:sz w:val="24"/>
                  <w:szCs w:val="24"/>
                </w:rPr>
                <w:t>https://maps.nso.ru/CoGIS/GRS#</w:t>
              </w:r>
            </w:hyperlink>
          </w:p>
          <w:p w14:paraId="10C1E725" w14:textId="77777777" w:rsidR="003F26A5" w:rsidRPr="00367300" w:rsidRDefault="003F26A5">
            <w:pPr>
              <w:ind w:left="57" w:right="57" w:firstLine="340"/>
              <w:contextualSpacing/>
              <w:jc w:val="both"/>
              <w:rPr>
                <w:rFonts w:ascii="Times New Roman" w:hAnsi="Times New Roman" w:cs="Times New Roman"/>
                <w:color w:val="000000"/>
                <w:sz w:val="24"/>
                <w:szCs w:val="24"/>
              </w:rPr>
            </w:pPr>
            <w:r w:rsidRPr="00367300">
              <w:rPr>
                <w:rFonts w:ascii="Times New Roman" w:hAnsi="Times New Roman" w:cs="Times New Roman"/>
                <w:sz w:val="24"/>
                <w:szCs w:val="24"/>
              </w:rPr>
              <w:t>ООО «Газпром трансгаз Томск»:</w:t>
            </w:r>
          </w:p>
          <w:p w14:paraId="79CD3AB3" w14:textId="77777777" w:rsidR="003F26A5" w:rsidRPr="00367300" w:rsidRDefault="00E3307E">
            <w:pPr>
              <w:ind w:left="57" w:right="57" w:firstLine="340"/>
              <w:contextualSpacing/>
              <w:jc w:val="both"/>
              <w:rPr>
                <w:rFonts w:ascii="Times New Roman" w:hAnsi="Times New Roman" w:cs="Times New Roman"/>
                <w:color w:val="000000"/>
                <w:sz w:val="24"/>
                <w:szCs w:val="24"/>
              </w:rPr>
            </w:pPr>
            <w:hyperlink r:id="rId139" w:history="1">
              <w:r w:rsidR="003F26A5" w:rsidRPr="00367300">
                <w:rPr>
                  <w:rStyle w:val="a3"/>
                  <w:rFonts w:ascii="Times New Roman" w:hAnsi="Times New Roman" w:cs="Times New Roman"/>
                  <w:color w:val="000000"/>
                  <w:sz w:val="24"/>
                  <w:szCs w:val="24"/>
                </w:rPr>
                <w:t>https://tomsk-tr.gazprom.ru/about/documents/raskrytie-informatsii/</w:t>
              </w:r>
            </w:hyperlink>
          </w:p>
          <w:p w14:paraId="5151D113" w14:textId="77777777" w:rsidR="003F26A5" w:rsidRPr="00367300" w:rsidRDefault="003F26A5">
            <w:pPr>
              <w:widowControl w:val="0"/>
              <w:autoSpaceDE w:val="0"/>
              <w:autoSpaceDN w:val="0"/>
              <w:adjustRightInd w:val="0"/>
              <w:ind w:left="57" w:right="57" w:firstLine="340"/>
              <w:jc w:val="both"/>
              <w:rPr>
                <w:rFonts w:ascii="Times New Roman" w:hAnsi="Times New Roman" w:cs="Times New Roman"/>
                <w:sz w:val="24"/>
                <w:szCs w:val="24"/>
              </w:rPr>
            </w:pPr>
            <w:r w:rsidRPr="00367300">
              <w:rPr>
                <w:rFonts w:ascii="Times New Roman" w:hAnsi="Times New Roman" w:cs="Times New Roman"/>
                <w:sz w:val="24"/>
                <w:szCs w:val="24"/>
              </w:rPr>
              <w:t>На инвестиционной карте Новосибирской области в составе РГИС НСО создана группа слоев, отображающая ориентировочные места подключения (технологическое присоединение) к сетям газораспределительных станций.</w:t>
            </w:r>
          </w:p>
          <w:p w14:paraId="4ACE9D0B" w14:textId="77777777" w:rsidR="003F26A5" w:rsidRPr="00891093" w:rsidRDefault="003F26A5">
            <w:pPr>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Актуализация контента осуществляется уполномоченными ОИОГВ НСО.</w:t>
            </w:r>
          </w:p>
        </w:tc>
      </w:tr>
      <w:tr w:rsidR="003F26A5" w:rsidRPr="00367300" w14:paraId="694BB5A5" w14:textId="77777777" w:rsidTr="003F26A5">
        <w:trPr>
          <w:gridAfter w:val="1"/>
          <w:wAfter w:w="3" w:type="pct"/>
          <w:trHeight w:val="283"/>
        </w:trPr>
        <w:tc>
          <w:tcPr>
            <w:tcW w:w="335" w:type="pct"/>
          </w:tcPr>
          <w:p w14:paraId="00DA5AFE"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29.6</w:t>
            </w:r>
          </w:p>
        </w:tc>
        <w:tc>
          <w:tcPr>
            <w:tcW w:w="1108" w:type="pct"/>
          </w:tcPr>
          <w:p w14:paraId="53E18316"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Обеспечение доступности </w:t>
            </w:r>
          </w:p>
          <w:p w14:paraId="0D6EC168"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и наглядности в сети «Интернет»</w:t>
            </w:r>
          </w:p>
          <w:p w14:paraId="6CFE6CA0"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информации об услугах, оказываемых в электронном виде субъектами естественных монополий и ресурсоснабжающими организациями физическим </w:t>
            </w:r>
          </w:p>
          <w:p w14:paraId="779A18A7" w14:textId="77777777" w:rsidR="003F26A5" w:rsidRPr="00891093" w:rsidRDefault="003F26A5" w:rsidP="00891093">
            <w:pPr>
              <w:autoSpaceDE w:val="0"/>
              <w:autoSpaceDN w:val="0"/>
              <w:adjustRightInd w:val="0"/>
              <w:ind w:left="57" w:right="57"/>
              <w:jc w:val="both"/>
              <w:rPr>
                <w:rFonts w:ascii="Times New Roman" w:hAnsi="Times New Roman" w:cs="Times New Roman"/>
                <w:sz w:val="24"/>
                <w:szCs w:val="24"/>
              </w:rPr>
            </w:pPr>
            <w:r w:rsidRPr="00891093">
              <w:rPr>
                <w:rFonts w:ascii="Times New Roman" w:hAnsi="Times New Roman" w:cs="Times New Roman"/>
                <w:sz w:val="24"/>
                <w:szCs w:val="24"/>
              </w:rPr>
              <w:t>и юридическим лицам</w:t>
            </w:r>
          </w:p>
        </w:tc>
        <w:tc>
          <w:tcPr>
            <w:tcW w:w="723" w:type="pct"/>
          </w:tcPr>
          <w:p w14:paraId="6DB0B979"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 xml:space="preserve">Доступность и наглядность </w:t>
            </w:r>
          </w:p>
          <w:p w14:paraId="2FC84C12"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в сети «Интернет»</w:t>
            </w:r>
          </w:p>
          <w:p w14:paraId="321B24C8"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информации об услугах субъектов естественных монополий</w:t>
            </w:r>
          </w:p>
        </w:tc>
        <w:tc>
          <w:tcPr>
            <w:tcW w:w="337" w:type="pct"/>
          </w:tcPr>
          <w:p w14:paraId="565EE91E" w14:textId="77777777" w:rsidR="003F26A5" w:rsidRPr="00FC74FE" w:rsidRDefault="003F26A5" w:rsidP="008A0E4E">
            <w:pPr>
              <w:contextualSpacing/>
              <w:rPr>
                <w:rFonts w:ascii="Times New Roman" w:hAnsi="Times New Roman" w:cs="Times New Roman"/>
                <w:sz w:val="24"/>
                <w:szCs w:val="24"/>
              </w:rPr>
            </w:pPr>
            <w:r w:rsidRPr="008A0E4E">
              <w:rPr>
                <w:rFonts w:ascii="Times New Roman" w:hAnsi="Times New Roman" w:cs="Times New Roman"/>
                <w:sz w:val="24"/>
                <w:szCs w:val="24"/>
              </w:rPr>
              <w:t>2019-2021 годы</w:t>
            </w:r>
          </w:p>
        </w:tc>
        <w:tc>
          <w:tcPr>
            <w:tcW w:w="463" w:type="pct"/>
          </w:tcPr>
          <w:p w14:paraId="12220349" w14:textId="77777777" w:rsidR="003F26A5" w:rsidRPr="00FC74FE" w:rsidRDefault="003F26A5" w:rsidP="00FC74FE">
            <w:pPr>
              <w:contextualSpacing/>
              <w:rPr>
                <w:rFonts w:ascii="Times New Roman" w:hAnsi="Times New Roman" w:cs="Times New Roman"/>
                <w:sz w:val="24"/>
                <w:szCs w:val="24"/>
              </w:rPr>
            </w:pPr>
            <w:r w:rsidRPr="00FC74FE">
              <w:rPr>
                <w:rFonts w:ascii="Times New Roman" w:hAnsi="Times New Roman" w:cs="Times New Roman"/>
                <w:sz w:val="24"/>
                <w:szCs w:val="24"/>
              </w:rPr>
              <w:t>МЖКХиЭ НСО</w:t>
            </w:r>
          </w:p>
        </w:tc>
        <w:tc>
          <w:tcPr>
            <w:tcW w:w="2031" w:type="pct"/>
          </w:tcPr>
          <w:p w14:paraId="3DE4C3C3" w14:textId="77777777" w:rsidR="003F26A5" w:rsidRPr="009B4FC0" w:rsidRDefault="003F26A5" w:rsidP="009B4FC0">
            <w:pPr>
              <w:autoSpaceDE w:val="0"/>
              <w:autoSpaceDN w:val="0"/>
              <w:adjustRightInd w:val="0"/>
              <w:ind w:left="57" w:right="57" w:firstLine="340"/>
              <w:jc w:val="both"/>
              <w:rPr>
                <w:rFonts w:ascii="Times New Roman" w:hAnsi="Times New Roman" w:cs="Times New Roman"/>
                <w:sz w:val="24"/>
                <w:szCs w:val="24"/>
              </w:rPr>
            </w:pPr>
            <w:r w:rsidRPr="009B4FC0">
              <w:rPr>
                <w:rFonts w:ascii="Times New Roman" w:hAnsi="Times New Roman" w:cs="Times New Roman"/>
                <w:sz w:val="24"/>
                <w:szCs w:val="24"/>
              </w:rPr>
              <w:t>Обеспечена доступность и наглядность в сети «Интернет» информации об услугах, оказываемых в электронном виде субъектами естественных монополий и ресурсоснабжающими организациями физическим и юридическим лицам:</w:t>
            </w:r>
          </w:p>
          <w:p w14:paraId="0C36EB2E" w14:textId="77777777" w:rsidR="003F26A5" w:rsidRPr="00367300" w:rsidRDefault="003F26A5">
            <w:pPr>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1. </w:t>
            </w:r>
            <w:r w:rsidRPr="00367300">
              <w:rPr>
                <w:rFonts w:ascii="Times New Roman" w:hAnsi="Times New Roman" w:cs="Times New Roman"/>
                <w:color w:val="000000"/>
                <w:sz w:val="24"/>
                <w:szCs w:val="24"/>
              </w:rPr>
              <w:t>К сетям газораспределения:</w:t>
            </w:r>
          </w:p>
          <w:p w14:paraId="31E9074C" w14:textId="77777777" w:rsidR="003F26A5" w:rsidRPr="00367300" w:rsidRDefault="003F26A5">
            <w:pPr>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министерство жилищно-коммунального хозяйства Новосибирской области:</w:t>
            </w:r>
          </w:p>
          <w:p w14:paraId="53C9C24E" w14:textId="77777777" w:rsidR="003F26A5" w:rsidRPr="00367300" w:rsidRDefault="00E3307E">
            <w:pPr>
              <w:autoSpaceDE w:val="0"/>
              <w:autoSpaceDN w:val="0"/>
              <w:adjustRightInd w:val="0"/>
              <w:ind w:left="57" w:right="57" w:firstLine="340"/>
              <w:jc w:val="both"/>
              <w:rPr>
                <w:rStyle w:val="a3"/>
                <w:rFonts w:ascii="Times New Roman" w:hAnsi="Times New Roman" w:cs="Times New Roman"/>
                <w:color w:val="000000"/>
                <w:sz w:val="24"/>
                <w:szCs w:val="24"/>
              </w:rPr>
            </w:pPr>
            <w:hyperlink r:id="rId140" w:history="1">
              <w:r w:rsidR="003F26A5" w:rsidRPr="00367300">
                <w:rPr>
                  <w:rStyle w:val="a3"/>
                  <w:rFonts w:ascii="Times New Roman" w:hAnsi="Times New Roman" w:cs="Times New Roman"/>
                  <w:color w:val="000000"/>
                  <w:sz w:val="24"/>
                  <w:szCs w:val="24"/>
                </w:rPr>
                <w:t>http://mjkh.nso.ru/page/902</w:t>
              </w:r>
            </w:hyperlink>
          </w:p>
          <w:p w14:paraId="7E30000D" w14:textId="77777777" w:rsidR="003F26A5" w:rsidRPr="00367300" w:rsidRDefault="003F26A5">
            <w:pPr>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2. К электрическим сетям: </w:t>
            </w:r>
          </w:p>
          <w:p w14:paraId="127EEB23" w14:textId="77777777" w:rsidR="003F26A5" w:rsidRPr="00367300" w:rsidRDefault="003F26A5">
            <w:pPr>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Акционерное общество «Региональные электрические сети»:</w:t>
            </w:r>
          </w:p>
          <w:p w14:paraId="2A0F4D4C" w14:textId="77777777" w:rsidR="003F26A5" w:rsidRPr="00367300" w:rsidRDefault="00E3307E">
            <w:pPr>
              <w:ind w:left="57" w:right="57" w:firstLine="340"/>
              <w:contextualSpacing/>
              <w:jc w:val="both"/>
              <w:rPr>
                <w:rFonts w:ascii="Times New Roman" w:hAnsi="Times New Roman" w:cs="Times New Roman"/>
                <w:sz w:val="24"/>
                <w:szCs w:val="24"/>
              </w:rPr>
            </w:pPr>
            <w:hyperlink r:id="rId141" w:history="1">
              <w:r w:rsidR="003F26A5" w:rsidRPr="00367300">
                <w:rPr>
                  <w:rStyle w:val="a3"/>
                  <w:rFonts w:ascii="Times New Roman" w:hAnsi="Times New Roman" w:cs="Times New Roman"/>
                  <w:sz w:val="24"/>
                  <w:szCs w:val="24"/>
                </w:rPr>
                <w:t>https://www.eseti.ru/clients/PowerGridJoining.aspx</w:t>
              </w:r>
            </w:hyperlink>
          </w:p>
          <w:p w14:paraId="28151D33" w14:textId="77777777" w:rsidR="003F26A5" w:rsidRPr="00367300" w:rsidRDefault="003F26A5">
            <w:pPr>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Министерство жилищно-коммунального хозяйства Новосибирской области:</w:t>
            </w:r>
          </w:p>
          <w:p w14:paraId="4D0DF708" w14:textId="77777777" w:rsidR="003F26A5" w:rsidRPr="00367300" w:rsidRDefault="00E3307E">
            <w:pPr>
              <w:autoSpaceDE w:val="0"/>
              <w:autoSpaceDN w:val="0"/>
              <w:adjustRightInd w:val="0"/>
              <w:ind w:left="57" w:right="57" w:firstLine="340"/>
              <w:jc w:val="both"/>
              <w:rPr>
                <w:rStyle w:val="a3"/>
                <w:rFonts w:ascii="Times New Roman" w:hAnsi="Times New Roman" w:cs="Times New Roman"/>
                <w:sz w:val="24"/>
                <w:szCs w:val="24"/>
              </w:rPr>
            </w:pPr>
            <w:hyperlink r:id="rId142" w:history="1">
              <w:r w:rsidR="003F26A5" w:rsidRPr="00367300">
                <w:rPr>
                  <w:rStyle w:val="a3"/>
                  <w:rFonts w:ascii="Times New Roman" w:hAnsi="Times New Roman" w:cs="Times New Roman"/>
                  <w:sz w:val="24"/>
                  <w:szCs w:val="24"/>
                </w:rPr>
                <w:t>https://mjkh.nso.ru/page/2273</w:t>
              </w:r>
            </w:hyperlink>
          </w:p>
          <w:p w14:paraId="2BCACF04" w14:textId="77777777" w:rsidR="003F26A5" w:rsidRPr="00367300" w:rsidRDefault="003F26A5">
            <w:pPr>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3. К системам теплоснабжения:</w:t>
            </w:r>
          </w:p>
          <w:p w14:paraId="1E748F84" w14:textId="77777777" w:rsidR="003F26A5" w:rsidRPr="00367300" w:rsidRDefault="003F26A5">
            <w:pPr>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Сибирская генерирующая компания:</w:t>
            </w:r>
          </w:p>
          <w:p w14:paraId="78B2843B" w14:textId="77777777" w:rsidR="003F26A5" w:rsidRPr="00367300" w:rsidRDefault="00E3307E">
            <w:pPr>
              <w:ind w:left="57" w:right="57" w:firstLine="340"/>
              <w:contextualSpacing/>
              <w:jc w:val="both"/>
              <w:rPr>
                <w:rStyle w:val="a3"/>
                <w:rFonts w:ascii="Times New Roman" w:hAnsi="Times New Roman" w:cs="Times New Roman"/>
                <w:sz w:val="24"/>
                <w:szCs w:val="24"/>
              </w:rPr>
            </w:pPr>
            <w:hyperlink r:id="rId143" w:history="1">
              <w:r w:rsidR="003F26A5" w:rsidRPr="00367300">
                <w:rPr>
                  <w:rStyle w:val="a3"/>
                  <w:rFonts w:ascii="Times New Roman" w:hAnsi="Times New Roman" w:cs="Times New Roman"/>
                  <w:sz w:val="24"/>
                  <w:szCs w:val="24"/>
                </w:rPr>
                <w:t>http://nsk-crk.sibgenco.ru/</w:t>
              </w:r>
            </w:hyperlink>
          </w:p>
          <w:p w14:paraId="7387BDFF" w14:textId="77777777" w:rsidR="003F26A5" w:rsidRPr="00367300" w:rsidRDefault="003F26A5">
            <w:pPr>
              <w:ind w:left="57" w:right="57" w:firstLine="340"/>
              <w:contextualSpacing/>
              <w:jc w:val="both"/>
              <w:rPr>
                <w:rFonts w:ascii="Times New Roman" w:hAnsi="Times New Roman" w:cs="Times New Roman"/>
                <w:b/>
                <w:sz w:val="24"/>
                <w:szCs w:val="24"/>
              </w:rPr>
            </w:pPr>
            <w:r w:rsidRPr="00367300">
              <w:rPr>
                <w:rStyle w:val="afc"/>
                <w:rFonts w:ascii="Times New Roman" w:hAnsi="Times New Roman" w:cs="Times New Roman"/>
                <w:b w:val="0"/>
                <w:color w:val="000000"/>
                <w:sz w:val="24"/>
                <w:szCs w:val="24"/>
                <w:shd w:val="clear" w:color="auto" w:fill="FFFFFF"/>
              </w:rPr>
              <w:t>Муниципальное унитарное предприятие «Комбинат бытовых услуг»:</w:t>
            </w:r>
          </w:p>
          <w:p w14:paraId="3990D580" w14:textId="77777777" w:rsidR="003F26A5" w:rsidRPr="00367300" w:rsidRDefault="00E3307E">
            <w:pPr>
              <w:autoSpaceDE w:val="0"/>
              <w:autoSpaceDN w:val="0"/>
              <w:adjustRightInd w:val="0"/>
              <w:ind w:left="57" w:right="57" w:firstLine="340"/>
              <w:jc w:val="both"/>
              <w:rPr>
                <w:rStyle w:val="a3"/>
                <w:rFonts w:ascii="Times New Roman" w:hAnsi="Times New Roman" w:cs="Times New Roman"/>
                <w:sz w:val="24"/>
                <w:szCs w:val="24"/>
              </w:rPr>
            </w:pPr>
            <w:hyperlink r:id="rId144" w:history="1">
              <w:r w:rsidR="003F26A5" w:rsidRPr="00367300">
                <w:rPr>
                  <w:rFonts w:ascii="Times New Roman" w:hAnsi="Times New Roman" w:cs="Times New Roman"/>
                  <w:sz w:val="24"/>
                  <w:szCs w:val="24"/>
                  <w:u w:val="single"/>
                </w:rPr>
                <w:t>https://www.mupkbu.ru/index.php/podklyuchenie/zaklyuchenie-dogovorov</w:t>
              </w:r>
            </w:hyperlink>
          </w:p>
          <w:p w14:paraId="045B5EB4" w14:textId="77777777" w:rsidR="003F26A5" w:rsidRPr="00367300" w:rsidRDefault="003F26A5">
            <w:pPr>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4. К централизованным системам водоснабжения и водоотведения:</w:t>
            </w:r>
          </w:p>
          <w:p w14:paraId="404CD2A4" w14:textId="77777777" w:rsidR="003F26A5" w:rsidRPr="00367300" w:rsidRDefault="003F26A5">
            <w:pPr>
              <w:ind w:left="57" w:right="57" w:firstLine="340"/>
              <w:contextualSpacing/>
              <w:jc w:val="both"/>
              <w:rPr>
                <w:rFonts w:ascii="Times New Roman" w:hAnsi="Times New Roman" w:cs="Times New Roman"/>
                <w:b/>
                <w:sz w:val="24"/>
                <w:szCs w:val="24"/>
              </w:rPr>
            </w:pPr>
            <w:r w:rsidRPr="00367300">
              <w:rPr>
                <w:rStyle w:val="afc"/>
                <w:rFonts w:ascii="Times New Roman" w:hAnsi="Times New Roman" w:cs="Times New Roman"/>
                <w:b w:val="0"/>
                <w:color w:val="000000"/>
                <w:sz w:val="24"/>
                <w:szCs w:val="24"/>
                <w:shd w:val="clear" w:color="auto" w:fill="FFFFFF"/>
              </w:rPr>
              <w:t>Муниципальное унитарное предприятие «Комбинат бытовых услуг»:</w:t>
            </w:r>
          </w:p>
          <w:p w14:paraId="5E39C0B5" w14:textId="77777777" w:rsidR="003F26A5" w:rsidRPr="00367300" w:rsidRDefault="00E3307E">
            <w:pPr>
              <w:ind w:left="57" w:right="57" w:firstLine="340"/>
              <w:contextualSpacing/>
              <w:jc w:val="both"/>
              <w:rPr>
                <w:rFonts w:ascii="Times New Roman" w:hAnsi="Times New Roman" w:cs="Times New Roman"/>
                <w:sz w:val="24"/>
                <w:szCs w:val="24"/>
              </w:rPr>
            </w:pPr>
            <w:hyperlink r:id="rId145" w:history="1">
              <w:r w:rsidR="003F26A5" w:rsidRPr="00367300">
                <w:rPr>
                  <w:rStyle w:val="a3"/>
                  <w:rFonts w:ascii="Times New Roman" w:hAnsi="Times New Roman" w:cs="Times New Roman"/>
                  <w:sz w:val="24"/>
                  <w:szCs w:val="24"/>
                </w:rPr>
                <w:t>https://www.mupkbu.ru/index.php/podklyuchenie/zaklyuchenie-dogovorov</w:t>
              </w:r>
            </w:hyperlink>
            <w:r w:rsidR="003F26A5" w:rsidRPr="00367300">
              <w:rPr>
                <w:rFonts w:ascii="Times New Roman" w:hAnsi="Times New Roman" w:cs="Times New Roman"/>
                <w:sz w:val="24"/>
                <w:szCs w:val="24"/>
              </w:rPr>
              <w:t xml:space="preserve"> </w:t>
            </w:r>
          </w:p>
          <w:p w14:paraId="68A2C581" w14:textId="77777777" w:rsidR="003F26A5" w:rsidRPr="00367300" w:rsidRDefault="003F26A5">
            <w:pPr>
              <w:ind w:left="57" w:right="57" w:firstLine="340"/>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htps://www.mupkbu.ru/index.php/podklyuchenie/onlajn-sistema </w:t>
            </w:r>
          </w:p>
          <w:p w14:paraId="477FD954" w14:textId="77777777" w:rsidR="003F26A5" w:rsidRPr="00E77388" w:rsidRDefault="00E3307E">
            <w:pPr>
              <w:ind w:left="57" w:right="57" w:firstLine="340"/>
              <w:contextualSpacing/>
              <w:jc w:val="both"/>
              <w:rPr>
                <w:rStyle w:val="a3"/>
                <w:rFonts w:ascii="Times New Roman" w:hAnsi="Times New Roman" w:cs="Times New Roman"/>
                <w:sz w:val="24"/>
                <w:szCs w:val="24"/>
              </w:rPr>
            </w:pPr>
            <w:hyperlink r:id="rId146" w:history="1">
              <w:r w:rsidR="003F26A5" w:rsidRPr="00E77388">
                <w:rPr>
                  <w:rStyle w:val="a3"/>
                  <w:rFonts w:ascii="Times New Roman" w:hAnsi="Times New Roman" w:cs="Times New Roman"/>
                  <w:sz w:val="24"/>
                  <w:szCs w:val="24"/>
                </w:rPr>
                <w:t>https://www.mupkbu.ru/index.php/podklyuchenie/priem-elektronnoj-zayavki-na-podklyuchenie-cherez-lichnyj-kabinet</w:t>
              </w:r>
            </w:hyperlink>
          </w:p>
          <w:p w14:paraId="0EC141D6" w14:textId="77777777" w:rsidR="003F26A5" w:rsidRPr="00367300" w:rsidRDefault="003F26A5">
            <w:pPr>
              <w:ind w:left="57" w:right="57" w:firstLine="340"/>
              <w:contextualSpacing/>
              <w:jc w:val="both"/>
              <w:rPr>
                <w:rFonts w:ascii="Times New Roman" w:hAnsi="Times New Roman" w:cs="Times New Roman"/>
                <w:sz w:val="24"/>
                <w:szCs w:val="24"/>
              </w:rPr>
            </w:pPr>
            <w:r w:rsidRPr="00367300">
              <w:rPr>
                <w:rFonts w:ascii="Times New Roman" w:hAnsi="Times New Roman" w:cs="Times New Roman"/>
                <w:color w:val="000000"/>
                <w:sz w:val="24"/>
                <w:szCs w:val="24"/>
                <w:shd w:val="clear" w:color="auto" w:fill="FFFFFF"/>
              </w:rPr>
              <w:t>МУП г. Новосибирска «ГОРВОДОКАНАЛ»:</w:t>
            </w:r>
          </w:p>
          <w:p w14:paraId="27076BD0" w14:textId="77777777" w:rsidR="003F26A5" w:rsidRPr="00E77388" w:rsidRDefault="00E3307E">
            <w:pPr>
              <w:ind w:left="57" w:right="57" w:firstLine="340"/>
              <w:contextualSpacing/>
              <w:jc w:val="both"/>
              <w:rPr>
                <w:rStyle w:val="a3"/>
                <w:rFonts w:ascii="Times New Roman" w:hAnsi="Times New Roman" w:cs="Times New Roman"/>
                <w:sz w:val="24"/>
                <w:szCs w:val="24"/>
              </w:rPr>
            </w:pPr>
            <w:hyperlink r:id="rId147" w:history="1">
              <w:r w:rsidR="003F26A5" w:rsidRPr="00E77388">
                <w:rPr>
                  <w:rStyle w:val="a3"/>
                  <w:rFonts w:ascii="Times New Roman" w:hAnsi="Times New Roman" w:cs="Times New Roman"/>
                  <w:sz w:val="24"/>
                  <w:szCs w:val="24"/>
                </w:rPr>
                <w:t>https://www.gorvodokanal.com/upload/status.php</w:t>
              </w:r>
            </w:hyperlink>
            <w:r w:rsidR="003F26A5" w:rsidRPr="00E77388">
              <w:rPr>
                <w:rStyle w:val="a3"/>
                <w:rFonts w:ascii="Times New Roman" w:hAnsi="Times New Roman" w:cs="Times New Roman"/>
                <w:sz w:val="24"/>
                <w:szCs w:val="24"/>
              </w:rPr>
              <w:t xml:space="preserve"> </w:t>
            </w:r>
          </w:p>
          <w:p w14:paraId="62BFBF76" w14:textId="77777777" w:rsidR="003F26A5" w:rsidRPr="00E77388" w:rsidRDefault="00E3307E">
            <w:pPr>
              <w:ind w:left="57" w:right="57" w:firstLine="340"/>
              <w:contextualSpacing/>
              <w:jc w:val="both"/>
              <w:rPr>
                <w:rStyle w:val="a3"/>
                <w:rFonts w:ascii="Times New Roman" w:hAnsi="Times New Roman" w:cs="Times New Roman"/>
                <w:sz w:val="24"/>
                <w:szCs w:val="24"/>
              </w:rPr>
            </w:pPr>
            <w:hyperlink r:id="rId148" w:history="1">
              <w:r w:rsidR="003F26A5" w:rsidRPr="00E77388">
                <w:rPr>
                  <w:rStyle w:val="a3"/>
                  <w:rFonts w:ascii="Times New Roman" w:hAnsi="Times New Roman" w:cs="Times New Roman"/>
                  <w:sz w:val="24"/>
                  <w:szCs w:val="24"/>
                </w:rPr>
                <w:t>https://www.gorvodokanal.com/connection/request/</w:t>
              </w:r>
            </w:hyperlink>
          </w:p>
          <w:p w14:paraId="7120F4D8" w14:textId="77777777" w:rsidR="003F26A5" w:rsidRPr="00E77388" w:rsidRDefault="00E3307E">
            <w:pPr>
              <w:ind w:left="57" w:right="57" w:firstLine="340"/>
              <w:contextualSpacing/>
              <w:jc w:val="both"/>
              <w:rPr>
                <w:rStyle w:val="a3"/>
                <w:rFonts w:ascii="Times New Roman" w:hAnsi="Times New Roman" w:cs="Times New Roman"/>
                <w:sz w:val="24"/>
                <w:szCs w:val="24"/>
              </w:rPr>
            </w:pPr>
            <w:hyperlink r:id="rId149" w:history="1">
              <w:r w:rsidR="003F26A5" w:rsidRPr="00E77388">
                <w:rPr>
                  <w:rStyle w:val="a3"/>
                  <w:rFonts w:ascii="Times New Roman" w:hAnsi="Times New Roman" w:cs="Times New Roman"/>
                  <w:sz w:val="24"/>
                  <w:szCs w:val="24"/>
                </w:rPr>
                <w:t>https://www.gorvodokanal.com/connection/documents/</w:t>
              </w:r>
            </w:hyperlink>
          </w:p>
          <w:p w14:paraId="185E00A7" w14:textId="77777777" w:rsidR="003F26A5" w:rsidRPr="00367300" w:rsidRDefault="00E3307E">
            <w:pPr>
              <w:ind w:left="57" w:right="57" w:firstLine="340"/>
              <w:contextualSpacing/>
              <w:jc w:val="both"/>
              <w:rPr>
                <w:rFonts w:ascii="Times New Roman" w:hAnsi="Times New Roman" w:cs="Times New Roman"/>
                <w:sz w:val="24"/>
                <w:szCs w:val="24"/>
              </w:rPr>
            </w:pPr>
            <w:hyperlink r:id="rId150" w:history="1">
              <w:r w:rsidR="003F26A5" w:rsidRPr="00E77388">
                <w:rPr>
                  <w:rStyle w:val="a3"/>
                  <w:rFonts w:ascii="Times New Roman" w:hAnsi="Times New Roman" w:cs="Times New Roman"/>
                  <w:sz w:val="24"/>
                  <w:szCs w:val="24"/>
                </w:rPr>
                <w:t>https://newsite.gorvodokanal.com/connection/information/</w:t>
              </w:r>
            </w:hyperlink>
          </w:p>
        </w:tc>
      </w:tr>
      <w:tr w:rsidR="003F26A5" w:rsidRPr="00367300" w14:paraId="504DC5B7" w14:textId="77777777" w:rsidTr="003F26A5">
        <w:trPr>
          <w:gridAfter w:val="1"/>
          <w:wAfter w:w="3" w:type="pct"/>
          <w:trHeight w:val="283"/>
        </w:trPr>
        <w:tc>
          <w:tcPr>
            <w:tcW w:w="335" w:type="pct"/>
          </w:tcPr>
          <w:p w14:paraId="188476E0" w14:textId="77777777" w:rsidR="003F26A5" w:rsidRPr="00367300" w:rsidRDefault="003F26A5" w:rsidP="00367300">
            <w:pPr>
              <w:contextualSpacing/>
              <w:rPr>
                <w:rFonts w:ascii="Times New Roman" w:hAnsi="Times New Roman" w:cs="Times New Roman"/>
                <w:bCs/>
                <w:sz w:val="24"/>
                <w:szCs w:val="24"/>
              </w:rPr>
            </w:pPr>
            <w:r w:rsidRPr="00367300">
              <w:rPr>
                <w:rFonts w:ascii="Times New Roman" w:hAnsi="Times New Roman" w:cs="Times New Roman"/>
                <w:bCs/>
                <w:sz w:val="24"/>
                <w:szCs w:val="24"/>
              </w:rPr>
              <w:lastRenderedPageBreak/>
              <w:t>29.7</w:t>
            </w:r>
          </w:p>
        </w:tc>
        <w:tc>
          <w:tcPr>
            <w:tcW w:w="1108" w:type="pct"/>
          </w:tcPr>
          <w:p w14:paraId="2CD1337C"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Размещение на официальных сайтах ОИОГВ НСО </w:t>
            </w:r>
          </w:p>
          <w:p w14:paraId="70B0FA27" w14:textId="77777777" w:rsidR="003F26A5" w:rsidRPr="00367300" w:rsidRDefault="003F26A5" w:rsidP="00367300">
            <w:pPr>
              <w:autoSpaceDE w:val="0"/>
              <w:autoSpaceDN w:val="0"/>
              <w:adjustRightInd w:val="0"/>
              <w:ind w:left="57" w:right="57"/>
              <w:jc w:val="both"/>
              <w:rPr>
                <w:rFonts w:ascii="Times New Roman" w:hAnsi="Times New Roman" w:cs="Times New Roman"/>
                <w:sz w:val="24"/>
                <w:szCs w:val="24"/>
              </w:rPr>
            </w:pPr>
            <w:r w:rsidRPr="00367300">
              <w:rPr>
                <w:rFonts w:ascii="Times New Roman" w:hAnsi="Times New Roman" w:cs="Times New Roman"/>
                <w:sz w:val="24"/>
                <w:szCs w:val="24"/>
              </w:rPr>
              <w:t xml:space="preserve">и Инвестиционном портале Новосибирской области информации о деятельности субъектов естественных монополий, осуществляющих деятельность на территории Новосибирской области, в том числе с помощью ссылок </w:t>
            </w:r>
          </w:p>
          <w:p w14:paraId="5079AFC4" w14:textId="77777777" w:rsidR="003F26A5" w:rsidRPr="00891093" w:rsidRDefault="003F26A5" w:rsidP="00367300">
            <w:pPr>
              <w:autoSpaceDE w:val="0"/>
              <w:autoSpaceDN w:val="0"/>
              <w:adjustRightInd w:val="0"/>
              <w:ind w:left="57" w:right="57"/>
              <w:jc w:val="both"/>
              <w:rPr>
                <w:rFonts w:ascii="Times New Roman" w:hAnsi="Times New Roman" w:cs="Times New Roman"/>
                <w:sz w:val="24"/>
                <w:szCs w:val="24"/>
              </w:rPr>
            </w:pPr>
            <w:r w:rsidRPr="00891093">
              <w:rPr>
                <w:rFonts w:ascii="Times New Roman" w:hAnsi="Times New Roman" w:cs="Times New Roman"/>
                <w:sz w:val="24"/>
                <w:szCs w:val="24"/>
              </w:rPr>
              <w:lastRenderedPageBreak/>
              <w:t xml:space="preserve">на информацию, размещенную </w:t>
            </w:r>
          </w:p>
          <w:p w14:paraId="6758C6F2" w14:textId="77777777" w:rsidR="003F26A5" w:rsidRPr="00891093" w:rsidRDefault="003F26A5" w:rsidP="00891093">
            <w:pPr>
              <w:autoSpaceDE w:val="0"/>
              <w:autoSpaceDN w:val="0"/>
              <w:adjustRightInd w:val="0"/>
              <w:ind w:left="57" w:right="57"/>
              <w:jc w:val="both"/>
              <w:rPr>
                <w:rFonts w:ascii="Times New Roman" w:hAnsi="Times New Roman" w:cs="Times New Roman"/>
                <w:sz w:val="24"/>
                <w:szCs w:val="24"/>
              </w:rPr>
            </w:pPr>
            <w:r w:rsidRPr="00891093">
              <w:rPr>
                <w:rFonts w:ascii="Times New Roman" w:hAnsi="Times New Roman" w:cs="Times New Roman"/>
                <w:sz w:val="24"/>
                <w:szCs w:val="24"/>
              </w:rPr>
              <w:t>на официальных сайтах субъектов естественных монополий</w:t>
            </w:r>
          </w:p>
        </w:tc>
        <w:tc>
          <w:tcPr>
            <w:tcW w:w="723" w:type="pct"/>
          </w:tcPr>
          <w:p w14:paraId="53D51C76"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lastRenderedPageBreak/>
              <w:t>Обеспечение прозрачности деятельности субъектов естественных монополий</w:t>
            </w:r>
          </w:p>
        </w:tc>
        <w:tc>
          <w:tcPr>
            <w:tcW w:w="337" w:type="pct"/>
          </w:tcPr>
          <w:p w14:paraId="31B1BFF2" w14:textId="77777777" w:rsidR="003F26A5" w:rsidRPr="00891093" w:rsidRDefault="003F26A5" w:rsidP="00891093">
            <w:pPr>
              <w:autoSpaceDE w:val="0"/>
              <w:autoSpaceDN w:val="0"/>
              <w:adjustRightInd w:val="0"/>
              <w:rPr>
                <w:rFonts w:ascii="Times New Roman" w:hAnsi="Times New Roman" w:cs="Times New Roman"/>
                <w:sz w:val="24"/>
                <w:szCs w:val="24"/>
              </w:rPr>
            </w:pPr>
            <w:r w:rsidRPr="00891093">
              <w:rPr>
                <w:rFonts w:ascii="Times New Roman" w:hAnsi="Times New Roman" w:cs="Times New Roman"/>
                <w:sz w:val="24"/>
                <w:szCs w:val="24"/>
              </w:rPr>
              <w:t>2019-2021 годы</w:t>
            </w:r>
          </w:p>
        </w:tc>
        <w:tc>
          <w:tcPr>
            <w:tcW w:w="463" w:type="pct"/>
          </w:tcPr>
          <w:p w14:paraId="0B1D8208" w14:textId="77777777" w:rsidR="003F26A5" w:rsidRPr="00891093" w:rsidRDefault="003F26A5" w:rsidP="00891093">
            <w:pPr>
              <w:contextualSpacing/>
              <w:rPr>
                <w:rFonts w:ascii="Times New Roman" w:hAnsi="Times New Roman" w:cs="Times New Roman"/>
                <w:sz w:val="24"/>
                <w:szCs w:val="24"/>
              </w:rPr>
            </w:pPr>
            <w:r w:rsidRPr="00891093">
              <w:rPr>
                <w:rFonts w:ascii="Times New Roman" w:hAnsi="Times New Roman" w:cs="Times New Roman"/>
                <w:sz w:val="24"/>
                <w:szCs w:val="24"/>
              </w:rPr>
              <w:t>МЖКХиЭ НСО,</w:t>
            </w:r>
          </w:p>
          <w:p w14:paraId="06121B97" w14:textId="77777777" w:rsidR="003F26A5" w:rsidRPr="008A0E4E" w:rsidRDefault="003F26A5" w:rsidP="008A0E4E">
            <w:pPr>
              <w:contextualSpacing/>
              <w:rPr>
                <w:rFonts w:ascii="Times New Roman" w:hAnsi="Times New Roman" w:cs="Times New Roman"/>
                <w:sz w:val="24"/>
                <w:szCs w:val="24"/>
              </w:rPr>
            </w:pPr>
            <w:r w:rsidRPr="008A0E4E">
              <w:rPr>
                <w:rFonts w:ascii="Times New Roman" w:hAnsi="Times New Roman" w:cs="Times New Roman"/>
                <w:sz w:val="24"/>
                <w:szCs w:val="24"/>
              </w:rPr>
              <w:t>департамент по тарифам НСО, Минцифра НСО,</w:t>
            </w:r>
          </w:p>
          <w:p w14:paraId="7FB9298C" w14:textId="77777777" w:rsidR="003F26A5" w:rsidRPr="00FC74FE" w:rsidRDefault="003F26A5" w:rsidP="00FC74FE">
            <w:pPr>
              <w:contextualSpacing/>
              <w:rPr>
                <w:rFonts w:ascii="Times New Roman" w:hAnsi="Times New Roman" w:cs="Times New Roman"/>
                <w:sz w:val="24"/>
                <w:szCs w:val="24"/>
              </w:rPr>
            </w:pPr>
            <w:r w:rsidRPr="00FC74FE">
              <w:rPr>
                <w:rFonts w:ascii="Times New Roman" w:hAnsi="Times New Roman" w:cs="Times New Roman"/>
                <w:sz w:val="24"/>
                <w:szCs w:val="24"/>
              </w:rPr>
              <w:t>Минтранс НСО,</w:t>
            </w:r>
          </w:p>
          <w:p w14:paraId="7D7BDAD0" w14:textId="77777777" w:rsidR="003F26A5" w:rsidRPr="009B4FC0" w:rsidRDefault="003F26A5" w:rsidP="009B4FC0">
            <w:pPr>
              <w:contextualSpacing/>
              <w:rPr>
                <w:rFonts w:ascii="Times New Roman" w:hAnsi="Times New Roman" w:cs="Times New Roman"/>
                <w:sz w:val="24"/>
                <w:szCs w:val="24"/>
              </w:rPr>
            </w:pPr>
            <w:r w:rsidRPr="009B4FC0">
              <w:rPr>
                <w:rFonts w:ascii="Times New Roman" w:hAnsi="Times New Roman" w:cs="Times New Roman"/>
                <w:sz w:val="24"/>
                <w:szCs w:val="24"/>
              </w:rPr>
              <w:t>Минэкономразвития НСО</w:t>
            </w:r>
          </w:p>
        </w:tc>
        <w:tc>
          <w:tcPr>
            <w:tcW w:w="2031" w:type="pct"/>
          </w:tcPr>
          <w:p w14:paraId="1386609D" w14:textId="77777777" w:rsidR="003F26A5" w:rsidRPr="00367300" w:rsidRDefault="003F26A5">
            <w:pPr>
              <w:ind w:left="57" w:right="57" w:firstLine="318"/>
              <w:jc w:val="both"/>
              <w:rPr>
                <w:rFonts w:ascii="Times New Roman" w:hAnsi="Times New Roman" w:cs="Times New Roman"/>
                <w:sz w:val="24"/>
                <w:szCs w:val="24"/>
              </w:rPr>
            </w:pPr>
            <w:r w:rsidRPr="00367300">
              <w:rPr>
                <w:rFonts w:ascii="Times New Roman" w:hAnsi="Times New Roman" w:cs="Times New Roman"/>
                <w:sz w:val="24"/>
                <w:szCs w:val="24"/>
              </w:rPr>
              <w:t>Информация о деятельности субъектов естественных монополий в Новосибирской области размещается на различных интернет-сайтах – как самими субъектами естественных монополий, так и регулирующими органами:</w:t>
            </w:r>
          </w:p>
          <w:p w14:paraId="2535350A" w14:textId="77777777" w:rsidR="003F26A5" w:rsidRPr="00367300" w:rsidRDefault="003F26A5">
            <w:pPr>
              <w:ind w:left="57" w:right="57" w:firstLine="318"/>
              <w:jc w:val="both"/>
              <w:rPr>
                <w:rFonts w:ascii="Times New Roman" w:hAnsi="Times New Roman" w:cs="Times New Roman"/>
                <w:sz w:val="24"/>
                <w:szCs w:val="24"/>
              </w:rPr>
            </w:pPr>
            <w:r w:rsidRPr="00367300">
              <w:rPr>
                <w:rFonts w:ascii="Times New Roman" w:hAnsi="Times New Roman" w:cs="Times New Roman"/>
                <w:sz w:val="24"/>
                <w:szCs w:val="24"/>
              </w:rPr>
              <w:t>на сайтах субъектов естественных монополий;</w:t>
            </w:r>
          </w:p>
          <w:p w14:paraId="0540777C" w14:textId="77777777" w:rsidR="003F26A5" w:rsidRPr="00367300" w:rsidRDefault="003F26A5">
            <w:pPr>
              <w:ind w:left="57" w:right="57" w:firstLine="318"/>
              <w:jc w:val="both"/>
              <w:rPr>
                <w:rFonts w:ascii="Times New Roman" w:hAnsi="Times New Roman" w:cs="Times New Roman"/>
                <w:sz w:val="24"/>
                <w:szCs w:val="24"/>
              </w:rPr>
            </w:pPr>
            <w:r w:rsidRPr="00367300">
              <w:rPr>
                <w:rFonts w:ascii="Times New Roman" w:hAnsi="Times New Roman" w:cs="Times New Roman"/>
                <w:sz w:val="24"/>
                <w:szCs w:val="24"/>
              </w:rPr>
              <w:t xml:space="preserve">на сайте департамента по тарифам Новосибирской области </w:t>
            </w:r>
            <w:hyperlink r:id="rId151" w:history="1">
              <w:r w:rsidRPr="00367300">
                <w:rPr>
                  <w:rStyle w:val="a3"/>
                  <w:rFonts w:ascii="Times New Roman" w:hAnsi="Times New Roman" w:cs="Times New Roman"/>
                  <w:sz w:val="24"/>
                  <w:szCs w:val="24"/>
                </w:rPr>
                <w:t>https://tarif.nso.ru</w:t>
              </w:r>
            </w:hyperlink>
            <w:r w:rsidRPr="00367300">
              <w:rPr>
                <w:rFonts w:ascii="Times New Roman" w:hAnsi="Times New Roman" w:cs="Times New Roman"/>
                <w:sz w:val="24"/>
                <w:szCs w:val="24"/>
              </w:rPr>
              <w:t xml:space="preserve"> (разделы: тарифы; инвестиционные программы; межотраслевой совет потребителей по вопросам деятельности субъектов </w:t>
            </w:r>
            <w:r w:rsidRPr="00367300">
              <w:rPr>
                <w:rFonts w:ascii="Times New Roman" w:hAnsi="Times New Roman" w:cs="Times New Roman"/>
                <w:sz w:val="24"/>
                <w:szCs w:val="24"/>
              </w:rPr>
              <w:lastRenderedPageBreak/>
              <w:t>естественных монополий при Губернаторе Новосибирской области);</w:t>
            </w:r>
          </w:p>
          <w:p w14:paraId="15348207" w14:textId="77777777" w:rsidR="003F26A5" w:rsidRPr="00367300" w:rsidRDefault="003F26A5">
            <w:pPr>
              <w:ind w:left="57" w:right="57" w:firstLine="318"/>
              <w:jc w:val="both"/>
              <w:rPr>
                <w:rFonts w:ascii="Times New Roman" w:hAnsi="Times New Roman" w:cs="Times New Roman"/>
                <w:sz w:val="24"/>
                <w:szCs w:val="24"/>
              </w:rPr>
            </w:pPr>
            <w:r w:rsidRPr="00367300">
              <w:rPr>
                <w:rFonts w:ascii="Times New Roman" w:hAnsi="Times New Roman" w:cs="Times New Roman"/>
                <w:sz w:val="24"/>
                <w:szCs w:val="24"/>
              </w:rPr>
              <w:t xml:space="preserve">на портале раскрытия информации департамента по тарифам Новосибирской области </w:t>
            </w:r>
            <w:hyperlink r:id="rId152" w:history="1">
              <w:r w:rsidRPr="00367300">
                <w:rPr>
                  <w:rStyle w:val="a3"/>
                  <w:rFonts w:ascii="Times New Roman" w:hAnsi="Times New Roman" w:cs="Times New Roman"/>
                  <w:sz w:val="24"/>
                  <w:szCs w:val="24"/>
                </w:rPr>
                <w:t>http://tariff.nso.ru/RI2/</w:t>
              </w:r>
            </w:hyperlink>
            <w:r w:rsidRPr="00367300">
              <w:rPr>
                <w:rFonts w:ascii="Times New Roman" w:hAnsi="Times New Roman" w:cs="Times New Roman"/>
                <w:sz w:val="24"/>
                <w:szCs w:val="24"/>
              </w:rPr>
              <w:t xml:space="preserve">  (портал публикации сведений, подлежащих свободному доступу – региональный сегмент ФГИС ЕИАС);</w:t>
            </w:r>
          </w:p>
          <w:p w14:paraId="1A6CFFF1" w14:textId="77777777" w:rsidR="003F26A5" w:rsidRPr="00367300" w:rsidRDefault="003F26A5">
            <w:pPr>
              <w:ind w:left="57" w:right="57" w:firstLine="318"/>
              <w:jc w:val="both"/>
              <w:rPr>
                <w:rFonts w:ascii="Times New Roman" w:hAnsi="Times New Roman" w:cs="Times New Roman"/>
                <w:sz w:val="24"/>
                <w:szCs w:val="24"/>
              </w:rPr>
            </w:pPr>
            <w:r w:rsidRPr="00367300">
              <w:rPr>
                <w:rFonts w:ascii="Times New Roman" w:hAnsi="Times New Roman" w:cs="Times New Roman"/>
                <w:sz w:val="24"/>
                <w:szCs w:val="24"/>
              </w:rPr>
              <w:t xml:space="preserve">на сайте министерства жилищно-коммунального хозяйства и энергетики Новосибирской области </w:t>
            </w:r>
            <w:hyperlink r:id="rId153" w:history="1">
              <w:r w:rsidRPr="00367300">
                <w:rPr>
                  <w:rStyle w:val="a3"/>
                  <w:rFonts w:ascii="Times New Roman" w:hAnsi="Times New Roman" w:cs="Times New Roman"/>
                  <w:sz w:val="24"/>
                  <w:szCs w:val="24"/>
                </w:rPr>
                <w:t>http://mjkh.nso.ru/page/914</w:t>
              </w:r>
            </w:hyperlink>
            <w:r w:rsidRPr="00367300">
              <w:rPr>
                <w:rFonts w:ascii="Times New Roman" w:hAnsi="Times New Roman" w:cs="Times New Roman"/>
                <w:sz w:val="24"/>
                <w:szCs w:val="24"/>
              </w:rPr>
              <w:t xml:space="preserve"> (инвестиционные программы субъектов электроэнергетики);</w:t>
            </w:r>
          </w:p>
          <w:p w14:paraId="62A37945" w14:textId="77777777" w:rsidR="003F26A5" w:rsidRPr="00367300" w:rsidRDefault="003F26A5">
            <w:pPr>
              <w:ind w:left="57" w:right="57" w:firstLine="318"/>
              <w:jc w:val="both"/>
              <w:rPr>
                <w:rFonts w:ascii="Times New Roman" w:hAnsi="Times New Roman" w:cs="Times New Roman"/>
                <w:sz w:val="24"/>
                <w:szCs w:val="24"/>
              </w:rPr>
            </w:pPr>
            <w:r w:rsidRPr="00367300">
              <w:rPr>
                <w:rFonts w:ascii="Times New Roman" w:hAnsi="Times New Roman" w:cs="Times New Roman"/>
                <w:sz w:val="24"/>
                <w:szCs w:val="24"/>
              </w:rPr>
              <w:t xml:space="preserve">на сайте ФГИС «Единый портал государственных и муниципальных услуг (функций)» </w:t>
            </w:r>
            <w:hyperlink r:id="rId154" w:history="1">
              <w:r w:rsidRPr="00367300">
                <w:rPr>
                  <w:rStyle w:val="a3"/>
                  <w:rFonts w:ascii="Times New Roman" w:hAnsi="Times New Roman" w:cs="Times New Roman"/>
                  <w:sz w:val="24"/>
                  <w:szCs w:val="24"/>
                </w:rPr>
                <w:t>https://invest.gosuslugi.ru</w:t>
              </w:r>
            </w:hyperlink>
            <w:r w:rsidRPr="00367300">
              <w:rPr>
                <w:rFonts w:ascii="Times New Roman" w:hAnsi="Times New Roman" w:cs="Times New Roman"/>
                <w:sz w:val="24"/>
                <w:szCs w:val="24"/>
              </w:rPr>
              <w:t xml:space="preserve"> (раскрытие информации об инвестиционных программах (о проектах инвестиционных программ и (или) изменений, вносимых в инвестиционные программы) субъектов электроэнергетики и отчетах об их реализации).</w:t>
            </w:r>
          </w:p>
          <w:p w14:paraId="3470392A" w14:textId="77777777" w:rsidR="003F26A5" w:rsidRPr="00367300" w:rsidRDefault="003F26A5">
            <w:pPr>
              <w:ind w:left="57" w:right="57" w:firstLine="318"/>
              <w:contextualSpacing/>
              <w:jc w:val="both"/>
              <w:rPr>
                <w:rFonts w:ascii="Times New Roman" w:hAnsi="Times New Roman" w:cs="Times New Roman"/>
                <w:sz w:val="24"/>
                <w:szCs w:val="24"/>
              </w:rPr>
            </w:pPr>
            <w:r w:rsidRPr="00367300">
              <w:rPr>
                <w:rFonts w:ascii="Times New Roman" w:hAnsi="Times New Roman" w:cs="Times New Roman"/>
                <w:sz w:val="24"/>
                <w:szCs w:val="24"/>
              </w:rPr>
              <w:t xml:space="preserve">Также в информация размещается в разделах «Естественные монополии» на официальном сайте министерства экономического развития Новосибирской области </w:t>
            </w:r>
            <w:hyperlink r:id="rId155" w:history="1">
              <w:r w:rsidRPr="00367300">
                <w:rPr>
                  <w:rStyle w:val="a3"/>
                  <w:rFonts w:ascii="Times New Roman" w:hAnsi="Times New Roman" w:cs="Times New Roman"/>
                  <w:sz w:val="24"/>
                  <w:szCs w:val="24"/>
                </w:rPr>
                <w:t>http://econom.nso.ru/page/1066</w:t>
              </w:r>
            </w:hyperlink>
            <w:r w:rsidRPr="00367300">
              <w:rPr>
                <w:rFonts w:ascii="Times New Roman" w:hAnsi="Times New Roman" w:cs="Times New Roman"/>
                <w:sz w:val="24"/>
                <w:szCs w:val="24"/>
              </w:rPr>
              <w:t xml:space="preserve"> и Инвестиционном портале Новосибирской области </w:t>
            </w:r>
            <w:hyperlink r:id="rId156" w:history="1">
              <w:r w:rsidRPr="00367300">
                <w:rPr>
                  <w:rStyle w:val="a3"/>
                  <w:rFonts w:ascii="Times New Roman" w:hAnsi="Times New Roman" w:cs="Times New Roman"/>
                  <w:sz w:val="24"/>
                  <w:szCs w:val="24"/>
                </w:rPr>
                <w:t>http://invest.nso.ru/ru/page/435</w:t>
              </w:r>
            </w:hyperlink>
          </w:p>
        </w:tc>
      </w:tr>
    </w:tbl>
    <w:p w14:paraId="52A6E5EE" w14:textId="77777777" w:rsidR="00B42DF0" w:rsidRDefault="00B42DF0" w:rsidP="00D92E6E">
      <w:pPr>
        <w:ind w:firstLine="709"/>
        <w:jc w:val="both"/>
        <w:rPr>
          <w:rFonts w:ascii="Times New Roman" w:hAnsi="Times New Roman" w:cs="Times New Roman"/>
          <w:sz w:val="28"/>
          <w:szCs w:val="28"/>
        </w:rPr>
        <w:sectPr w:rsidR="00B42DF0" w:rsidSect="00B42DF0">
          <w:pgSz w:w="16838" w:h="11906" w:orient="landscape" w:code="9"/>
          <w:pgMar w:top="1418" w:right="1134" w:bottom="567" w:left="1134" w:header="709" w:footer="709" w:gutter="0"/>
          <w:cols w:space="708"/>
          <w:docGrid w:linePitch="360"/>
        </w:sectPr>
      </w:pPr>
    </w:p>
    <w:p w14:paraId="67CFBD3E" w14:textId="77777777" w:rsidR="003F4CFF" w:rsidRPr="000273F6" w:rsidRDefault="003F4CFF" w:rsidP="00D92E6E">
      <w:pPr>
        <w:ind w:firstLine="709"/>
        <w:jc w:val="both"/>
      </w:pPr>
    </w:p>
    <w:p w14:paraId="279BCEF0" w14:textId="77777777" w:rsidR="003F4CFF" w:rsidRPr="00F732D1" w:rsidRDefault="00D02EBE" w:rsidP="003F4CFF">
      <w:pPr>
        <w:pStyle w:val="ac"/>
        <w:ind w:firstLine="567"/>
        <w:jc w:val="both"/>
        <w:outlineLvl w:val="1"/>
        <w:rPr>
          <w:rFonts w:ascii="Times New Roman" w:hAnsi="Times New Roman"/>
          <w:b/>
        </w:rPr>
      </w:pPr>
      <w:bookmarkStart w:id="121" w:name="_Toc31983987"/>
      <w:bookmarkStart w:id="122" w:name="_Toc32240327"/>
      <w:bookmarkStart w:id="123" w:name="_Toc32421912"/>
      <w:bookmarkStart w:id="124" w:name="_Toc34129192"/>
      <w:r>
        <w:rPr>
          <w:rFonts w:ascii="Times New Roman" w:hAnsi="Times New Roman"/>
          <w:b/>
        </w:rPr>
        <w:t>2.4. </w:t>
      </w:r>
      <w:r w:rsidR="003F4CFF" w:rsidRPr="00F732D1">
        <w:rPr>
          <w:rFonts w:ascii="Times New Roman" w:hAnsi="Times New Roman"/>
          <w:b/>
        </w:rPr>
        <w:t>Утве</w:t>
      </w:r>
      <w:r w:rsidR="003F4CFF">
        <w:rPr>
          <w:rFonts w:ascii="Times New Roman" w:hAnsi="Times New Roman"/>
          <w:b/>
        </w:rPr>
        <w:t>рждение перечня товарных рынков</w:t>
      </w:r>
      <w:bookmarkEnd w:id="121"/>
      <w:bookmarkEnd w:id="122"/>
      <w:bookmarkEnd w:id="123"/>
      <w:bookmarkEnd w:id="124"/>
    </w:p>
    <w:p w14:paraId="1F5E97BE" w14:textId="77777777" w:rsidR="003F4CFF" w:rsidRPr="00937ECC" w:rsidRDefault="003F4CFF" w:rsidP="003F4CFF">
      <w:pPr>
        <w:ind w:firstLine="567"/>
        <w:jc w:val="both"/>
        <w:rPr>
          <w:rFonts w:ascii="Times New Roman" w:eastAsia="Times New Roman" w:hAnsi="Times New Roman" w:cs="Times New Roman"/>
          <w:sz w:val="28"/>
          <w:szCs w:val="28"/>
        </w:rPr>
      </w:pPr>
      <w:r w:rsidRPr="00937ECC">
        <w:rPr>
          <w:rFonts w:ascii="Times New Roman" w:eastAsia="Times New Roman" w:hAnsi="Times New Roman" w:cs="Times New Roman"/>
          <w:sz w:val="28"/>
          <w:szCs w:val="28"/>
        </w:rPr>
        <w:t xml:space="preserve">Перечень </w:t>
      </w:r>
      <w:r>
        <w:rPr>
          <w:rFonts w:ascii="Times New Roman" w:eastAsia="Times New Roman" w:hAnsi="Times New Roman" w:cs="Times New Roman"/>
          <w:sz w:val="28"/>
          <w:szCs w:val="28"/>
        </w:rPr>
        <w:t>товарных</w:t>
      </w:r>
      <w:r w:rsidRPr="00937ECC">
        <w:rPr>
          <w:rFonts w:ascii="Times New Roman" w:eastAsia="Times New Roman" w:hAnsi="Times New Roman" w:cs="Times New Roman"/>
          <w:sz w:val="28"/>
          <w:szCs w:val="28"/>
        </w:rPr>
        <w:t xml:space="preserve"> рынков для содействия развитию конкуренции в </w:t>
      </w:r>
      <w:r w:rsidRPr="00046D27">
        <w:rPr>
          <w:rFonts w:ascii="Times New Roman" w:eastAsia="Times New Roman" w:hAnsi="Times New Roman" w:cs="Times New Roman"/>
          <w:sz w:val="28"/>
          <w:szCs w:val="28"/>
        </w:rPr>
        <w:t>Новосибирской области утвержден постановлением Губернатора Новосибирской области от 20.12.2019 № 287 «Об утверждении перечня товарных рынков для содействия развитию конкуренции и плана мероприятий</w:t>
      </w:r>
      <w:r w:rsidRPr="00937ECC">
        <w:rPr>
          <w:rFonts w:ascii="Times New Roman" w:eastAsia="Times New Roman" w:hAnsi="Times New Roman" w:cs="Times New Roman"/>
          <w:sz w:val="28"/>
          <w:szCs w:val="28"/>
        </w:rPr>
        <w:t xml:space="preserve"> («дорожной карты») по содействию развитию конкуренции в </w:t>
      </w:r>
      <w:r w:rsidRPr="00046D27">
        <w:rPr>
          <w:rFonts w:ascii="Times New Roman" w:eastAsia="Times New Roman" w:hAnsi="Times New Roman" w:cs="Times New Roman"/>
          <w:sz w:val="28"/>
          <w:szCs w:val="28"/>
        </w:rPr>
        <w:t>Новосибирской области» (</w:t>
      </w:r>
      <w:r w:rsidRPr="000A11D1">
        <w:rPr>
          <w:rFonts w:ascii="Times New Roman" w:eastAsia="Times New Roman" w:hAnsi="Times New Roman" w:cs="Times New Roman"/>
          <w:sz w:val="28"/>
          <w:szCs w:val="28"/>
        </w:rPr>
        <w:t>Приложение 1</w:t>
      </w:r>
      <w:r w:rsidR="000A11D1" w:rsidRPr="000A11D1">
        <w:rPr>
          <w:rFonts w:ascii="Times New Roman" w:eastAsia="Times New Roman" w:hAnsi="Times New Roman" w:cs="Times New Roman"/>
          <w:sz w:val="28"/>
          <w:szCs w:val="28"/>
        </w:rPr>
        <w:t>2</w:t>
      </w:r>
      <w:r w:rsidRPr="000A11D1">
        <w:rPr>
          <w:rFonts w:ascii="Times New Roman" w:eastAsia="Times New Roman" w:hAnsi="Times New Roman" w:cs="Times New Roman"/>
          <w:sz w:val="28"/>
          <w:szCs w:val="28"/>
        </w:rPr>
        <w:t>).</w:t>
      </w:r>
    </w:p>
    <w:p w14:paraId="0AF0239A" w14:textId="77777777" w:rsidR="003F4CFF" w:rsidRDefault="003F4CFF" w:rsidP="003F4CFF">
      <w:pPr>
        <w:autoSpaceDE w:val="0"/>
        <w:autoSpaceDN w:val="0"/>
        <w:adjustRightInd w:val="0"/>
        <w:ind w:firstLine="567"/>
        <w:jc w:val="both"/>
        <w:rPr>
          <w:rFonts w:ascii="Times New Roman" w:hAnsi="Times New Roman" w:cs="Times New Roman"/>
          <w:sz w:val="28"/>
          <w:szCs w:val="28"/>
        </w:rPr>
      </w:pPr>
      <w:r w:rsidRPr="00937ECC">
        <w:rPr>
          <w:rFonts w:ascii="Times New Roman" w:eastAsia="Times New Roman" w:hAnsi="Times New Roman" w:cs="Times New Roman"/>
          <w:sz w:val="28"/>
          <w:szCs w:val="28"/>
        </w:rPr>
        <w:t xml:space="preserve">При формировании перечня </w:t>
      </w:r>
      <w:r>
        <w:rPr>
          <w:rFonts w:ascii="Times New Roman" w:eastAsia="Times New Roman" w:hAnsi="Times New Roman" w:cs="Times New Roman"/>
          <w:sz w:val="28"/>
          <w:szCs w:val="28"/>
        </w:rPr>
        <w:t>товарных</w:t>
      </w:r>
      <w:r w:rsidRPr="00937ECC">
        <w:rPr>
          <w:rFonts w:ascii="Times New Roman" w:eastAsia="Times New Roman" w:hAnsi="Times New Roman" w:cs="Times New Roman"/>
          <w:sz w:val="28"/>
          <w:szCs w:val="28"/>
        </w:rPr>
        <w:t xml:space="preserve"> рынков (далее – перечень) учтены рекоме</w:t>
      </w:r>
      <w:r>
        <w:rPr>
          <w:rFonts w:ascii="Times New Roman" w:eastAsia="Times New Roman" w:hAnsi="Times New Roman" w:cs="Times New Roman"/>
          <w:sz w:val="28"/>
          <w:szCs w:val="28"/>
        </w:rPr>
        <w:t xml:space="preserve">ндации Стандарта, утвержденного </w:t>
      </w:r>
      <w:r>
        <w:rPr>
          <w:rFonts w:ascii="Times New Roman" w:hAnsi="Times New Roman" w:cs="Times New Roman"/>
          <w:sz w:val="28"/>
          <w:szCs w:val="28"/>
        </w:rPr>
        <w:t>Распоряжением Правительства РФ от 17.04.2019 № 768-р «Об утверждении стандарта развития конкуренции в субъектах Российской Федерации».</w:t>
      </w:r>
    </w:p>
    <w:p w14:paraId="39927AAD" w14:textId="77777777" w:rsidR="003F4CFF" w:rsidRDefault="003F4CFF" w:rsidP="003F4CFF">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По каждому товарному рынку имеется обоснование выбора, описана текущая ситуация, проведен анализ основных проблем и методов их решения, а также установлены обязательные для достижения ключевые показатели. В перечень товарных рынков включено 33 товарных рынка из перечня товарных рынков согласно </w:t>
      </w:r>
      <w:hyperlink r:id="rId157" w:history="1">
        <w:r w:rsidRPr="00A73D0B">
          <w:rPr>
            <w:rFonts w:ascii="Times New Roman" w:hAnsi="Times New Roman" w:cs="Times New Roman"/>
            <w:sz w:val="28"/>
            <w:szCs w:val="28"/>
          </w:rPr>
          <w:t>приложению</w:t>
        </w:r>
      </w:hyperlink>
      <w:r w:rsidRPr="00A73D0B">
        <w:rPr>
          <w:rFonts w:ascii="Times New Roman" w:hAnsi="Times New Roman" w:cs="Times New Roman"/>
          <w:sz w:val="28"/>
          <w:szCs w:val="28"/>
        </w:rPr>
        <w:t xml:space="preserve"> к с</w:t>
      </w:r>
      <w:r>
        <w:rPr>
          <w:rFonts w:ascii="Times New Roman" w:hAnsi="Times New Roman" w:cs="Times New Roman"/>
          <w:sz w:val="28"/>
          <w:szCs w:val="28"/>
        </w:rPr>
        <w:t>тандарту развития конкуренции в субъектах Российской Федерации.</w:t>
      </w:r>
    </w:p>
    <w:p w14:paraId="43790D5F" w14:textId="77777777" w:rsidR="003F4CFF" w:rsidRPr="00937ECC"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937ECC">
        <w:rPr>
          <w:rFonts w:ascii="Times New Roman" w:eastAsia="Times New Roman" w:hAnsi="Times New Roman" w:cs="Times New Roman"/>
          <w:sz w:val="28"/>
          <w:szCs w:val="28"/>
        </w:rPr>
        <w:t xml:space="preserve">Формирование </w:t>
      </w:r>
      <w:hyperlink r:id="rId158" w:history="1">
        <w:r w:rsidRPr="00937ECC">
          <w:rPr>
            <w:rFonts w:ascii="Times New Roman" w:eastAsia="Times New Roman" w:hAnsi="Times New Roman" w:cs="Times New Roman"/>
            <w:color w:val="000000"/>
            <w:sz w:val="28"/>
            <w:szCs w:val="28"/>
          </w:rPr>
          <w:t>перечня</w:t>
        </w:r>
      </w:hyperlink>
      <w:r w:rsidRPr="00937ECC">
        <w:rPr>
          <w:rFonts w:ascii="Times New Roman" w:eastAsia="Times New Roman" w:hAnsi="Times New Roman" w:cs="Times New Roman"/>
          <w:sz w:val="28"/>
          <w:szCs w:val="28"/>
        </w:rPr>
        <w:t xml:space="preserve"> осуществлялось на основе следующих данных:</w:t>
      </w:r>
    </w:p>
    <w:p w14:paraId="1602DD24" w14:textId="77777777" w:rsidR="003F4CFF" w:rsidRPr="00937ECC"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937ECC">
        <w:rPr>
          <w:rFonts w:ascii="Times New Roman" w:eastAsia="Times New Roman" w:hAnsi="Times New Roman" w:cs="Times New Roman"/>
          <w:sz w:val="28"/>
          <w:szCs w:val="28"/>
        </w:rPr>
        <w:t>информации УФАС по Новосибирской области, полученной в результате анализа товарных рынков Новосибирской области и в результате проведения антимонопольного контроля;</w:t>
      </w:r>
    </w:p>
    <w:p w14:paraId="06EA6993" w14:textId="5A4C6EDE" w:rsidR="003F4CFF" w:rsidRPr="00937ECC"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937ECC">
        <w:rPr>
          <w:rFonts w:ascii="Times New Roman" w:eastAsia="Times New Roman" w:hAnsi="Times New Roman" w:cs="Times New Roman"/>
          <w:sz w:val="28"/>
          <w:szCs w:val="28"/>
        </w:rPr>
        <w:t>достигнутых показателях социально-экономического развития Новосибирской области</w:t>
      </w:r>
      <w:r w:rsidR="00891093">
        <w:rPr>
          <w:rFonts w:ascii="Times New Roman" w:eastAsia="Times New Roman" w:hAnsi="Times New Roman" w:cs="Times New Roman"/>
          <w:sz w:val="28"/>
          <w:szCs w:val="28"/>
        </w:rPr>
        <w:t>,</w:t>
      </w:r>
      <w:r w:rsidRPr="00937ECC">
        <w:rPr>
          <w:rFonts w:ascii="Times New Roman" w:eastAsia="Times New Roman" w:hAnsi="Times New Roman" w:cs="Times New Roman"/>
          <w:sz w:val="28"/>
          <w:szCs w:val="28"/>
        </w:rPr>
        <w:t xml:space="preserve"> включая показатели по каждому из отдельных муниципальных образований на основе ежеквартального мониторинга социально-экономического развития муниципальных районов и городских округов Новосибирской области;</w:t>
      </w:r>
    </w:p>
    <w:p w14:paraId="69E0E86B" w14:textId="77777777" w:rsidR="003F4CFF" w:rsidRPr="00084B9C" w:rsidRDefault="003F4CFF" w:rsidP="003F4CFF">
      <w:pPr>
        <w:autoSpaceDE w:val="0"/>
        <w:autoSpaceDN w:val="0"/>
        <w:adjustRightInd w:val="0"/>
        <w:ind w:firstLine="567"/>
        <w:jc w:val="both"/>
        <w:rPr>
          <w:rFonts w:ascii="Times New Roman" w:hAnsi="Times New Roman" w:cs="Times New Roman"/>
          <w:sz w:val="28"/>
          <w:szCs w:val="28"/>
        </w:rPr>
      </w:pPr>
      <w:r w:rsidRPr="00937ECC">
        <w:rPr>
          <w:rFonts w:ascii="Times New Roman" w:eastAsia="Times New Roman" w:hAnsi="Times New Roman" w:cs="Times New Roman"/>
          <w:sz w:val="28"/>
          <w:szCs w:val="28"/>
        </w:rPr>
        <w:t xml:space="preserve">инвестиционных приоритетах, определенных </w:t>
      </w:r>
      <w:hyperlink r:id="rId159" w:history="1">
        <w:r w:rsidRPr="00084B9C">
          <w:rPr>
            <w:rFonts w:ascii="Times New Roman" w:hAnsi="Times New Roman" w:cs="Times New Roman"/>
            <w:sz w:val="28"/>
            <w:szCs w:val="28"/>
          </w:rPr>
          <w:t>Стратегией</w:t>
        </w:r>
      </w:hyperlink>
      <w:r w:rsidRPr="00084B9C">
        <w:rPr>
          <w:rFonts w:ascii="Times New Roman" w:hAnsi="Times New Roman" w:cs="Times New Roman"/>
          <w:sz w:val="28"/>
          <w:szCs w:val="28"/>
        </w:rPr>
        <w:t xml:space="preserve"> </w:t>
      </w:r>
      <w:r>
        <w:rPr>
          <w:rFonts w:ascii="Times New Roman" w:hAnsi="Times New Roman" w:cs="Times New Roman"/>
          <w:sz w:val="28"/>
          <w:szCs w:val="28"/>
        </w:rPr>
        <w:t>социально-экономического развития Новосибирской области на период до 2030 года, утвержденной постановлением Правительства Новосибирской области от 19.03.2019 №</w:t>
      </w:r>
      <w:r w:rsidR="00931DCB">
        <w:rPr>
          <w:rFonts w:ascii="Times New Roman" w:hAnsi="Times New Roman" w:cs="Times New Roman"/>
          <w:sz w:val="28"/>
          <w:szCs w:val="28"/>
        </w:rPr>
        <w:t xml:space="preserve"> </w:t>
      </w:r>
      <w:r>
        <w:rPr>
          <w:rFonts w:ascii="Times New Roman" w:hAnsi="Times New Roman" w:cs="Times New Roman"/>
          <w:sz w:val="28"/>
          <w:szCs w:val="28"/>
        </w:rPr>
        <w:t xml:space="preserve">105-п, и </w:t>
      </w:r>
      <w:r w:rsidRPr="00937ECC">
        <w:rPr>
          <w:rFonts w:ascii="Times New Roman" w:eastAsia="Times New Roman" w:hAnsi="Times New Roman" w:cs="Times New Roman"/>
          <w:sz w:val="28"/>
          <w:szCs w:val="28"/>
        </w:rPr>
        <w:t>Инвестиционной стратегией Новосибирской области до 2030 года, утвержденной постановлением Правительства Новосибирской области от 25.12.2014 № 541-п;</w:t>
      </w:r>
    </w:p>
    <w:p w14:paraId="74413DAA" w14:textId="77777777" w:rsidR="003F4CFF" w:rsidRPr="00937ECC"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937ECC">
        <w:rPr>
          <w:rFonts w:ascii="Times New Roman" w:eastAsia="Times New Roman" w:hAnsi="Times New Roman" w:cs="Times New Roman"/>
          <w:sz w:val="28"/>
          <w:szCs w:val="28"/>
        </w:rPr>
        <w:t>информации, содержащейся в документах стратегического планирования Новосибирской области, муниципальных районов и городски</w:t>
      </w:r>
      <w:r>
        <w:rPr>
          <w:rFonts w:ascii="Times New Roman" w:eastAsia="Times New Roman" w:hAnsi="Times New Roman" w:cs="Times New Roman"/>
          <w:sz w:val="28"/>
          <w:szCs w:val="28"/>
        </w:rPr>
        <w:t>х округов Новосибирской области</w:t>
      </w:r>
      <w:r w:rsidRPr="00937ECC">
        <w:rPr>
          <w:rFonts w:ascii="Times New Roman" w:eastAsia="Times New Roman" w:hAnsi="Times New Roman" w:cs="Times New Roman"/>
          <w:sz w:val="28"/>
          <w:szCs w:val="28"/>
        </w:rPr>
        <w:t>;</w:t>
      </w:r>
    </w:p>
    <w:p w14:paraId="05E79913" w14:textId="77777777" w:rsidR="003F4CFF" w:rsidRPr="00937ECC"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937ECC">
        <w:rPr>
          <w:rFonts w:ascii="Times New Roman" w:eastAsia="Times New Roman" w:hAnsi="Times New Roman" w:cs="Times New Roman"/>
          <w:sz w:val="28"/>
          <w:szCs w:val="28"/>
        </w:rPr>
        <w:t>результатов аналитических исследований и опросов субъектов предпринимательской деятельности, потребителей товаров, работ и услуг и общественных организаций, представляющих интересы потребителей, включая результаты мониторинга.</w:t>
      </w:r>
    </w:p>
    <w:p w14:paraId="20E81A30" w14:textId="77777777" w:rsidR="003F4CFF" w:rsidRDefault="003F4CFF" w:rsidP="003F4CFF">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 размещен</w:t>
      </w:r>
      <w:r w:rsidRPr="00937ECC">
        <w:rPr>
          <w:rFonts w:ascii="Times New Roman" w:eastAsia="Times New Roman" w:hAnsi="Times New Roman" w:cs="Times New Roman"/>
          <w:sz w:val="28"/>
          <w:szCs w:val="28"/>
        </w:rPr>
        <w:t xml:space="preserve"> на официальном сайте министерства экономического развития Новосибирской области (</w:t>
      </w:r>
      <w:hyperlink r:id="rId160" w:history="1">
        <w:r w:rsidRPr="00937ECC">
          <w:rPr>
            <w:rFonts w:ascii="Times New Roman" w:eastAsia="Times New Roman" w:hAnsi="Times New Roman" w:cs="Times New Roman"/>
            <w:color w:val="0000FF"/>
            <w:sz w:val="28"/>
            <w:szCs w:val="28"/>
            <w:u w:val="single"/>
          </w:rPr>
          <w:t>http://www.econom.nso.ru/page/460</w:t>
        </w:r>
      </w:hyperlink>
      <w:r w:rsidRPr="00937ECC">
        <w:rPr>
          <w:rFonts w:ascii="Times New Roman" w:eastAsia="Times New Roman" w:hAnsi="Times New Roman" w:cs="Times New Roman"/>
          <w:sz w:val="28"/>
          <w:szCs w:val="28"/>
        </w:rPr>
        <w:t>) и Инвестиционном портале Новосибирской области (</w:t>
      </w:r>
      <w:hyperlink r:id="rId161" w:history="1">
        <w:r w:rsidRPr="00937ECC">
          <w:rPr>
            <w:rFonts w:ascii="Times New Roman" w:eastAsia="Times New Roman" w:hAnsi="Times New Roman" w:cs="Times New Roman"/>
            <w:color w:val="0000FF"/>
            <w:sz w:val="28"/>
            <w:szCs w:val="28"/>
            <w:u w:val="single"/>
          </w:rPr>
          <w:t>http://www.invest.nso.ru/ru/content/normativno-pravovye-akty-3</w:t>
        </w:r>
      </w:hyperlink>
      <w:r>
        <w:rPr>
          <w:rFonts w:ascii="Times New Roman" w:eastAsia="Times New Roman" w:hAnsi="Times New Roman" w:cs="Times New Roman"/>
          <w:sz w:val="28"/>
          <w:szCs w:val="28"/>
        </w:rPr>
        <w:t>).</w:t>
      </w:r>
    </w:p>
    <w:p w14:paraId="03416454" w14:textId="77777777" w:rsidR="003F4CFF" w:rsidRPr="005A05DF"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937ECC">
        <w:rPr>
          <w:rFonts w:ascii="Times New Roman" w:eastAsia="Times New Roman" w:hAnsi="Times New Roman" w:cs="Times New Roman"/>
          <w:sz w:val="28"/>
          <w:szCs w:val="28"/>
        </w:rPr>
        <w:lastRenderedPageBreak/>
        <w:t xml:space="preserve">Перечень </w:t>
      </w:r>
      <w:r>
        <w:rPr>
          <w:rFonts w:ascii="Times New Roman" w:eastAsia="Times New Roman" w:hAnsi="Times New Roman" w:cs="Times New Roman"/>
          <w:sz w:val="28"/>
          <w:szCs w:val="28"/>
        </w:rPr>
        <w:t>товарны</w:t>
      </w:r>
      <w:r w:rsidRPr="00937ECC">
        <w:rPr>
          <w:rFonts w:ascii="Times New Roman" w:eastAsia="Times New Roman" w:hAnsi="Times New Roman" w:cs="Times New Roman"/>
          <w:sz w:val="28"/>
          <w:szCs w:val="28"/>
        </w:rPr>
        <w:t>х рынков для содействия развитию конкуренции</w:t>
      </w:r>
      <w:r>
        <w:rPr>
          <w:rFonts w:ascii="Times New Roman" w:eastAsia="Courier New" w:hAnsi="Times New Roman" w:cs="Times New Roman"/>
          <w:sz w:val="28"/>
          <w:szCs w:val="24"/>
          <w:lang w:eastAsia="en-US" w:bidi="ru-RU"/>
        </w:rPr>
        <w:t xml:space="preserve"> представлен</w:t>
      </w:r>
      <w:r w:rsidRPr="00937ECC">
        <w:rPr>
          <w:rFonts w:ascii="Times New Roman" w:eastAsia="Courier New" w:hAnsi="Times New Roman" w:cs="Times New Roman"/>
          <w:sz w:val="28"/>
          <w:szCs w:val="24"/>
          <w:lang w:eastAsia="en-US" w:bidi="ru-RU"/>
        </w:rPr>
        <w:t xml:space="preserve"> в </w:t>
      </w:r>
      <w:r w:rsidRPr="00B66EBE">
        <w:rPr>
          <w:rFonts w:ascii="Times New Roman" w:eastAsia="Courier New" w:hAnsi="Times New Roman" w:cs="Times New Roman"/>
          <w:sz w:val="28"/>
          <w:szCs w:val="24"/>
          <w:lang w:eastAsia="en-US" w:bidi="ru-RU"/>
        </w:rPr>
        <w:t>таблице 2</w:t>
      </w:r>
      <w:r w:rsidR="00931DCB">
        <w:rPr>
          <w:rFonts w:ascii="Times New Roman" w:eastAsia="Courier New" w:hAnsi="Times New Roman" w:cs="Times New Roman"/>
          <w:sz w:val="28"/>
          <w:szCs w:val="24"/>
          <w:lang w:eastAsia="en-US" w:bidi="ru-RU"/>
        </w:rPr>
        <w:t>7</w:t>
      </w:r>
      <w:r w:rsidRPr="00B66EBE">
        <w:rPr>
          <w:rFonts w:ascii="Times New Roman" w:eastAsia="Courier New" w:hAnsi="Times New Roman" w:cs="Times New Roman"/>
          <w:sz w:val="28"/>
          <w:szCs w:val="24"/>
          <w:lang w:eastAsia="en-US" w:bidi="ru-RU"/>
        </w:rPr>
        <w:t>.</w:t>
      </w:r>
    </w:p>
    <w:p w14:paraId="7EB2A987" w14:textId="77777777" w:rsidR="003F4CFF" w:rsidRDefault="003F4CFF" w:rsidP="003F4CFF">
      <w:pPr>
        <w:jc w:val="both"/>
        <w:rPr>
          <w:rFonts w:ascii="Times New Roman" w:eastAsia="Times New Roman" w:hAnsi="Times New Roman" w:cs="Times New Roman"/>
          <w:sz w:val="28"/>
          <w:szCs w:val="28"/>
        </w:rPr>
      </w:pPr>
    </w:p>
    <w:p w14:paraId="271E9709" w14:textId="77777777" w:rsidR="003F4CFF" w:rsidRPr="00B12DF7" w:rsidRDefault="003F4CFF" w:rsidP="003F4CFF">
      <w:pPr>
        <w:jc w:val="both"/>
        <w:rPr>
          <w:rFonts w:ascii="Times New Roman" w:eastAsia="Courier New" w:hAnsi="Times New Roman" w:cs="Times New Roman"/>
          <w:sz w:val="28"/>
          <w:szCs w:val="24"/>
          <w:lang w:eastAsia="en-US" w:bidi="ru-RU"/>
        </w:rPr>
      </w:pPr>
      <w:r>
        <w:rPr>
          <w:rFonts w:ascii="Times New Roman" w:eastAsia="Courier New" w:hAnsi="Times New Roman" w:cs="Times New Roman"/>
          <w:sz w:val="28"/>
          <w:szCs w:val="24"/>
          <w:lang w:eastAsia="en-US" w:bidi="ru-RU"/>
        </w:rPr>
        <w:t>Таблица 2</w:t>
      </w:r>
      <w:r w:rsidR="00931DCB">
        <w:rPr>
          <w:rFonts w:ascii="Times New Roman" w:eastAsia="Courier New" w:hAnsi="Times New Roman" w:cs="Times New Roman"/>
          <w:sz w:val="28"/>
          <w:szCs w:val="24"/>
          <w:lang w:eastAsia="en-US" w:bidi="ru-RU"/>
        </w:rPr>
        <w:t>7</w:t>
      </w:r>
      <w:r>
        <w:rPr>
          <w:rFonts w:ascii="Times New Roman" w:eastAsia="Courier New" w:hAnsi="Times New Roman" w:cs="Times New Roman"/>
          <w:sz w:val="28"/>
          <w:szCs w:val="24"/>
          <w:lang w:eastAsia="en-US" w:bidi="ru-RU"/>
        </w:rPr>
        <w:t xml:space="preserve"> – Перечень товарных рынков </w:t>
      </w:r>
      <w:r w:rsidRPr="00B12DF7">
        <w:rPr>
          <w:rFonts w:ascii="Times New Roman" w:eastAsia="Courier New" w:hAnsi="Times New Roman" w:cs="Times New Roman"/>
          <w:sz w:val="28"/>
          <w:szCs w:val="24"/>
          <w:lang w:eastAsia="en-US" w:bidi="ru-RU"/>
        </w:rPr>
        <w:t>для содействия развитию конкуренции в Новосибирской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550"/>
        <w:gridCol w:w="3826"/>
        <w:gridCol w:w="5535"/>
      </w:tblGrid>
      <w:tr w:rsidR="003F4CFF" w:rsidRPr="00EE5B14" w14:paraId="2C9A6B5C" w14:textId="77777777" w:rsidTr="000221BE">
        <w:tc>
          <w:tcPr>
            <w:tcW w:w="220" w:type="pct"/>
            <w:shd w:val="clear" w:color="auto" w:fill="auto"/>
          </w:tcPr>
          <w:p w14:paraId="5B94E98B"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w:t>
            </w:r>
          </w:p>
          <w:p w14:paraId="7AD058F4"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п/п</w:t>
            </w:r>
          </w:p>
        </w:tc>
        <w:tc>
          <w:tcPr>
            <w:tcW w:w="1959" w:type="pct"/>
            <w:shd w:val="clear" w:color="auto" w:fill="FFFFFF"/>
          </w:tcPr>
          <w:p w14:paraId="25F17237"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Наименование товарного рынка</w:t>
            </w:r>
          </w:p>
        </w:tc>
        <w:tc>
          <w:tcPr>
            <w:tcW w:w="2821" w:type="pct"/>
            <w:shd w:val="clear" w:color="auto" w:fill="FFFFFF"/>
          </w:tcPr>
          <w:p w14:paraId="3AB77F46" w14:textId="77777777" w:rsidR="003F4CFF" w:rsidRPr="003C59E5" w:rsidRDefault="003F4CFF" w:rsidP="003F4CFF">
            <w:pPr>
              <w:rPr>
                <w:rFonts w:ascii="Times New Roman" w:hAnsi="Times New Roman" w:cs="Times New Roman"/>
                <w:i/>
                <w:sz w:val="24"/>
                <w:szCs w:val="24"/>
              </w:rPr>
            </w:pPr>
            <w:r w:rsidRPr="003C59E5">
              <w:rPr>
                <w:rFonts w:ascii="Times New Roman" w:hAnsi="Times New Roman" w:cs="Times New Roman"/>
                <w:sz w:val="24"/>
                <w:szCs w:val="24"/>
              </w:rPr>
              <w:t>Обоснование выбора товарного рынка</w:t>
            </w:r>
          </w:p>
        </w:tc>
      </w:tr>
      <w:tr w:rsidR="003F4CFF" w:rsidRPr="00FA4870" w14:paraId="2D6B89D0" w14:textId="77777777" w:rsidTr="000221BE">
        <w:trPr>
          <w:trHeight w:val="3061"/>
        </w:trPr>
        <w:tc>
          <w:tcPr>
            <w:tcW w:w="220" w:type="pct"/>
            <w:shd w:val="clear" w:color="auto" w:fill="auto"/>
          </w:tcPr>
          <w:p w14:paraId="3B15747A"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1</w:t>
            </w:r>
          </w:p>
        </w:tc>
        <w:tc>
          <w:tcPr>
            <w:tcW w:w="1959" w:type="pct"/>
            <w:shd w:val="clear" w:color="auto" w:fill="auto"/>
          </w:tcPr>
          <w:p w14:paraId="41222DCF"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Рынок услуг дошкольного образования</w:t>
            </w:r>
          </w:p>
        </w:tc>
        <w:tc>
          <w:tcPr>
            <w:tcW w:w="2821" w:type="pct"/>
            <w:shd w:val="clear" w:color="auto" w:fill="auto"/>
          </w:tcPr>
          <w:p w14:paraId="57442E99" w14:textId="77777777" w:rsidR="003F4CFF" w:rsidRPr="000221BE" w:rsidRDefault="003F4CFF" w:rsidP="003F4CFF">
            <w:pPr>
              <w:jc w:val="both"/>
              <w:rPr>
                <w:rFonts w:ascii="Times New Roman" w:hAnsi="Times New Roman"/>
                <w:sz w:val="24"/>
                <w:szCs w:val="24"/>
              </w:rPr>
            </w:pPr>
            <w:r w:rsidRPr="000221BE">
              <w:rPr>
                <w:rFonts w:ascii="Times New Roman" w:hAnsi="Times New Roman"/>
                <w:sz w:val="24"/>
                <w:szCs w:val="24"/>
              </w:rPr>
              <w:t>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768-р. Приоритет установлен на федеральном уровне.</w:t>
            </w:r>
          </w:p>
          <w:p w14:paraId="6DBC7999" w14:textId="77777777" w:rsidR="003F4CFF" w:rsidRPr="000221BE" w:rsidRDefault="003F4CFF" w:rsidP="003F4CFF">
            <w:pPr>
              <w:pStyle w:val="ae"/>
              <w:autoSpaceDE w:val="0"/>
              <w:autoSpaceDN w:val="0"/>
              <w:adjustRightInd w:val="0"/>
              <w:ind w:left="0"/>
              <w:jc w:val="both"/>
              <w:rPr>
                <w:rFonts w:ascii="Times New Roman" w:hAnsi="Times New Roman"/>
                <w:sz w:val="24"/>
                <w:szCs w:val="24"/>
              </w:rPr>
            </w:pPr>
            <w:r w:rsidRPr="000221BE">
              <w:rPr>
                <w:rFonts w:ascii="Times New Roman" w:hAnsi="Times New Roman"/>
                <w:sz w:val="24"/>
                <w:szCs w:val="24"/>
              </w:rPr>
              <w:t>2. Основная проблема на рынке по данным ОИОГВ. недостаточное количество образовательных организаций, реализующих программы дошкольного образования.</w:t>
            </w:r>
          </w:p>
          <w:p w14:paraId="7291D080" w14:textId="77777777" w:rsidR="003F4CFF" w:rsidRPr="000221BE" w:rsidRDefault="003F4CFF" w:rsidP="003F4CFF">
            <w:pPr>
              <w:jc w:val="both"/>
              <w:rPr>
                <w:rFonts w:ascii="Times New Roman" w:hAnsi="Times New Roman"/>
                <w:sz w:val="24"/>
                <w:szCs w:val="24"/>
              </w:rPr>
            </w:pPr>
            <w:r w:rsidRPr="000221BE">
              <w:rPr>
                <w:rFonts w:ascii="Times New Roman" w:hAnsi="Times New Roman"/>
                <w:sz w:val="24"/>
                <w:szCs w:val="24"/>
              </w:rPr>
              <w:t>3. Данные мониторинга.</w:t>
            </w:r>
          </w:p>
          <w:p w14:paraId="5EF8AA52" w14:textId="77777777" w:rsidR="003F4CFF" w:rsidRPr="000221BE" w:rsidRDefault="003F4CFF" w:rsidP="003F4CFF">
            <w:pPr>
              <w:jc w:val="both"/>
              <w:rPr>
                <w:rFonts w:ascii="Times New Roman" w:hAnsi="Times New Roman"/>
                <w:sz w:val="24"/>
                <w:szCs w:val="24"/>
              </w:rPr>
            </w:pPr>
            <w:r w:rsidRPr="000221BE">
              <w:rPr>
                <w:rFonts w:ascii="Times New Roman" w:hAnsi="Times New Roman"/>
                <w:sz w:val="24"/>
                <w:szCs w:val="24"/>
              </w:rPr>
              <w:t xml:space="preserve">1) удовлетворенность потребителей качеством товаров, работ и услуг на товарном рынке и состоянием ценовой конкуренции </w:t>
            </w:r>
            <w:r w:rsidRPr="000221BE">
              <w:rPr>
                <w:sz w:val="24"/>
                <w:szCs w:val="24"/>
              </w:rPr>
              <w:footnoteReference w:id="16"/>
            </w:r>
            <w:r w:rsidRPr="000221BE">
              <w:rPr>
                <w:rFonts w:ascii="Times New Roman" w:hAnsi="Times New Roman"/>
                <w:sz w:val="24"/>
                <w:szCs w:val="24"/>
              </w:rPr>
              <w:t xml:space="preserve"> - 57,6%.</w:t>
            </w:r>
          </w:p>
          <w:p w14:paraId="04AAF451" w14:textId="77777777" w:rsidR="003F4CFF" w:rsidRPr="000221BE" w:rsidRDefault="003F4CFF" w:rsidP="003F4CFF">
            <w:pPr>
              <w:jc w:val="both"/>
              <w:rPr>
                <w:rFonts w:ascii="Times New Roman" w:hAnsi="Times New Roman"/>
                <w:sz w:val="24"/>
                <w:szCs w:val="24"/>
              </w:rPr>
            </w:pPr>
            <w:r w:rsidRPr="000221BE">
              <w:rPr>
                <w:rFonts w:ascii="Times New Roman" w:hAnsi="Times New Roman"/>
                <w:sz w:val="24"/>
                <w:szCs w:val="24"/>
              </w:rPr>
              <w:t>2) удовлетворенность предпринимателей действиями органов власти региона</w:t>
            </w:r>
            <w:r w:rsidRPr="000221BE">
              <w:rPr>
                <w:sz w:val="24"/>
                <w:szCs w:val="24"/>
              </w:rPr>
              <w:footnoteReference w:id="17"/>
            </w:r>
            <w:r w:rsidRPr="000221BE">
              <w:rPr>
                <w:rFonts w:ascii="Times New Roman" w:hAnsi="Times New Roman"/>
                <w:sz w:val="24"/>
                <w:szCs w:val="24"/>
              </w:rPr>
              <w:t xml:space="preserve"> - 52,8%.</w:t>
            </w:r>
          </w:p>
        </w:tc>
      </w:tr>
      <w:tr w:rsidR="003F4CFF" w:rsidRPr="00042ECF" w14:paraId="014E41E1" w14:textId="77777777" w:rsidTr="000221BE">
        <w:trPr>
          <w:trHeight w:val="3061"/>
        </w:trPr>
        <w:tc>
          <w:tcPr>
            <w:tcW w:w="220" w:type="pct"/>
            <w:shd w:val="clear" w:color="auto" w:fill="auto"/>
          </w:tcPr>
          <w:p w14:paraId="1192C7DB"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2</w:t>
            </w:r>
          </w:p>
        </w:tc>
        <w:tc>
          <w:tcPr>
            <w:tcW w:w="1959" w:type="pct"/>
            <w:shd w:val="clear" w:color="auto" w:fill="auto"/>
          </w:tcPr>
          <w:p w14:paraId="4709E77D"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услуг общего образования</w:t>
            </w:r>
          </w:p>
        </w:tc>
        <w:tc>
          <w:tcPr>
            <w:tcW w:w="2821" w:type="pct"/>
            <w:shd w:val="clear" w:color="auto" w:fill="auto"/>
          </w:tcPr>
          <w:p w14:paraId="62027276" w14:textId="77777777" w:rsidR="003F4CFF" w:rsidRPr="000221BE" w:rsidRDefault="003F4CFF" w:rsidP="003F4CFF">
            <w:pPr>
              <w:jc w:val="both"/>
              <w:rPr>
                <w:rFonts w:ascii="Times New Roman" w:hAnsi="Times New Roman"/>
                <w:sz w:val="24"/>
                <w:szCs w:val="24"/>
              </w:rPr>
            </w:pPr>
            <w:r w:rsidRPr="000221BE">
              <w:rPr>
                <w:rFonts w:ascii="Times New Roman" w:hAnsi="Times New Roman"/>
                <w:sz w:val="24"/>
                <w:szCs w:val="24"/>
              </w:rPr>
              <w:t>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768-р. Приоритет установлен на федеральном уровне.</w:t>
            </w:r>
          </w:p>
          <w:p w14:paraId="12EE00B9" w14:textId="77777777" w:rsidR="003F4CFF" w:rsidRPr="000221BE" w:rsidRDefault="003F4CFF" w:rsidP="003F4CFF">
            <w:pPr>
              <w:jc w:val="both"/>
              <w:rPr>
                <w:rFonts w:ascii="Times New Roman" w:hAnsi="Times New Roman"/>
                <w:sz w:val="24"/>
                <w:szCs w:val="24"/>
              </w:rPr>
            </w:pPr>
            <w:r w:rsidRPr="000221BE">
              <w:rPr>
                <w:rFonts w:ascii="Times New Roman" w:hAnsi="Times New Roman"/>
                <w:sz w:val="24"/>
                <w:szCs w:val="24"/>
              </w:rPr>
              <w:t xml:space="preserve">2. Основные проблемы на рынке по данным ОИОГВ. </w:t>
            </w:r>
          </w:p>
          <w:p w14:paraId="4F9E633E" w14:textId="77777777" w:rsidR="003F4CFF" w:rsidRPr="000221BE" w:rsidRDefault="003F4CFF" w:rsidP="003F4CFF">
            <w:pPr>
              <w:jc w:val="both"/>
              <w:rPr>
                <w:rFonts w:ascii="Times New Roman" w:hAnsi="Times New Roman"/>
                <w:sz w:val="24"/>
                <w:szCs w:val="24"/>
              </w:rPr>
            </w:pPr>
            <w:r w:rsidRPr="000221BE">
              <w:rPr>
                <w:rFonts w:ascii="Times New Roman" w:hAnsi="Times New Roman"/>
                <w:sz w:val="24"/>
                <w:szCs w:val="24"/>
              </w:rPr>
              <w:t>В соответствии с Федеральным законом от 29.12.2012 № 273-ФЗ «Об образовании в Российской Федерации» начальное общее образование, основное общее образование, среднее общее образование являются обязательными уровнями образования. При выборе общеобразовательной организации родители отдают предпочтение муниципальным (областным) общеобразовательным организациям.</w:t>
            </w:r>
          </w:p>
          <w:p w14:paraId="0A52178B" w14:textId="77777777" w:rsidR="003F4CFF" w:rsidRPr="000221BE" w:rsidRDefault="003F4CFF" w:rsidP="003F4CFF">
            <w:pPr>
              <w:jc w:val="both"/>
              <w:rPr>
                <w:rFonts w:ascii="Times New Roman" w:hAnsi="Times New Roman"/>
                <w:sz w:val="24"/>
                <w:szCs w:val="24"/>
              </w:rPr>
            </w:pPr>
            <w:r w:rsidRPr="000221BE">
              <w:rPr>
                <w:rFonts w:ascii="Times New Roman" w:hAnsi="Times New Roman"/>
                <w:sz w:val="24"/>
                <w:szCs w:val="24"/>
              </w:rPr>
              <w:t xml:space="preserve">Развитие частных школ осуществляется за счет разных источников финансирования. Если для государственных (муниципальных) </w:t>
            </w:r>
            <w:r w:rsidRPr="000221BE">
              <w:rPr>
                <w:rFonts w:ascii="Times New Roman" w:hAnsi="Times New Roman"/>
                <w:sz w:val="24"/>
                <w:szCs w:val="24"/>
              </w:rPr>
              <w:lastRenderedPageBreak/>
              <w:t>образовательных организаций определяющее значение имеют средства бюджетов всех уровней, то главным источником финансирования в негосударственных школах являются средства населения, их доля превышает сумму всех других источников. Соответственно, развитие негосударственного сектора напрямую зависит от готовности населения к финансовым вложениям в общее образование.</w:t>
            </w:r>
          </w:p>
          <w:p w14:paraId="0A5DF70E" w14:textId="77777777" w:rsidR="003F4CFF" w:rsidRPr="000221BE" w:rsidRDefault="003F4CFF" w:rsidP="003F4CFF">
            <w:pPr>
              <w:jc w:val="both"/>
              <w:rPr>
                <w:rFonts w:ascii="Times New Roman" w:hAnsi="Times New Roman"/>
                <w:sz w:val="24"/>
                <w:szCs w:val="24"/>
              </w:rPr>
            </w:pPr>
            <w:r w:rsidRPr="000221BE">
              <w:rPr>
                <w:rFonts w:ascii="Times New Roman" w:hAnsi="Times New Roman"/>
                <w:sz w:val="24"/>
                <w:szCs w:val="24"/>
              </w:rPr>
              <w:t>Учитывая вышеуказанные проблемы, ключевой показатель, установленный стандартом развития конкуренции в субъектах Российской Федерации, утвержденным распоряжением Правительства Российской Федерации от 17.04.2019 № 768-р (далее – стандарт развития конкуренции в Российской Федерации), (1% обучающихся в частных образовательных организациях) при наличии большого количества обучающихся в Новосибирской области достигнуть невозможно. При этом в Новосибирской области обеспечена возможность выбора получения общего образования в частной организации (17 негосударственных общеобразовательных организаций).</w:t>
            </w:r>
          </w:p>
          <w:p w14:paraId="51DB9978" w14:textId="77777777" w:rsidR="003F4CFF" w:rsidRPr="000221BE" w:rsidRDefault="003F4CFF" w:rsidP="003F4CFF">
            <w:pPr>
              <w:jc w:val="both"/>
              <w:rPr>
                <w:rFonts w:ascii="Times New Roman" w:hAnsi="Times New Roman"/>
                <w:sz w:val="24"/>
                <w:szCs w:val="24"/>
              </w:rPr>
            </w:pPr>
            <w:r w:rsidRPr="000221BE">
              <w:rPr>
                <w:rFonts w:ascii="Times New Roman" w:hAnsi="Times New Roman"/>
                <w:sz w:val="24"/>
                <w:szCs w:val="24"/>
              </w:rPr>
              <w:t>3. Данные мониторинга.</w:t>
            </w:r>
          </w:p>
          <w:p w14:paraId="709B7213" w14:textId="77777777" w:rsidR="003F4CFF" w:rsidRPr="000221BE" w:rsidRDefault="003F4CFF" w:rsidP="003F4CFF">
            <w:pPr>
              <w:jc w:val="both"/>
              <w:rPr>
                <w:rFonts w:ascii="Times New Roman" w:hAnsi="Times New Roman"/>
                <w:sz w:val="24"/>
                <w:szCs w:val="24"/>
              </w:rPr>
            </w:pPr>
            <w:r w:rsidRPr="000221BE">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54,75%.</w:t>
            </w:r>
          </w:p>
          <w:p w14:paraId="167428CF" w14:textId="77777777" w:rsidR="003F4CFF" w:rsidRPr="000221BE" w:rsidRDefault="003F4CFF" w:rsidP="003F4CFF">
            <w:pPr>
              <w:jc w:val="both"/>
              <w:rPr>
                <w:rFonts w:ascii="Times New Roman" w:hAnsi="Times New Roman"/>
                <w:sz w:val="24"/>
                <w:szCs w:val="24"/>
              </w:rPr>
            </w:pPr>
            <w:r w:rsidRPr="000221BE">
              <w:rPr>
                <w:rFonts w:ascii="Times New Roman" w:hAnsi="Times New Roman"/>
                <w:sz w:val="24"/>
                <w:szCs w:val="24"/>
              </w:rPr>
              <w:t>2) удовлетворенность предпринимателей действиями органов власти региона – 52%.</w:t>
            </w:r>
          </w:p>
        </w:tc>
      </w:tr>
      <w:tr w:rsidR="003F4CFF" w:rsidRPr="00042ECF" w14:paraId="3B0A3972" w14:textId="77777777" w:rsidTr="000221BE">
        <w:tc>
          <w:tcPr>
            <w:tcW w:w="220" w:type="pct"/>
            <w:shd w:val="clear" w:color="auto" w:fill="auto"/>
          </w:tcPr>
          <w:p w14:paraId="3241FC74"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3</w:t>
            </w:r>
          </w:p>
        </w:tc>
        <w:tc>
          <w:tcPr>
            <w:tcW w:w="1959" w:type="pct"/>
            <w:shd w:val="clear" w:color="auto" w:fill="auto"/>
          </w:tcPr>
          <w:p w14:paraId="287EABF6"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услуг среднего профессионального образования</w:t>
            </w:r>
          </w:p>
        </w:tc>
        <w:tc>
          <w:tcPr>
            <w:tcW w:w="2821" w:type="pct"/>
            <w:shd w:val="clear" w:color="auto" w:fill="auto"/>
          </w:tcPr>
          <w:p w14:paraId="1E97B5BA"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3D2368FD"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2. Основные проблемы системы среднего профессионального образования Новосибирской области: изношенность зданий и необходимость модернизации материально-технической базы ряда образовательных организаций, в том числе расположенных в сельской местности, низкая активность (заинтересованность) работодателей при реализации проектов по подготовке высококвалифицированных кадров. Данные проблемы обозначены в Стратегии социально-экономического развития Новосибирской области на период до 2030 года.</w:t>
            </w:r>
          </w:p>
          <w:p w14:paraId="127F8DE3"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В Стратегии социально-экономического развития Новосибирской области на период до 2030 года в рамках задачи по созданию в Новосибирской </w:t>
            </w:r>
            <w:r w:rsidRPr="005365FB">
              <w:rPr>
                <w:rFonts w:ascii="Times New Roman" w:hAnsi="Times New Roman"/>
                <w:sz w:val="24"/>
                <w:szCs w:val="24"/>
              </w:rPr>
              <w:lastRenderedPageBreak/>
              <w:t>области конкурентоспособной системы среднего профессионального образования, обеспечивающей подготовку высококвалифицированных специалистов и рабочих кадров в соответствии с современными стандартами и передовыми технологиями, предусмотрено:</w:t>
            </w:r>
          </w:p>
          <w:p w14:paraId="427302B3"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модернизация профессионального образования и подготовка кадров в соответствии с мировыми стандартами и передовыми технологиями по наиболее востре</w:t>
            </w:r>
            <w:r>
              <w:rPr>
                <w:rFonts w:ascii="Times New Roman" w:hAnsi="Times New Roman"/>
                <w:sz w:val="24"/>
                <w:szCs w:val="24"/>
              </w:rPr>
              <w:t xml:space="preserve">бованным, новым и перспективным </w:t>
            </w:r>
            <w:r w:rsidRPr="005365FB">
              <w:rPr>
                <w:rFonts w:ascii="Times New Roman" w:hAnsi="Times New Roman"/>
                <w:sz w:val="24"/>
                <w:szCs w:val="24"/>
              </w:rPr>
              <w:t>для региона профессиям и специальностям (топ-50 и топ-Регион);</w:t>
            </w:r>
          </w:p>
          <w:p w14:paraId="513B6092"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формирование кадрового потенциала профессиональных образовательных организаций для обучения студентов и оценки их квалификаций по стандартам «Ворлдскиллс»;</w:t>
            </w:r>
          </w:p>
          <w:p w14:paraId="6DF4AF2E"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формирование условий для создания опережающей адаптивной подготовки кадров;</w:t>
            </w:r>
          </w:p>
          <w:p w14:paraId="5EF1785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обеспечение «равных возможностей» получения среднего профессионального образования в профессиональных образовательных организациях Новосибирской области;</w:t>
            </w:r>
          </w:p>
          <w:p w14:paraId="70A35CFA"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формирование системы профессиональных конкурсов в целях предоставления гражданам возможностей для профессионального и карьерного роста, в том числе в формате «Ворлдскиллс».</w:t>
            </w:r>
          </w:p>
          <w:p w14:paraId="4632D0D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2681AE4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47,9%.</w:t>
            </w:r>
          </w:p>
          <w:p w14:paraId="5807B727"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76%.</w:t>
            </w:r>
          </w:p>
        </w:tc>
      </w:tr>
      <w:tr w:rsidR="003F4CFF" w:rsidRPr="00042ECF" w14:paraId="2B913176" w14:textId="77777777" w:rsidTr="000221BE">
        <w:tc>
          <w:tcPr>
            <w:tcW w:w="220" w:type="pct"/>
            <w:shd w:val="clear" w:color="auto" w:fill="auto"/>
          </w:tcPr>
          <w:p w14:paraId="124AA1EF"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4</w:t>
            </w:r>
          </w:p>
        </w:tc>
        <w:tc>
          <w:tcPr>
            <w:tcW w:w="1959" w:type="pct"/>
            <w:shd w:val="clear" w:color="auto" w:fill="auto"/>
          </w:tcPr>
          <w:p w14:paraId="5433074B"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услуг дополнительного образования детей</w:t>
            </w:r>
          </w:p>
        </w:tc>
        <w:tc>
          <w:tcPr>
            <w:tcW w:w="2821" w:type="pct"/>
            <w:shd w:val="clear" w:color="auto" w:fill="auto"/>
          </w:tcPr>
          <w:p w14:paraId="44ABAE4C"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094A829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0A807A5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высокие требования лицензирования деятельности услуг дополнительного образования детей;</w:t>
            </w:r>
          </w:p>
          <w:p w14:paraId="7DE1A71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высокая стоимость обучения в частных организациях.</w:t>
            </w:r>
          </w:p>
          <w:p w14:paraId="54D39DCE"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5559C545"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52,15%.</w:t>
            </w:r>
          </w:p>
          <w:p w14:paraId="6FF1D54F" w14:textId="77777777" w:rsidR="003F4CFF" w:rsidRPr="004C5DDC" w:rsidRDefault="003F4CFF" w:rsidP="003F4CFF">
            <w:pPr>
              <w:widowControl w:val="0"/>
              <w:autoSpaceDE w:val="0"/>
              <w:autoSpaceDN w:val="0"/>
              <w:adjustRightInd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50%.</w:t>
            </w:r>
          </w:p>
        </w:tc>
      </w:tr>
      <w:tr w:rsidR="003F4CFF" w:rsidRPr="00042ECF" w14:paraId="5C40C59B" w14:textId="77777777" w:rsidTr="000221BE">
        <w:tc>
          <w:tcPr>
            <w:tcW w:w="220" w:type="pct"/>
            <w:shd w:val="clear" w:color="auto" w:fill="auto"/>
          </w:tcPr>
          <w:p w14:paraId="7C2335C9"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5</w:t>
            </w:r>
          </w:p>
        </w:tc>
        <w:tc>
          <w:tcPr>
            <w:tcW w:w="1959" w:type="pct"/>
            <w:shd w:val="clear" w:color="auto" w:fill="auto"/>
          </w:tcPr>
          <w:p w14:paraId="6DD34984"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услуг детского отдыха и оздоровления</w:t>
            </w:r>
          </w:p>
        </w:tc>
        <w:tc>
          <w:tcPr>
            <w:tcW w:w="2821" w:type="pct"/>
            <w:shd w:val="clear" w:color="auto" w:fill="auto"/>
          </w:tcPr>
          <w:p w14:paraId="5DB84390"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0104D9D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3225972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стоимость путевки в организации отдыха детей и их оздоровления не покрывает затраты негосударственных организаций на капитальные вложения (приобретение оборудования, капитальные ремонты);</w:t>
            </w:r>
          </w:p>
          <w:p w14:paraId="67244D5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недостаток ресурсов у субъектов предпринимательской деятельности для создания и развития бизнеса в сфере услуг детского отдыха и оздоровления.</w:t>
            </w:r>
          </w:p>
          <w:p w14:paraId="76B710D3"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680D627D"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40,45%.</w:t>
            </w:r>
          </w:p>
          <w:p w14:paraId="64884EB8" w14:textId="77777777" w:rsidR="003F4CFF" w:rsidRPr="004C5DDC" w:rsidRDefault="003F4CFF" w:rsidP="003F4CFF">
            <w:pPr>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67,5%.</w:t>
            </w:r>
          </w:p>
        </w:tc>
      </w:tr>
      <w:tr w:rsidR="003F4CFF" w:rsidRPr="00042ECF" w14:paraId="55B9D0DA" w14:textId="77777777" w:rsidTr="000221BE">
        <w:tc>
          <w:tcPr>
            <w:tcW w:w="220" w:type="pct"/>
            <w:shd w:val="clear" w:color="auto" w:fill="auto"/>
          </w:tcPr>
          <w:p w14:paraId="3BE9A034"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6</w:t>
            </w:r>
          </w:p>
        </w:tc>
        <w:tc>
          <w:tcPr>
            <w:tcW w:w="1959" w:type="pct"/>
            <w:shd w:val="clear" w:color="auto" w:fill="auto"/>
          </w:tcPr>
          <w:p w14:paraId="0CB3BD04"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услуг розничной торговли лекарственными препаратами, медицинскими изделиями и сопутствующими товарами</w:t>
            </w:r>
          </w:p>
        </w:tc>
        <w:tc>
          <w:tcPr>
            <w:tcW w:w="2821" w:type="pct"/>
            <w:shd w:val="clear" w:color="auto" w:fill="auto"/>
          </w:tcPr>
          <w:p w14:paraId="6666F8ED"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176877F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1DCEE65F"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неравномерное размещение аптек и аптечных пунктов на территории Новосибирской области. Основная часть точек розничной торговли лекарственными препаратами, медицинскими изделиями и сопутствующими товарами расположена на территории городов Новосибирска, Бердска, Искитима, Оби, где в связи с большой плотностью размещения аптечных учреждений имеет место высокий уровень конкуренции среди хозяйствующих субъектов, ниже цены на лекарственные препараты. В то же время имеется недостаточный уровень лекарственного обеспечения жителей отдаленных населенных пунктов, расположенных в районах области, где отсутствуют аптечные организации в связи с экономической непривлекательностью для участников рынка; </w:t>
            </w:r>
          </w:p>
          <w:p w14:paraId="2568815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недостаточное обеспечение фармацевтическими кадрами, особенно в отдаленных районах области, </w:t>
            </w:r>
            <w:r w:rsidRPr="005365FB">
              <w:rPr>
                <w:rFonts w:ascii="Times New Roman" w:hAnsi="Times New Roman"/>
                <w:sz w:val="24"/>
                <w:szCs w:val="24"/>
              </w:rPr>
              <w:lastRenderedPageBreak/>
              <w:t>что влияет на развитие фармацевтического рынка районах области.</w:t>
            </w:r>
          </w:p>
          <w:p w14:paraId="35377EC3"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2D06DE9A"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61%.</w:t>
            </w:r>
          </w:p>
          <w:p w14:paraId="7B9672AA" w14:textId="77777777" w:rsidR="003F4CFF" w:rsidRPr="004C5DDC" w:rsidRDefault="003F4CFF" w:rsidP="003F4CFF">
            <w:pPr>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40%.</w:t>
            </w:r>
          </w:p>
        </w:tc>
      </w:tr>
      <w:tr w:rsidR="003F4CFF" w:rsidRPr="00042ECF" w14:paraId="606C94EC" w14:textId="77777777" w:rsidTr="000221BE">
        <w:tc>
          <w:tcPr>
            <w:tcW w:w="220" w:type="pct"/>
            <w:shd w:val="clear" w:color="auto" w:fill="auto"/>
          </w:tcPr>
          <w:p w14:paraId="548E2704"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7</w:t>
            </w:r>
          </w:p>
        </w:tc>
        <w:tc>
          <w:tcPr>
            <w:tcW w:w="1959" w:type="pct"/>
            <w:shd w:val="clear" w:color="auto" w:fill="auto"/>
          </w:tcPr>
          <w:p w14:paraId="6C7BACE7"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психолого-педагогического сопровождения детей с ограниченными возможностями здоровья</w:t>
            </w:r>
          </w:p>
        </w:tc>
        <w:tc>
          <w:tcPr>
            <w:tcW w:w="2821" w:type="pct"/>
            <w:shd w:val="clear" w:color="auto" w:fill="auto"/>
          </w:tcPr>
          <w:p w14:paraId="5FA4FBB3"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5758DD8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2. Основные проблемы на рынке по данным ОИОГВ.</w:t>
            </w:r>
          </w:p>
          <w:p w14:paraId="0736E27B"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отсутствие у негосударственных организаций необходимых помещений, материально-технической базы для оказания услуг (в том числе мебели, мягкого инвентаря, реабилитационного оборудования), стабильного кадрового состава;</w:t>
            </w:r>
          </w:p>
          <w:p w14:paraId="5F9B2DC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недостаточный уровень межведомственного взаимодействия в подходе к оказанию услуг, в том числе отсутствие условий для электронного документооборота, отсутствие возможности подключения к базам данных;</w:t>
            </w:r>
          </w:p>
          <w:p w14:paraId="5F37DB65"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 все гарантии государства для сотрудников негосударственных организаций равноценны гарантиям, предоставляемым сотрудникам государственных (муниципальных) учреждений: повышение оплаты труда, длительности гарантированных отпусков, требование к обучению (повышению квалификации.</w:t>
            </w:r>
          </w:p>
          <w:p w14:paraId="7CE8A30E"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03C44979"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39,7%.</w:t>
            </w:r>
          </w:p>
          <w:p w14:paraId="1C436453" w14:textId="77777777" w:rsidR="003F4CFF" w:rsidRPr="004C5DDC" w:rsidRDefault="003F4CFF" w:rsidP="003F4CFF">
            <w:pPr>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60%.</w:t>
            </w:r>
          </w:p>
        </w:tc>
      </w:tr>
      <w:tr w:rsidR="003F4CFF" w:rsidRPr="00042ECF" w14:paraId="7FF8C5FC" w14:textId="77777777" w:rsidTr="000221BE">
        <w:tc>
          <w:tcPr>
            <w:tcW w:w="220" w:type="pct"/>
            <w:shd w:val="clear" w:color="auto" w:fill="auto"/>
          </w:tcPr>
          <w:p w14:paraId="409A1A98"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8</w:t>
            </w:r>
          </w:p>
        </w:tc>
        <w:tc>
          <w:tcPr>
            <w:tcW w:w="1959" w:type="pct"/>
            <w:shd w:val="clear" w:color="auto" w:fill="auto"/>
          </w:tcPr>
          <w:p w14:paraId="72FB1288"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социальных услуг</w:t>
            </w:r>
          </w:p>
        </w:tc>
        <w:tc>
          <w:tcPr>
            <w:tcW w:w="2821" w:type="pct"/>
            <w:shd w:val="clear" w:color="auto" w:fill="auto"/>
          </w:tcPr>
          <w:p w14:paraId="2502D907"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794CB17D"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0E420159"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недостаточность ресурсов для обеспечения финансовой поддержки общественных организаций, предоставляющих социальные услуги населению;</w:t>
            </w:r>
          </w:p>
          <w:p w14:paraId="153A6D6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lastRenderedPageBreak/>
              <w:t>низкая конкурентоспособность;</w:t>
            </w:r>
          </w:p>
          <w:p w14:paraId="7D83D97D"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отсутствие у альтернативных поставщиков необходимых помещений материально-технической базы для оказания услуг (в том числе мебели, мягкого инвентаря, реабилитационного оборудования), стабильного кадрового состава;</w:t>
            </w:r>
          </w:p>
          <w:p w14:paraId="463B7EC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недостаточный уровень межведомственного взаимодействия в подходе оказания услуг, в том числе отсутствие условий для электронного обмена документов, отсутствие возможности подключения к базам данных;</w:t>
            </w:r>
          </w:p>
          <w:p w14:paraId="737B878F"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 все гарантии государства для сотрудников негосударственных организаций равноценны гарантиям, предоставляемым сотрудникам государственных (муниципальных) учреждений: повышение оплаты труда, длительность гарантированных отпусков, требование к обучению (повышению квалификации) и другое.</w:t>
            </w:r>
          </w:p>
          <w:p w14:paraId="650C6F09"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290C904D"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46,75%.</w:t>
            </w:r>
          </w:p>
          <w:p w14:paraId="6208A041" w14:textId="77777777" w:rsidR="003F4CFF" w:rsidRPr="004C5DDC" w:rsidRDefault="003F4CFF" w:rsidP="003F4CFF">
            <w:pPr>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40%.</w:t>
            </w:r>
          </w:p>
        </w:tc>
      </w:tr>
      <w:tr w:rsidR="003F4CFF" w:rsidRPr="00042ECF" w14:paraId="15C4AA0A" w14:textId="77777777" w:rsidTr="000221BE">
        <w:tc>
          <w:tcPr>
            <w:tcW w:w="220" w:type="pct"/>
            <w:shd w:val="clear" w:color="auto" w:fill="auto"/>
          </w:tcPr>
          <w:p w14:paraId="05D055BA"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9</w:t>
            </w:r>
          </w:p>
        </w:tc>
        <w:tc>
          <w:tcPr>
            <w:tcW w:w="1959" w:type="pct"/>
            <w:shd w:val="clear" w:color="auto" w:fill="auto"/>
          </w:tcPr>
          <w:p w14:paraId="247579BE"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теплоснабжения (производство тепловой энергии)</w:t>
            </w:r>
          </w:p>
        </w:tc>
        <w:tc>
          <w:tcPr>
            <w:tcW w:w="2821" w:type="pct"/>
            <w:shd w:val="clear" w:color="auto" w:fill="auto"/>
          </w:tcPr>
          <w:p w14:paraId="49CC3834"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3A94F5FD"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7FADAF3E"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в Стратегии социально-экономического развития Новосибирской области на период до 2030 года указано, что одной из проблем, препятствующей развитию коммунально-энергетической инфраструктуры, является: устаревшее оборудование, большой срок службы и изношенность инженерных коммуникаций, в том числе систем теплоснабжения, котельных в муниципальных образованиях;</w:t>
            </w:r>
          </w:p>
          <w:p w14:paraId="4528D08A"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в связи с проводимой политикой по сдерживанию тарифов, деятельность по производству и передаче тепловой энергии убыточна. Объявляемые администрациями муниципальных образований конкурсы на право заключения концессионных соглашений признаются несостоявшимися в связи с отсутствием заявок. Фактически деятельность в сфере теплоснабжения в муниципальных образованиях (городские и сельские поселения) </w:t>
            </w:r>
            <w:r w:rsidRPr="005365FB">
              <w:rPr>
                <w:rFonts w:ascii="Times New Roman" w:hAnsi="Times New Roman"/>
                <w:sz w:val="24"/>
                <w:szCs w:val="24"/>
              </w:rPr>
              <w:lastRenderedPageBreak/>
              <w:t>превратилась в социальные обязательства муниципалитетов;</w:t>
            </w:r>
          </w:p>
          <w:p w14:paraId="49D5111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низкая конкуренция на рынке оказания услуг теплоснабжения.</w:t>
            </w:r>
          </w:p>
          <w:p w14:paraId="0DFD090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3F502670"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49,35%.</w:t>
            </w:r>
          </w:p>
          <w:p w14:paraId="00DF68D0" w14:textId="77777777" w:rsidR="003F4CFF" w:rsidRPr="004C5DDC" w:rsidRDefault="003F4CFF" w:rsidP="003F4CFF">
            <w:pPr>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55%.</w:t>
            </w:r>
          </w:p>
        </w:tc>
      </w:tr>
      <w:tr w:rsidR="003F4CFF" w:rsidRPr="00042ECF" w14:paraId="663F8523" w14:textId="77777777" w:rsidTr="000221BE">
        <w:tc>
          <w:tcPr>
            <w:tcW w:w="220" w:type="pct"/>
            <w:shd w:val="clear" w:color="auto" w:fill="auto"/>
          </w:tcPr>
          <w:p w14:paraId="34BBF722"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10</w:t>
            </w:r>
          </w:p>
        </w:tc>
        <w:tc>
          <w:tcPr>
            <w:tcW w:w="1959" w:type="pct"/>
            <w:shd w:val="clear" w:color="auto" w:fill="auto"/>
          </w:tcPr>
          <w:p w14:paraId="2A04ACDB"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услуг по сбору и транспортированию твердых коммунальных отходов</w:t>
            </w:r>
          </w:p>
        </w:tc>
        <w:tc>
          <w:tcPr>
            <w:tcW w:w="2821" w:type="pct"/>
            <w:shd w:val="clear" w:color="auto" w:fill="auto"/>
          </w:tcPr>
          <w:p w14:paraId="1068130F"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03AFD8D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0C1E7CA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неполный охват территории Новосибирской области деятельностью по сбору, вывозу, обработке, утилизации, обезвреживанию и размещению ТКО;</w:t>
            </w:r>
          </w:p>
          <w:p w14:paraId="08A0A18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отсутствие у регионального оператора контейнеров для накопления ТКО;</w:t>
            </w:r>
          </w:p>
          <w:p w14:paraId="15621A4B"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отсутствие у муниципальных образований Новосибирской области реестра мест (площадок) накопления ТКО.</w:t>
            </w:r>
          </w:p>
          <w:p w14:paraId="6F976155"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Задачи:</w:t>
            </w:r>
          </w:p>
          <w:p w14:paraId="1D7DF74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обеспечение охвата всех населенных пунктов Новосибирской области системой централизованного сбора, вывоза, обработки, утилизации, обезвреживания и размещения ТКО;</w:t>
            </w:r>
          </w:p>
          <w:p w14:paraId="0483FE3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создание необходимой материально-технической базы для обеспечения сбора и транспортирования твердых коммунальных отходов на территории Новосибирской области.</w:t>
            </w:r>
          </w:p>
          <w:p w14:paraId="56BB556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6BC7FB59"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46,65%.</w:t>
            </w:r>
          </w:p>
          <w:p w14:paraId="7202889B" w14:textId="77777777" w:rsidR="003F4CFF" w:rsidRPr="004C5DDC" w:rsidRDefault="003F4CFF" w:rsidP="003F4CFF">
            <w:pPr>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27,1%.</w:t>
            </w:r>
          </w:p>
        </w:tc>
      </w:tr>
      <w:tr w:rsidR="003F4CFF" w:rsidRPr="00042ECF" w14:paraId="204E78F3" w14:textId="77777777" w:rsidTr="000221BE">
        <w:tc>
          <w:tcPr>
            <w:tcW w:w="220" w:type="pct"/>
            <w:shd w:val="clear" w:color="auto" w:fill="auto"/>
          </w:tcPr>
          <w:p w14:paraId="2DE38009"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11</w:t>
            </w:r>
          </w:p>
        </w:tc>
        <w:tc>
          <w:tcPr>
            <w:tcW w:w="1959" w:type="pct"/>
            <w:shd w:val="clear" w:color="auto" w:fill="auto"/>
          </w:tcPr>
          <w:p w14:paraId="0BB39777"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выполнения работ по благоустройству городской среды</w:t>
            </w:r>
          </w:p>
        </w:tc>
        <w:tc>
          <w:tcPr>
            <w:tcW w:w="2821" w:type="pct"/>
            <w:shd w:val="clear" w:color="auto" w:fill="auto"/>
          </w:tcPr>
          <w:p w14:paraId="03C65A92"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6B8D3833"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23B2005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lastRenderedPageBreak/>
              <w:t>отсутствие качественного проектирования территорий, подлежащих благоустройству;</w:t>
            </w:r>
          </w:p>
          <w:p w14:paraId="7EC35D7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несоответствие качества выполняемых подрядными организациями работ утвержденным стандартам;</w:t>
            </w:r>
          </w:p>
          <w:p w14:paraId="27E5C553"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затягивание сроков исполнения контрактов подрядными организациями;</w:t>
            </w:r>
          </w:p>
          <w:p w14:paraId="34CFB707"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низкая оснащенность муниципальных учреждений и предприятий, осуществляющих деятельность в сфере благоустройства и содержания территорий, специализированной техникой.</w:t>
            </w:r>
          </w:p>
          <w:p w14:paraId="1FAD520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573078C9"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39,15%.</w:t>
            </w:r>
          </w:p>
          <w:p w14:paraId="7996913B"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37,8%.</w:t>
            </w:r>
          </w:p>
        </w:tc>
      </w:tr>
      <w:tr w:rsidR="003F4CFF" w:rsidRPr="00042ECF" w14:paraId="4C6840E3" w14:textId="77777777" w:rsidTr="000221BE">
        <w:tc>
          <w:tcPr>
            <w:tcW w:w="220" w:type="pct"/>
            <w:shd w:val="clear" w:color="auto" w:fill="auto"/>
          </w:tcPr>
          <w:p w14:paraId="7D82C722"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12</w:t>
            </w:r>
          </w:p>
        </w:tc>
        <w:tc>
          <w:tcPr>
            <w:tcW w:w="1959" w:type="pct"/>
            <w:shd w:val="clear" w:color="auto" w:fill="auto"/>
          </w:tcPr>
          <w:p w14:paraId="1D1E60C9"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2821" w:type="pct"/>
            <w:shd w:val="clear" w:color="auto" w:fill="auto"/>
          </w:tcPr>
          <w:p w14:paraId="3173B532"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3EFAFF27"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3E1B59A7"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ограниченность спроса на услуги управления многоквартирными домами;</w:t>
            </w:r>
          </w:p>
          <w:p w14:paraId="3A4B3762"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сложности перехода от старых участников рынка, с которым сложились долгосрочные отношения, к новым участникам; </w:t>
            </w:r>
          </w:p>
          <w:p w14:paraId="72986AAA"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отсутствие организаций, желающих осуществлять управление многоквартирными домами в сельских поселениях, при проведении органами местного самоуправления конкурсов по отбору управляющей организации для управления многоквартирным домом в предусмотренных действующим законодательством случаях; </w:t>
            </w:r>
          </w:p>
          <w:p w14:paraId="5C40E13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непривлекательность жилищного фонда вследствие его неудовлетворительного технического состояния;</w:t>
            </w:r>
          </w:p>
          <w:p w14:paraId="400CAC5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низкая платежеспособность собственников, а зачастую их нежелание принимать экономически обоснованные тарифы.</w:t>
            </w:r>
          </w:p>
          <w:p w14:paraId="413D13C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5F2D52C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37,45%.</w:t>
            </w:r>
          </w:p>
          <w:p w14:paraId="68CE4635"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35%.</w:t>
            </w:r>
          </w:p>
        </w:tc>
      </w:tr>
      <w:tr w:rsidR="003F4CFF" w:rsidRPr="00042ECF" w14:paraId="468A3C56" w14:textId="77777777" w:rsidTr="000221BE">
        <w:tc>
          <w:tcPr>
            <w:tcW w:w="220" w:type="pct"/>
            <w:shd w:val="clear" w:color="auto" w:fill="auto"/>
          </w:tcPr>
          <w:p w14:paraId="568E11F1"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13</w:t>
            </w:r>
          </w:p>
        </w:tc>
        <w:tc>
          <w:tcPr>
            <w:tcW w:w="1959" w:type="pct"/>
            <w:shd w:val="clear" w:color="auto" w:fill="auto"/>
          </w:tcPr>
          <w:p w14:paraId="23531D59"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поставки сжиженного газа в баллонах</w:t>
            </w:r>
          </w:p>
        </w:tc>
        <w:tc>
          <w:tcPr>
            <w:tcW w:w="2821" w:type="pct"/>
            <w:shd w:val="clear" w:color="auto" w:fill="auto"/>
          </w:tcPr>
          <w:p w14:paraId="4699AE28"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w:t>
            </w:r>
            <w:r w:rsidRPr="005365FB">
              <w:rPr>
                <w:rFonts w:ascii="Times New Roman" w:hAnsi="Times New Roman"/>
                <w:sz w:val="24"/>
                <w:szCs w:val="24"/>
              </w:rPr>
              <w:lastRenderedPageBreak/>
              <w:t xml:space="preserve">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10BB11A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73A19E7E"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низкий уровень работы организации, осуществляющей газоснабжение;</w:t>
            </w:r>
          </w:p>
          <w:p w14:paraId="1A4A2BA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высокая стоимость услуг газоснабжения.</w:t>
            </w:r>
          </w:p>
          <w:p w14:paraId="2A79847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Одной из причин, снижающих удовлетворенность организацией газоснабжения, является, по мнению респондентов (населения), низкий уровень работы организации, осуществляющей газоснабжение (в 2017 году – 35,22%, в 2016 году – 28,53%), а также высокая стоимость услуг газоснабжения (в 2017 году – 28,6%, в 2016 году – 47,67%).</w:t>
            </w:r>
          </w:p>
          <w:p w14:paraId="12DB275E"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7C81F0B9"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64,55%.</w:t>
            </w:r>
          </w:p>
          <w:p w14:paraId="1FFCF686"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65,1%.</w:t>
            </w:r>
          </w:p>
        </w:tc>
      </w:tr>
      <w:tr w:rsidR="003F4CFF" w:rsidRPr="00042ECF" w14:paraId="03F02344" w14:textId="77777777" w:rsidTr="000221BE">
        <w:tc>
          <w:tcPr>
            <w:tcW w:w="220" w:type="pct"/>
            <w:shd w:val="clear" w:color="auto" w:fill="auto"/>
          </w:tcPr>
          <w:p w14:paraId="403977EC"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14</w:t>
            </w:r>
          </w:p>
        </w:tc>
        <w:tc>
          <w:tcPr>
            <w:tcW w:w="1959" w:type="pct"/>
            <w:shd w:val="clear" w:color="auto" w:fill="auto"/>
          </w:tcPr>
          <w:p w14:paraId="77BA79EA"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купли-продажи электрической энергии (мощности) на розничном рынке электрической энергии (мощности)</w:t>
            </w:r>
          </w:p>
        </w:tc>
        <w:tc>
          <w:tcPr>
            <w:tcW w:w="2821" w:type="pct"/>
            <w:shd w:val="clear" w:color="auto" w:fill="auto"/>
          </w:tcPr>
          <w:p w14:paraId="47E3F666"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0F70929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6CB40457"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в 2019 году в министерство жилищно-коммунального хозяйства и энергетики Новосибирской области на утверждение поступил проект инвестиционной программы, которая разработана с целью исполнения требований Федерального закона от 27.12.2018 № 522-ФЗ «О внесении изменений в отдельные законодательные акты Российской Федерации в связи с развитием систем учета электрической энергии (мощнос</w:t>
            </w:r>
            <w:r>
              <w:rPr>
                <w:rFonts w:ascii="Times New Roman" w:hAnsi="Times New Roman"/>
                <w:sz w:val="24"/>
                <w:szCs w:val="24"/>
              </w:rPr>
              <w:t xml:space="preserve">ти) в Российской Федерации», в </w:t>
            </w:r>
            <w:r w:rsidRPr="005365FB">
              <w:rPr>
                <w:rFonts w:ascii="Times New Roman" w:hAnsi="Times New Roman"/>
                <w:sz w:val="24"/>
                <w:szCs w:val="24"/>
              </w:rPr>
              <w:t>соответствии с которым с 01.07.2020 обязанности за установку, эксплуатацию, поверку и замену приборов учета электрической энергии (мощности) перенесены с потребителей на поставщиков энергоресурсов: в отношении многоквартирных домов – на гарантирующих поставщиков, а в отношении прочих потребителей – на сетевые организации;</w:t>
            </w:r>
          </w:p>
          <w:p w14:paraId="51176FDF"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по оценке департамента по тарифам Новосибирской области утверждение данной инвестиционной программы приведет к росту тарифа на передачу электрической энергии для прочих потребителей, в том числе для коммунальных предприятий.</w:t>
            </w:r>
          </w:p>
          <w:p w14:paraId="0B2B980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lastRenderedPageBreak/>
              <w:t>3. Данные мониторинга.</w:t>
            </w:r>
          </w:p>
          <w:p w14:paraId="2273179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57,05%.</w:t>
            </w:r>
          </w:p>
          <w:p w14:paraId="345D8CD2"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74%.</w:t>
            </w:r>
          </w:p>
        </w:tc>
      </w:tr>
      <w:tr w:rsidR="003F4CFF" w:rsidRPr="00042ECF" w14:paraId="5374A1DB" w14:textId="77777777" w:rsidTr="000221BE">
        <w:tc>
          <w:tcPr>
            <w:tcW w:w="220" w:type="pct"/>
            <w:shd w:val="clear" w:color="auto" w:fill="auto"/>
          </w:tcPr>
          <w:p w14:paraId="2E85AC6A"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15</w:t>
            </w:r>
          </w:p>
        </w:tc>
        <w:tc>
          <w:tcPr>
            <w:tcW w:w="1959" w:type="pct"/>
            <w:shd w:val="clear" w:color="auto" w:fill="auto"/>
          </w:tcPr>
          <w:p w14:paraId="593427A3"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2821" w:type="pct"/>
            <w:shd w:val="clear" w:color="auto" w:fill="auto"/>
          </w:tcPr>
          <w:p w14:paraId="40E17CD8"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257F4223"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1E190020"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старение оборудования тепловых станций и ограничение по использованию мощности (практически все оборудование ТЭЦ-2, ТЭЦ-3, ТЭЦ-4 и Барабинской ТЭЦ было включено в работу в период с 1942 по 1974 год. Износ оборудования ТЭЦ составляет от 45% до 59%).</w:t>
            </w:r>
          </w:p>
          <w:p w14:paraId="40268312"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207F334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57,6%.</w:t>
            </w:r>
          </w:p>
          <w:p w14:paraId="4ADE767E"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50%.</w:t>
            </w:r>
          </w:p>
        </w:tc>
      </w:tr>
      <w:tr w:rsidR="003F4CFF" w:rsidRPr="00042ECF" w14:paraId="4534B33C" w14:textId="77777777" w:rsidTr="000221BE">
        <w:tc>
          <w:tcPr>
            <w:tcW w:w="220" w:type="pct"/>
            <w:shd w:val="clear" w:color="auto" w:fill="auto"/>
          </w:tcPr>
          <w:p w14:paraId="3C721F7B"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16</w:t>
            </w:r>
          </w:p>
        </w:tc>
        <w:tc>
          <w:tcPr>
            <w:tcW w:w="1959" w:type="pct"/>
            <w:shd w:val="clear" w:color="auto" w:fill="auto"/>
          </w:tcPr>
          <w:p w14:paraId="012E921F"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2821" w:type="pct"/>
            <w:shd w:val="clear" w:color="auto" w:fill="auto"/>
          </w:tcPr>
          <w:p w14:paraId="72A859F8"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3F906D77"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22C442AD"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Общей проблемой пассажирского транспорта является высокий износ автобусов и недостаточность средств у перевозчиков для его своевременного обновления.</w:t>
            </w:r>
          </w:p>
          <w:p w14:paraId="5E3EB585"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Коэффициент износа автобусов, задействованных на муниципальных маршрутах городских округов Новосибирской области, составляет 0,78%.</w:t>
            </w:r>
          </w:p>
          <w:p w14:paraId="26C6A4E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Коэффициент износа автобусов, задействованных на муниципальных маршрутах муниципальных районов Новосибирской области, составляет – 0,73%.</w:t>
            </w:r>
          </w:p>
          <w:p w14:paraId="2DB0255B"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Министерством транспорта и дорожного хозяйства Новосибирской области заключено с перевозчиками 38 соглашений о предоставлении субсидий в целях возмещения части затрат на приобретение автобусов. За счет предоставленных субсидий перевозчикам было возмещено 30% от </w:t>
            </w:r>
            <w:r w:rsidRPr="005365FB">
              <w:rPr>
                <w:rFonts w:ascii="Times New Roman" w:hAnsi="Times New Roman"/>
                <w:sz w:val="24"/>
                <w:szCs w:val="24"/>
              </w:rPr>
              <w:lastRenderedPageBreak/>
              <w:t>фактической стоимости приобретенных автобусов в количестве 59 единиц, в том числе 29 автобусов для работы на муниципальных маршрутах регулярных перевозок в границах муниципальных районов Новосибирской области.</w:t>
            </w:r>
          </w:p>
          <w:p w14:paraId="5995D0D3"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В Новосибирской области действует государственная программа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 на 2014-2021 годы», утвержденная постановлением Правительства Новосибирской области от 24.02.2014 № 83-п «Об утверждении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 (далее – государственная программа).</w:t>
            </w:r>
          </w:p>
          <w:p w14:paraId="63791467"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Государственной программой предусмотрено решение задач по обеспечению доступности услуг пассажирского транспорта для населения, содействию обновлению (модернизации) подвижного состава общественного пассажирского транспорта, осуществляющего пассажирские перевозки на муниципальных и межмуниципальных маршрутах регулярных перевозок по регулируемым тарифам.</w:t>
            </w:r>
          </w:p>
          <w:p w14:paraId="3710A6E2"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14DF026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56,85%.</w:t>
            </w:r>
          </w:p>
          <w:p w14:paraId="4A6CA64D"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48%.</w:t>
            </w:r>
          </w:p>
        </w:tc>
      </w:tr>
      <w:tr w:rsidR="003F4CFF" w:rsidRPr="00042ECF" w14:paraId="0AB17754" w14:textId="77777777" w:rsidTr="000221BE">
        <w:tc>
          <w:tcPr>
            <w:tcW w:w="220" w:type="pct"/>
            <w:shd w:val="clear" w:color="auto" w:fill="auto"/>
          </w:tcPr>
          <w:p w14:paraId="11CCE7C8"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17</w:t>
            </w:r>
          </w:p>
        </w:tc>
        <w:tc>
          <w:tcPr>
            <w:tcW w:w="1959" w:type="pct"/>
            <w:shd w:val="clear" w:color="auto" w:fill="auto"/>
          </w:tcPr>
          <w:p w14:paraId="7CE4951B"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2821" w:type="pct"/>
            <w:shd w:val="clear" w:color="auto" w:fill="auto"/>
          </w:tcPr>
          <w:p w14:paraId="68392883"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73D4259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Основная проблема на рынке по данным ОИОГВ. </w:t>
            </w:r>
          </w:p>
          <w:p w14:paraId="2CB329A9"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высокий износ автобусов и недостаточность средств у перевозчиков для его своевременного обновления, коэффициент износа автобусов, задействованных на межмуниципальных маршрутах по регулируемому тарифу Новосибирской области, составляет 0,62%.</w:t>
            </w:r>
          </w:p>
          <w:p w14:paraId="7052128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179DD8F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lastRenderedPageBreak/>
              <w:t>1) удовлетворенность потребителей качеством товаров, работ и услуг на товарном рынке и состоянием ценовой конкуренции – 57,2%.</w:t>
            </w:r>
          </w:p>
          <w:p w14:paraId="1D98D1B3"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24%.</w:t>
            </w:r>
          </w:p>
        </w:tc>
      </w:tr>
      <w:tr w:rsidR="003F4CFF" w:rsidRPr="00042ECF" w14:paraId="0274083F" w14:textId="77777777" w:rsidTr="000221BE">
        <w:tc>
          <w:tcPr>
            <w:tcW w:w="220" w:type="pct"/>
            <w:shd w:val="clear" w:color="auto" w:fill="auto"/>
          </w:tcPr>
          <w:p w14:paraId="553B86F0"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18</w:t>
            </w:r>
          </w:p>
        </w:tc>
        <w:tc>
          <w:tcPr>
            <w:tcW w:w="1959" w:type="pct"/>
            <w:shd w:val="clear" w:color="auto" w:fill="auto"/>
          </w:tcPr>
          <w:p w14:paraId="67B49295"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оказания услуг по перевозке пассажиров и багажа легковым такси на территории Новосибирской области</w:t>
            </w:r>
          </w:p>
        </w:tc>
        <w:tc>
          <w:tcPr>
            <w:tcW w:w="2821" w:type="pct"/>
            <w:shd w:val="clear" w:color="auto" w:fill="auto"/>
          </w:tcPr>
          <w:p w14:paraId="15683F77"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5B5769D5"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2. Основные проблемы на рынке по данным ОИОГВ. наличие нелегальных перевозчиков такси.</w:t>
            </w:r>
          </w:p>
          <w:p w14:paraId="4383F3A9"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382767B9"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69,6%.</w:t>
            </w:r>
          </w:p>
          <w:p w14:paraId="5AC2E911"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48,8%.</w:t>
            </w:r>
          </w:p>
        </w:tc>
      </w:tr>
      <w:tr w:rsidR="003F4CFF" w:rsidRPr="00042ECF" w14:paraId="44711DA5" w14:textId="77777777" w:rsidTr="000221BE">
        <w:tc>
          <w:tcPr>
            <w:tcW w:w="220" w:type="pct"/>
            <w:shd w:val="clear" w:color="auto" w:fill="auto"/>
          </w:tcPr>
          <w:p w14:paraId="386D0EE9"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19</w:t>
            </w:r>
          </w:p>
        </w:tc>
        <w:tc>
          <w:tcPr>
            <w:tcW w:w="1959" w:type="pct"/>
            <w:shd w:val="clear" w:color="auto" w:fill="auto"/>
          </w:tcPr>
          <w:p w14:paraId="4AE1D910" w14:textId="77777777" w:rsidR="003F4CFF" w:rsidRPr="003C59E5" w:rsidRDefault="003F4CFF" w:rsidP="003F4CFF">
            <w:pPr>
              <w:autoSpaceDE w:val="0"/>
              <w:autoSpaceDN w:val="0"/>
              <w:adjustRightInd w:val="0"/>
              <w:rPr>
                <w:rFonts w:ascii="Times New Roman" w:hAnsi="Times New Roman" w:cs="Times New Roman"/>
                <w:color w:val="000000"/>
                <w:sz w:val="24"/>
                <w:szCs w:val="24"/>
              </w:rPr>
            </w:pPr>
            <w:r w:rsidRPr="003C40A8">
              <w:rPr>
                <w:rFonts w:ascii="Times New Roman" w:hAnsi="Times New Roman" w:cs="Times New Roman"/>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tc>
        <w:tc>
          <w:tcPr>
            <w:tcW w:w="2821" w:type="pct"/>
            <w:shd w:val="clear" w:color="auto" w:fill="auto"/>
          </w:tcPr>
          <w:p w14:paraId="5551122E"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2233409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2342689B"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неравномерное развитие телекоммуникационной инфраструктуры в регионе, наблюдаются диспропорции в уровне доступности к услугам сотовой связи, телефонии и широкополосного доступа к сети «Интернет» в населенных пунктах, расположенных в сельской местности Новосибирской области;</w:t>
            </w:r>
          </w:p>
          <w:p w14:paraId="45B3C42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в связи с низкой рентабельностью операторы связи не заинтересованы в реализации проектов по развитию инфраструктуры в малочисленных населенных пунктах.</w:t>
            </w:r>
          </w:p>
          <w:p w14:paraId="1C7998DD"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7FEA17B2"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67,8%.</w:t>
            </w:r>
          </w:p>
          <w:p w14:paraId="529BF775"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53,9%.</w:t>
            </w:r>
          </w:p>
        </w:tc>
      </w:tr>
      <w:tr w:rsidR="003F4CFF" w:rsidRPr="00042ECF" w14:paraId="21D25E57" w14:textId="77777777" w:rsidTr="000221BE">
        <w:tc>
          <w:tcPr>
            <w:tcW w:w="220" w:type="pct"/>
            <w:shd w:val="clear" w:color="auto" w:fill="auto"/>
          </w:tcPr>
          <w:p w14:paraId="428B0A20"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20</w:t>
            </w:r>
          </w:p>
        </w:tc>
        <w:tc>
          <w:tcPr>
            <w:tcW w:w="1959" w:type="pct"/>
            <w:shd w:val="clear" w:color="auto" w:fill="auto"/>
          </w:tcPr>
          <w:p w14:paraId="6B103687" w14:textId="77777777" w:rsidR="003F4CFF" w:rsidRPr="003C59E5" w:rsidRDefault="003F4CFF" w:rsidP="003F4CFF">
            <w:pPr>
              <w:autoSpaceDE w:val="0"/>
              <w:autoSpaceDN w:val="0"/>
              <w:adjustRightInd w:val="0"/>
              <w:rPr>
                <w:rFonts w:ascii="Times New Roman" w:hAnsi="Times New Roman" w:cs="Times New Roman"/>
                <w:color w:val="000000"/>
                <w:sz w:val="24"/>
                <w:szCs w:val="24"/>
              </w:rPr>
            </w:pPr>
            <w:r w:rsidRPr="003C59E5">
              <w:rPr>
                <w:rFonts w:ascii="Times New Roman" w:hAnsi="Times New Roman" w:cs="Times New Roman"/>
                <w:color w:val="000000"/>
                <w:sz w:val="24"/>
                <w:szCs w:val="24"/>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2821" w:type="pct"/>
            <w:shd w:val="clear" w:color="auto" w:fill="auto"/>
          </w:tcPr>
          <w:p w14:paraId="6808CF21"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34FF0905"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lastRenderedPageBreak/>
              <w:t>2. Основные проблемы на рынке по данным ОИОГВ.</w:t>
            </w:r>
          </w:p>
          <w:p w14:paraId="3709CB1A"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переход строительной отрасли c 01.07.2019 на проектное финансирование с использованием счетов эскроу;</w:t>
            </w:r>
          </w:p>
          <w:p w14:paraId="0DC1667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высокий процент коммерческого кредита;</w:t>
            </w:r>
          </w:p>
          <w:p w14:paraId="4F84715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недостаточная обеспеченность земельных участков инженерной, социальной и иной инфраструктурой.</w:t>
            </w:r>
          </w:p>
          <w:p w14:paraId="26FC0FF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2EFD1A8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40%.</w:t>
            </w:r>
          </w:p>
          <w:p w14:paraId="3EF03FF5"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38,8%.</w:t>
            </w:r>
          </w:p>
        </w:tc>
      </w:tr>
      <w:tr w:rsidR="003F4CFF" w:rsidRPr="00042ECF" w14:paraId="5A0B2F83" w14:textId="77777777" w:rsidTr="000221BE">
        <w:tc>
          <w:tcPr>
            <w:tcW w:w="220" w:type="pct"/>
            <w:shd w:val="clear" w:color="auto" w:fill="auto"/>
          </w:tcPr>
          <w:p w14:paraId="1E79FC42"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21</w:t>
            </w:r>
          </w:p>
        </w:tc>
        <w:tc>
          <w:tcPr>
            <w:tcW w:w="1959" w:type="pct"/>
            <w:shd w:val="clear" w:color="auto" w:fill="auto"/>
          </w:tcPr>
          <w:p w14:paraId="48CF42D9"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color w:val="000000"/>
                <w:sz w:val="24"/>
                <w:szCs w:val="24"/>
              </w:rPr>
              <w:t xml:space="preserve">Рынок </w:t>
            </w:r>
            <w:r w:rsidRPr="003C59E5">
              <w:rPr>
                <w:rFonts w:ascii="Times New Roman" w:hAnsi="Times New Roman" w:cs="Times New Roman"/>
                <w:sz w:val="24"/>
                <w:szCs w:val="24"/>
              </w:rPr>
              <w:t>строительства объектов капитального строительства, за исключением жилищного и дорожного строительства</w:t>
            </w:r>
          </w:p>
        </w:tc>
        <w:tc>
          <w:tcPr>
            <w:tcW w:w="2821" w:type="pct"/>
            <w:shd w:val="clear" w:color="auto" w:fill="auto"/>
          </w:tcPr>
          <w:p w14:paraId="524454A0"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226F572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2. Основные проблемы на рынке по данным ОИОГВ.</w:t>
            </w:r>
          </w:p>
          <w:p w14:paraId="246ED1D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недостаточная обеспеченность земельных участков инженерной, социальной и иной инфраструктурой;</w:t>
            </w:r>
          </w:p>
          <w:p w14:paraId="4A746C03"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недостаток инвестирования;</w:t>
            </w:r>
          </w:p>
          <w:p w14:paraId="6F60793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высокий процент коммерческого кредита.</w:t>
            </w:r>
          </w:p>
          <w:p w14:paraId="63163F4A"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6786E8B3"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35,85%.</w:t>
            </w:r>
          </w:p>
          <w:p w14:paraId="3D9A0DAB"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55%.</w:t>
            </w:r>
          </w:p>
        </w:tc>
      </w:tr>
      <w:tr w:rsidR="003F4CFF" w:rsidRPr="00042ECF" w14:paraId="039CEC0F" w14:textId="77777777" w:rsidTr="000221BE">
        <w:tc>
          <w:tcPr>
            <w:tcW w:w="220" w:type="pct"/>
            <w:shd w:val="clear" w:color="auto" w:fill="auto"/>
          </w:tcPr>
          <w:p w14:paraId="7A2A9EFC"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22</w:t>
            </w:r>
          </w:p>
        </w:tc>
        <w:tc>
          <w:tcPr>
            <w:tcW w:w="1959" w:type="pct"/>
            <w:shd w:val="clear" w:color="auto" w:fill="auto"/>
          </w:tcPr>
          <w:p w14:paraId="5022270D"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дорожной деятельности (за исключением проектирования)</w:t>
            </w:r>
          </w:p>
        </w:tc>
        <w:tc>
          <w:tcPr>
            <w:tcW w:w="2821" w:type="pct"/>
            <w:shd w:val="clear" w:color="auto" w:fill="auto"/>
          </w:tcPr>
          <w:p w14:paraId="49410127"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5DD6106E"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2. Основные проблемы на рынке по данным ОИОГВ.</w:t>
            </w:r>
          </w:p>
          <w:p w14:paraId="78412EF0"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серьезной и специфической проблемой развития Новосибирской области является сильная загруженность основных транспортных артерий города Новосибирска, соединяющих различные его районы, при резко возросшем парке легкового автотранспорта и одновременно слабое развитие транспортной сети в сельских районах. По плотности автодорог общего пользования с твердым покрытием Новосибирская область занимает место лишь в шестом десятке регионов </w:t>
            </w:r>
            <w:r w:rsidRPr="005365FB">
              <w:rPr>
                <w:rFonts w:ascii="Times New Roman" w:hAnsi="Times New Roman"/>
                <w:sz w:val="24"/>
                <w:szCs w:val="24"/>
              </w:rPr>
              <w:lastRenderedPageBreak/>
              <w:t>Российской Федерации, и это заметно снижает ее потенциальные возможности роста.</w:t>
            </w:r>
          </w:p>
          <w:p w14:paraId="77B2AB5D"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Состояние автодорожной сети не соответствует тенденциям автомобилизации и перспективным задачам развития транспортного комплекса Новосибирской области. Продолжает усугубляться несоответствие уровня развития автомобильных дорог уровню автомобилизации и спросу на автомобильные перевозки. </w:t>
            </w:r>
          </w:p>
          <w:p w14:paraId="1C650A7F"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В настоящее время идет активный процесс развития Новосибирской агломерации, вызванный процессами развития рынка труда, концентрации наиболее привлекательных рабочих мест в городе Новосибирске, ростом жилых массивов, созданием новых промышленных, транспортных, логистических объектов в пригородной зоне, формированием целых зон экономического развития. Дорожно-транспортный комплекс как инфраструктурная отрасль обеспечивает базовые условия жизнедеятельности и развития города Новосибирска и области.</w:t>
            </w:r>
          </w:p>
          <w:p w14:paraId="6B50596A"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048328F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25%.</w:t>
            </w:r>
          </w:p>
          <w:p w14:paraId="36C6CC6B"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42,3%.</w:t>
            </w:r>
          </w:p>
        </w:tc>
      </w:tr>
      <w:tr w:rsidR="003F4CFF" w:rsidRPr="00042ECF" w14:paraId="12ECF2F5" w14:textId="77777777" w:rsidTr="000221BE">
        <w:tc>
          <w:tcPr>
            <w:tcW w:w="220" w:type="pct"/>
            <w:shd w:val="clear" w:color="auto" w:fill="auto"/>
          </w:tcPr>
          <w:p w14:paraId="36189DFE"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23</w:t>
            </w:r>
          </w:p>
        </w:tc>
        <w:tc>
          <w:tcPr>
            <w:tcW w:w="1959" w:type="pct"/>
            <w:shd w:val="clear" w:color="auto" w:fill="auto"/>
          </w:tcPr>
          <w:p w14:paraId="6971E8FF"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архитектурно-строительного проектирования</w:t>
            </w:r>
          </w:p>
        </w:tc>
        <w:tc>
          <w:tcPr>
            <w:tcW w:w="2821" w:type="pct"/>
            <w:shd w:val="clear" w:color="auto" w:fill="auto"/>
          </w:tcPr>
          <w:p w14:paraId="520462AA"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0D4A006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6AFE57CA"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низкий уровень квалификации компаний, осуществляющих свою деятельность в сфере архитектурно-строительного проектирования; </w:t>
            </w:r>
          </w:p>
          <w:p w14:paraId="3A7AE18F"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ограниченный доступ малых и средних компаний к архитектурно-строительному проектированию крупных проектов.</w:t>
            </w:r>
          </w:p>
          <w:p w14:paraId="172C0A7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0F9B013B"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39,4%.</w:t>
            </w:r>
          </w:p>
          <w:p w14:paraId="488AE12A"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18%.</w:t>
            </w:r>
          </w:p>
        </w:tc>
      </w:tr>
      <w:tr w:rsidR="003F4CFF" w:rsidRPr="00042ECF" w14:paraId="06C00B6A" w14:textId="77777777" w:rsidTr="000221BE">
        <w:tc>
          <w:tcPr>
            <w:tcW w:w="220" w:type="pct"/>
            <w:shd w:val="clear" w:color="auto" w:fill="auto"/>
          </w:tcPr>
          <w:p w14:paraId="27316DA8"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24</w:t>
            </w:r>
          </w:p>
        </w:tc>
        <w:tc>
          <w:tcPr>
            <w:tcW w:w="1959" w:type="pct"/>
            <w:shd w:val="clear" w:color="auto" w:fill="auto"/>
          </w:tcPr>
          <w:p w14:paraId="2E4898E7"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племенного животноводства</w:t>
            </w:r>
          </w:p>
        </w:tc>
        <w:tc>
          <w:tcPr>
            <w:tcW w:w="2821" w:type="pct"/>
            <w:shd w:val="clear" w:color="auto" w:fill="auto"/>
          </w:tcPr>
          <w:p w14:paraId="321EABB6"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w:t>
            </w:r>
            <w:r w:rsidRPr="005365FB">
              <w:rPr>
                <w:rFonts w:ascii="Times New Roman" w:hAnsi="Times New Roman"/>
                <w:sz w:val="24"/>
                <w:szCs w:val="24"/>
              </w:rPr>
              <w:lastRenderedPageBreak/>
              <w:t xml:space="preserve">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5DAE3E2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0092701A"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недостаток квалифицированных кадров, занимающихся селекционно-племенной работой;</w:t>
            </w:r>
          </w:p>
          <w:p w14:paraId="0CE34F7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нехватка работников массовых профессий, обслуживающих племенное поголовье;</w:t>
            </w:r>
          </w:p>
          <w:p w14:paraId="076B6C29"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требования ветеринарного законодательства препятствуют реализации племенного молодняка в другие субъекты Российской Федерации и за рубеж (приказ Министерства сельского хозяйства Российской Федерации от 14.12.2015 № 635 «Об утверждении ветеринарные правил проведения регионализации территории Российской Федерации», решение Комиссии таможенного союза ЕврАзЭС от 18.06.2010 № 317 «О применении ветеринарно-санитарных мер в таможенном союзе»).</w:t>
            </w:r>
          </w:p>
          <w:p w14:paraId="3F211229"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72C285FF"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44,4%.</w:t>
            </w:r>
          </w:p>
          <w:p w14:paraId="2B9B7ABA"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31,4%.</w:t>
            </w:r>
          </w:p>
        </w:tc>
      </w:tr>
      <w:tr w:rsidR="003F4CFF" w:rsidRPr="00042ECF" w14:paraId="7E60B499" w14:textId="77777777" w:rsidTr="000221BE">
        <w:tc>
          <w:tcPr>
            <w:tcW w:w="220" w:type="pct"/>
            <w:shd w:val="clear" w:color="auto" w:fill="auto"/>
          </w:tcPr>
          <w:p w14:paraId="10828CD2"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25</w:t>
            </w:r>
          </w:p>
        </w:tc>
        <w:tc>
          <w:tcPr>
            <w:tcW w:w="1959" w:type="pct"/>
            <w:shd w:val="clear" w:color="auto" w:fill="auto"/>
          </w:tcPr>
          <w:p w14:paraId="7B610750"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семеноводства</w:t>
            </w:r>
          </w:p>
        </w:tc>
        <w:tc>
          <w:tcPr>
            <w:tcW w:w="2821" w:type="pct"/>
            <w:shd w:val="clear" w:color="auto" w:fill="auto"/>
          </w:tcPr>
          <w:p w14:paraId="54627CA6"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6154DE6B"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0FE5A137"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импортозависимость от иностранной селекции по овощным культурам (огурец, томаты, капуста);</w:t>
            </w:r>
          </w:p>
          <w:p w14:paraId="7766757F"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недостаточный объем проведения сельхозтоваропроизводителями региона апробации и регистрации сортовых посевов;</w:t>
            </w:r>
          </w:p>
          <w:p w14:paraId="30B68405"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низкая доля посевов новыми высокоурожайными сортами.</w:t>
            </w:r>
          </w:p>
          <w:p w14:paraId="64F38975"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6DED3EF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49,4%.</w:t>
            </w:r>
          </w:p>
          <w:p w14:paraId="4194A3E7"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45,7%.</w:t>
            </w:r>
          </w:p>
        </w:tc>
      </w:tr>
      <w:tr w:rsidR="003F4CFF" w:rsidRPr="00042ECF" w14:paraId="7E47B27E" w14:textId="77777777" w:rsidTr="000221BE">
        <w:tc>
          <w:tcPr>
            <w:tcW w:w="220" w:type="pct"/>
            <w:shd w:val="clear" w:color="auto" w:fill="auto"/>
          </w:tcPr>
          <w:p w14:paraId="5EFD500F"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26</w:t>
            </w:r>
          </w:p>
        </w:tc>
        <w:tc>
          <w:tcPr>
            <w:tcW w:w="1959" w:type="pct"/>
            <w:shd w:val="clear" w:color="auto" w:fill="auto"/>
          </w:tcPr>
          <w:p w14:paraId="36F540AB"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вылова водных биоресурсов</w:t>
            </w:r>
          </w:p>
        </w:tc>
        <w:tc>
          <w:tcPr>
            <w:tcW w:w="2821" w:type="pct"/>
            <w:shd w:val="clear" w:color="auto" w:fill="auto"/>
          </w:tcPr>
          <w:p w14:paraId="79BEA534"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w:t>
            </w:r>
            <w:r w:rsidRPr="005365FB">
              <w:rPr>
                <w:rFonts w:ascii="Times New Roman" w:hAnsi="Times New Roman"/>
                <w:sz w:val="24"/>
                <w:szCs w:val="24"/>
              </w:rPr>
              <w:lastRenderedPageBreak/>
              <w:t xml:space="preserve">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21D4A7DD"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7638996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избыточное число посредников между рыбодобывающими и рыбоперерабатывающими хозяйствующими субъектами, а также организациями розничной торговли;</w:t>
            </w:r>
          </w:p>
          <w:p w14:paraId="7461251B"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сложные условия вхождения в торговые сети и взаимодействия с торговыми сетями;</w:t>
            </w:r>
          </w:p>
          <w:p w14:paraId="4DD97B3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снижение покупательской способности населения, оказывающее существенное влияние на рынок продукции из водных биологических ресурсов.</w:t>
            </w:r>
          </w:p>
          <w:p w14:paraId="2B58B0F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0488DDBA"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36,8%.</w:t>
            </w:r>
          </w:p>
          <w:p w14:paraId="11AEE9B0"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51,4%.</w:t>
            </w:r>
          </w:p>
        </w:tc>
      </w:tr>
      <w:tr w:rsidR="003F4CFF" w:rsidRPr="00042ECF" w14:paraId="0831AD29" w14:textId="77777777" w:rsidTr="000221BE">
        <w:tc>
          <w:tcPr>
            <w:tcW w:w="220" w:type="pct"/>
            <w:shd w:val="clear" w:color="auto" w:fill="auto"/>
          </w:tcPr>
          <w:p w14:paraId="1F977666"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27</w:t>
            </w:r>
          </w:p>
        </w:tc>
        <w:tc>
          <w:tcPr>
            <w:tcW w:w="1959" w:type="pct"/>
            <w:shd w:val="clear" w:color="auto" w:fill="auto"/>
          </w:tcPr>
          <w:p w14:paraId="10A5ECD1"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переработки водных биоресурсов</w:t>
            </w:r>
          </w:p>
        </w:tc>
        <w:tc>
          <w:tcPr>
            <w:tcW w:w="2821" w:type="pct"/>
            <w:shd w:val="clear" w:color="auto" w:fill="auto"/>
          </w:tcPr>
          <w:p w14:paraId="487AC586"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28F876FB"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5EF931BB" w14:textId="77777777" w:rsidR="003F4CFF" w:rsidRPr="004C5DDC" w:rsidRDefault="003F4CFF" w:rsidP="003F4CFF">
            <w:pPr>
              <w:autoSpaceDE w:val="0"/>
              <w:autoSpaceDN w:val="0"/>
              <w:adjustRightInd w:val="0"/>
              <w:jc w:val="both"/>
              <w:rPr>
                <w:rFonts w:ascii="Times New Roman" w:hAnsi="Times New Roman"/>
                <w:sz w:val="24"/>
                <w:szCs w:val="24"/>
              </w:rPr>
            </w:pPr>
            <w:r w:rsidRPr="004C5DDC">
              <w:rPr>
                <w:rFonts w:ascii="Times New Roman" w:hAnsi="Times New Roman"/>
                <w:sz w:val="24"/>
                <w:szCs w:val="24"/>
              </w:rPr>
              <w:t>значительный объем первоначальных вложений в рыбоперерабатывающее производство при длительном сроке окупаемости;</w:t>
            </w:r>
          </w:p>
          <w:p w14:paraId="18F5B5C4" w14:textId="77777777" w:rsidR="003F4CFF" w:rsidRPr="004C5DDC" w:rsidRDefault="003F4CFF" w:rsidP="003F4CFF">
            <w:pPr>
              <w:autoSpaceDE w:val="0"/>
              <w:autoSpaceDN w:val="0"/>
              <w:adjustRightInd w:val="0"/>
              <w:jc w:val="both"/>
              <w:rPr>
                <w:rFonts w:ascii="Times New Roman" w:hAnsi="Times New Roman"/>
                <w:sz w:val="24"/>
                <w:szCs w:val="24"/>
              </w:rPr>
            </w:pPr>
            <w:r w:rsidRPr="004C5DDC">
              <w:rPr>
                <w:rFonts w:ascii="Times New Roman" w:hAnsi="Times New Roman"/>
                <w:sz w:val="24"/>
                <w:szCs w:val="24"/>
              </w:rPr>
              <w:t>избыточное число посредников между рыбодобывающими и рыбоперерабатывающими хозяйствующими субъектами, а также организациями розничной торговли;</w:t>
            </w:r>
          </w:p>
          <w:p w14:paraId="254AEA16" w14:textId="77777777" w:rsidR="003F4CFF" w:rsidRPr="004C5DDC" w:rsidRDefault="003F4CFF" w:rsidP="003F4CFF">
            <w:pPr>
              <w:autoSpaceDE w:val="0"/>
              <w:autoSpaceDN w:val="0"/>
              <w:adjustRightInd w:val="0"/>
              <w:jc w:val="both"/>
              <w:rPr>
                <w:rFonts w:ascii="Times New Roman" w:hAnsi="Times New Roman"/>
                <w:sz w:val="24"/>
                <w:szCs w:val="24"/>
              </w:rPr>
            </w:pPr>
            <w:r w:rsidRPr="004C5DDC">
              <w:rPr>
                <w:rFonts w:ascii="Times New Roman" w:hAnsi="Times New Roman"/>
                <w:sz w:val="24"/>
                <w:szCs w:val="24"/>
              </w:rPr>
              <w:t>большая часть реализуемой рыбной продукции и прочих водных биоресурсов ввозится из других регионов Российской Федерации или импортируется из иных стран.</w:t>
            </w:r>
          </w:p>
          <w:p w14:paraId="46030537"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7CEBE3C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36,6%.</w:t>
            </w:r>
          </w:p>
          <w:p w14:paraId="008EFAA1"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54,3%.</w:t>
            </w:r>
          </w:p>
        </w:tc>
      </w:tr>
      <w:tr w:rsidR="003F4CFF" w:rsidRPr="00042ECF" w14:paraId="73255042" w14:textId="77777777" w:rsidTr="000221BE">
        <w:tc>
          <w:tcPr>
            <w:tcW w:w="220" w:type="pct"/>
            <w:shd w:val="clear" w:color="auto" w:fill="auto"/>
          </w:tcPr>
          <w:p w14:paraId="74CCB9FC"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28</w:t>
            </w:r>
          </w:p>
        </w:tc>
        <w:tc>
          <w:tcPr>
            <w:tcW w:w="1959" w:type="pct"/>
            <w:shd w:val="clear" w:color="auto" w:fill="auto"/>
          </w:tcPr>
          <w:p w14:paraId="6D07F7CF"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товарной аквакультуры</w:t>
            </w:r>
          </w:p>
        </w:tc>
        <w:tc>
          <w:tcPr>
            <w:tcW w:w="2821" w:type="pct"/>
            <w:shd w:val="clear" w:color="auto" w:fill="auto"/>
          </w:tcPr>
          <w:p w14:paraId="65BAC126"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4890BFDF"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lastRenderedPageBreak/>
              <w:t xml:space="preserve">2. Основные проблемы на рынке по данным ОИОГВ. </w:t>
            </w:r>
          </w:p>
          <w:p w14:paraId="741DAB85"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высокие первоначальные вложения при длительных сроках окупаемости;</w:t>
            </w:r>
          </w:p>
          <w:p w14:paraId="314A018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отсутствие стабильного рынка сбыта живой рыбы в период ее массового производства.</w:t>
            </w:r>
          </w:p>
          <w:p w14:paraId="7F298DC0"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78300CA9"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34,45%.</w:t>
            </w:r>
          </w:p>
          <w:p w14:paraId="6662B0CB"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48,6%.</w:t>
            </w:r>
          </w:p>
        </w:tc>
      </w:tr>
      <w:tr w:rsidR="003F4CFF" w:rsidRPr="00042ECF" w14:paraId="7045992B" w14:textId="77777777" w:rsidTr="000221BE">
        <w:tc>
          <w:tcPr>
            <w:tcW w:w="220" w:type="pct"/>
            <w:shd w:val="clear" w:color="auto" w:fill="auto"/>
          </w:tcPr>
          <w:p w14:paraId="7984DF1F"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29</w:t>
            </w:r>
          </w:p>
        </w:tc>
        <w:tc>
          <w:tcPr>
            <w:tcW w:w="1959" w:type="pct"/>
            <w:shd w:val="clear" w:color="auto" w:fill="auto"/>
          </w:tcPr>
          <w:p w14:paraId="79709EDF"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добычи общераспространенных полезных ископаемых на участках недр местного значения</w:t>
            </w:r>
          </w:p>
        </w:tc>
        <w:tc>
          <w:tcPr>
            <w:tcW w:w="2821" w:type="pct"/>
            <w:shd w:val="clear" w:color="auto" w:fill="auto"/>
          </w:tcPr>
          <w:p w14:paraId="708BBF87"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3C3F9B40"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6F33ADCE"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сложный порядок лицензирования деятельности, излишние требования к организации для получения лицензии;</w:t>
            </w:r>
          </w:p>
          <w:p w14:paraId="2C9FA39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длительные сроки оформления документов;</w:t>
            </w:r>
          </w:p>
          <w:p w14:paraId="03536CC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сложность получения кредитов для получения начального капитала, необходимого для добычи, а также длительные сроки окупаемости капитальных вложений;</w:t>
            </w:r>
          </w:p>
          <w:p w14:paraId="3280425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затраты на охрану окружающей среды в сфере добычи.</w:t>
            </w:r>
          </w:p>
          <w:p w14:paraId="7D7CF03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3D18A089"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55,25%.</w:t>
            </w:r>
          </w:p>
          <w:p w14:paraId="74D37BE9"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58%.</w:t>
            </w:r>
          </w:p>
        </w:tc>
      </w:tr>
      <w:tr w:rsidR="003F4CFF" w:rsidRPr="00042ECF" w14:paraId="440B4621" w14:textId="77777777" w:rsidTr="000221BE">
        <w:tc>
          <w:tcPr>
            <w:tcW w:w="220" w:type="pct"/>
            <w:shd w:val="clear" w:color="auto" w:fill="auto"/>
          </w:tcPr>
          <w:p w14:paraId="39120CD2"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30</w:t>
            </w:r>
          </w:p>
        </w:tc>
        <w:tc>
          <w:tcPr>
            <w:tcW w:w="1959" w:type="pct"/>
            <w:shd w:val="clear" w:color="auto" w:fill="auto"/>
          </w:tcPr>
          <w:p w14:paraId="0482940F"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легкой промышленности</w:t>
            </w:r>
          </w:p>
        </w:tc>
        <w:tc>
          <w:tcPr>
            <w:tcW w:w="2821" w:type="pct"/>
            <w:shd w:val="clear" w:color="auto" w:fill="auto"/>
          </w:tcPr>
          <w:p w14:paraId="2076A6AB"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02E4AFD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2. Основные проблемы на рынке по данным ОИОГВ.</w:t>
            </w:r>
          </w:p>
          <w:p w14:paraId="1A3A63AF"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широкое распространение на рынке легкой промышленности продукции нелегального импорта и неучтенного (подпольного) производства; </w:t>
            </w:r>
          </w:p>
          <w:p w14:paraId="4D0EFA3B"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социальные и кадровые проблемы (низкий уровень заработной платы работников отрасли); </w:t>
            </w:r>
          </w:p>
          <w:p w14:paraId="52A2891E"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невысокий уровень технического оснащения производства (многие компании используют </w:t>
            </w:r>
            <w:r w:rsidRPr="005365FB">
              <w:rPr>
                <w:rFonts w:ascii="Times New Roman" w:hAnsi="Times New Roman"/>
                <w:sz w:val="24"/>
                <w:szCs w:val="24"/>
              </w:rPr>
              <w:lastRenderedPageBreak/>
              <w:t xml:space="preserve">оборудование и технологии, которые являются отсталыми и устаревшими); </w:t>
            </w:r>
          </w:p>
          <w:p w14:paraId="40731C04"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низкий уровень инвестиционной привлекательности отрасли; </w:t>
            </w:r>
          </w:p>
          <w:p w14:paraId="1B06904F"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сложность в получении льготных кредитов предприятиями легкой промышленности.</w:t>
            </w:r>
          </w:p>
          <w:p w14:paraId="65DAEBC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1A9443A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47,25%.</w:t>
            </w:r>
          </w:p>
          <w:p w14:paraId="44F34783"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25,4%.</w:t>
            </w:r>
          </w:p>
        </w:tc>
      </w:tr>
      <w:tr w:rsidR="003F4CFF" w:rsidRPr="00042ECF" w14:paraId="5F9CE6D7" w14:textId="77777777" w:rsidTr="000221BE">
        <w:tc>
          <w:tcPr>
            <w:tcW w:w="220" w:type="pct"/>
            <w:shd w:val="clear" w:color="auto" w:fill="auto"/>
          </w:tcPr>
          <w:p w14:paraId="7F8E3C26"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lastRenderedPageBreak/>
              <w:t>31</w:t>
            </w:r>
          </w:p>
        </w:tc>
        <w:tc>
          <w:tcPr>
            <w:tcW w:w="1959" w:type="pct"/>
            <w:shd w:val="clear" w:color="auto" w:fill="auto"/>
          </w:tcPr>
          <w:p w14:paraId="0EA667AF"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обработки древесины и производства изделий из дерева</w:t>
            </w:r>
          </w:p>
        </w:tc>
        <w:tc>
          <w:tcPr>
            <w:tcW w:w="2821" w:type="pct"/>
            <w:shd w:val="clear" w:color="auto" w:fill="auto"/>
          </w:tcPr>
          <w:p w14:paraId="20E44B04"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711E92E5"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2. Основные проблемы на рынке по данным ОИОГ</w:t>
            </w:r>
            <w:r w:rsidRPr="004C5DDC">
              <w:rPr>
                <w:rFonts w:ascii="Times New Roman" w:hAnsi="Times New Roman"/>
                <w:sz w:val="24"/>
                <w:szCs w:val="24"/>
              </w:rPr>
              <w:t xml:space="preserve"> </w:t>
            </w:r>
            <w:r w:rsidRPr="005365FB">
              <w:rPr>
                <w:rFonts w:ascii="Times New Roman" w:hAnsi="Times New Roman"/>
                <w:sz w:val="24"/>
                <w:szCs w:val="24"/>
              </w:rPr>
              <w:t>большой износ основных средств;</w:t>
            </w:r>
          </w:p>
          <w:p w14:paraId="3CF64F1B"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недос</w:t>
            </w:r>
            <w:r w:rsidR="00512FD0">
              <w:rPr>
                <w:rFonts w:ascii="Times New Roman" w:hAnsi="Times New Roman"/>
                <w:sz w:val="24"/>
                <w:szCs w:val="24"/>
              </w:rPr>
              <w:t>таток квалифицированных кадров</w:t>
            </w:r>
            <w:r w:rsidRPr="005365FB">
              <w:rPr>
                <w:rFonts w:ascii="Times New Roman" w:hAnsi="Times New Roman"/>
                <w:sz w:val="24"/>
                <w:szCs w:val="24"/>
              </w:rPr>
              <w:t xml:space="preserve">. </w:t>
            </w:r>
          </w:p>
          <w:p w14:paraId="504598A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18FDE9FB"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53%.</w:t>
            </w:r>
          </w:p>
          <w:p w14:paraId="6005F535"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45%.</w:t>
            </w:r>
          </w:p>
        </w:tc>
      </w:tr>
      <w:tr w:rsidR="003F4CFF" w:rsidRPr="00042ECF" w14:paraId="21344116" w14:textId="77777777" w:rsidTr="000221BE">
        <w:tc>
          <w:tcPr>
            <w:tcW w:w="220" w:type="pct"/>
            <w:shd w:val="clear" w:color="auto" w:fill="auto"/>
          </w:tcPr>
          <w:p w14:paraId="2150B839"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32</w:t>
            </w:r>
          </w:p>
        </w:tc>
        <w:tc>
          <w:tcPr>
            <w:tcW w:w="1959" w:type="pct"/>
            <w:shd w:val="clear" w:color="auto" w:fill="auto"/>
          </w:tcPr>
          <w:p w14:paraId="30B82EB0"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производства кирпича</w:t>
            </w:r>
          </w:p>
        </w:tc>
        <w:tc>
          <w:tcPr>
            <w:tcW w:w="2821" w:type="pct"/>
            <w:shd w:val="clear" w:color="auto" w:fill="auto"/>
          </w:tcPr>
          <w:p w14:paraId="24E3D075"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52C0ED06"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2. Основные проблемы на рынке по данным ОИОГВ.</w:t>
            </w:r>
          </w:p>
          <w:p w14:paraId="4E51D4D2"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 недозагруженность производственных мощностей; </w:t>
            </w:r>
          </w:p>
          <w:p w14:paraId="345E6DBB"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снижение спроса ввиду сезонности проведения строительных работ;</w:t>
            </w:r>
          </w:p>
          <w:p w14:paraId="25A478ED"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недостаточный уровень инвестиций, необходимых для модернизации отрасли и внедрения современных технологий.</w:t>
            </w:r>
          </w:p>
          <w:p w14:paraId="31BFD558"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2768621E"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55%.</w:t>
            </w:r>
          </w:p>
          <w:p w14:paraId="6A88E7DF"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50%.</w:t>
            </w:r>
          </w:p>
        </w:tc>
      </w:tr>
      <w:tr w:rsidR="003F4CFF" w:rsidRPr="00042ECF" w14:paraId="4AECD771" w14:textId="77777777" w:rsidTr="000221BE">
        <w:tc>
          <w:tcPr>
            <w:tcW w:w="220" w:type="pct"/>
            <w:shd w:val="clear" w:color="auto" w:fill="auto"/>
          </w:tcPr>
          <w:p w14:paraId="6CB1B21F" w14:textId="77777777" w:rsidR="003F4CFF" w:rsidRPr="003C59E5" w:rsidRDefault="003F4CFF" w:rsidP="003F4CFF">
            <w:pPr>
              <w:rPr>
                <w:rFonts w:ascii="Times New Roman" w:hAnsi="Times New Roman" w:cs="Times New Roman"/>
                <w:sz w:val="24"/>
                <w:szCs w:val="24"/>
              </w:rPr>
            </w:pPr>
            <w:r w:rsidRPr="003C59E5">
              <w:rPr>
                <w:rFonts w:ascii="Times New Roman" w:hAnsi="Times New Roman" w:cs="Times New Roman"/>
                <w:sz w:val="24"/>
                <w:szCs w:val="24"/>
              </w:rPr>
              <w:t>33</w:t>
            </w:r>
          </w:p>
        </w:tc>
        <w:tc>
          <w:tcPr>
            <w:tcW w:w="1959" w:type="pct"/>
            <w:shd w:val="clear" w:color="auto" w:fill="auto"/>
          </w:tcPr>
          <w:p w14:paraId="780B33E3" w14:textId="77777777" w:rsidR="003F4CFF" w:rsidRPr="003C59E5" w:rsidRDefault="003F4CFF" w:rsidP="003F4CFF">
            <w:pPr>
              <w:autoSpaceDE w:val="0"/>
              <w:autoSpaceDN w:val="0"/>
              <w:adjustRightInd w:val="0"/>
              <w:rPr>
                <w:rFonts w:ascii="Times New Roman" w:hAnsi="Times New Roman" w:cs="Times New Roman"/>
                <w:sz w:val="24"/>
                <w:szCs w:val="24"/>
              </w:rPr>
            </w:pPr>
            <w:r w:rsidRPr="003C59E5">
              <w:rPr>
                <w:rFonts w:ascii="Times New Roman" w:hAnsi="Times New Roman" w:cs="Times New Roman"/>
                <w:sz w:val="24"/>
                <w:szCs w:val="24"/>
              </w:rPr>
              <w:t>Рынок производства бетона</w:t>
            </w:r>
          </w:p>
        </w:tc>
        <w:tc>
          <w:tcPr>
            <w:tcW w:w="2821" w:type="pct"/>
            <w:shd w:val="clear" w:color="auto" w:fill="auto"/>
          </w:tcPr>
          <w:p w14:paraId="60D28991" w14:textId="77777777" w:rsidR="003F4CFF" w:rsidRPr="004C5DDC" w:rsidRDefault="003F4CFF" w:rsidP="003F4CFF">
            <w:pPr>
              <w:jc w:val="both"/>
              <w:rPr>
                <w:rFonts w:ascii="Times New Roman" w:hAnsi="Times New Roman"/>
                <w:sz w:val="24"/>
                <w:szCs w:val="24"/>
              </w:rPr>
            </w:pPr>
            <w:r w:rsidRPr="005365FB">
              <w:rPr>
                <w:rFonts w:ascii="Times New Roman" w:hAnsi="Times New Roman"/>
                <w:sz w:val="24"/>
                <w:szCs w:val="24"/>
              </w:rPr>
              <w:t xml:space="preserve">1. Данный рынок включен в приложение к Стандарту развития конкуренции в субъектах Российской Федерации, утвержденному распоряжением Правительства Российской </w:t>
            </w:r>
            <w:r w:rsidRPr="005365FB">
              <w:rPr>
                <w:rFonts w:ascii="Times New Roman" w:hAnsi="Times New Roman"/>
                <w:sz w:val="24"/>
                <w:szCs w:val="24"/>
              </w:rPr>
              <w:lastRenderedPageBreak/>
              <w:t xml:space="preserve">Федерации от 17.04.2019 № </w:t>
            </w:r>
            <w:r w:rsidRPr="004C5DDC">
              <w:rPr>
                <w:rFonts w:ascii="Times New Roman" w:hAnsi="Times New Roman"/>
                <w:sz w:val="24"/>
                <w:szCs w:val="24"/>
              </w:rPr>
              <w:t xml:space="preserve">768-р. </w:t>
            </w:r>
            <w:r w:rsidRPr="005365FB">
              <w:rPr>
                <w:rFonts w:ascii="Times New Roman" w:hAnsi="Times New Roman"/>
                <w:sz w:val="24"/>
                <w:szCs w:val="24"/>
              </w:rPr>
              <w:t>Приоритет установлен на федеральном уровне.</w:t>
            </w:r>
          </w:p>
          <w:p w14:paraId="07F4747E"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2. Основные проблемы на рынке по данным ОИОГВ. </w:t>
            </w:r>
          </w:p>
          <w:p w14:paraId="4825C011"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 xml:space="preserve">недозагруженность производственных мощностей; </w:t>
            </w:r>
          </w:p>
          <w:p w14:paraId="6B463227"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снижение спроса ввиду сезонности проведения строительных работ;</w:t>
            </w:r>
          </w:p>
          <w:p w14:paraId="7EFEE42C"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недостаточный уровень инвестиций, необходимых для модернизации отрасли и внедрения современных технологий.</w:t>
            </w:r>
          </w:p>
          <w:p w14:paraId="13845C4E"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3. Данные мониторинга.</w:t>
            </w:r>
          </w:p>
          <w:p w14:paraId="57D5DA9A" w14:textId="77777777" w:rsidR="003F4CFF" w:rsidRPr="005365FB" w:rsidRDefault="003F4CFF" w:rsidP="003F4CFF">
            <w:pPr>
              <w:jc w:val="both"/>
              <w:rPr>
                <w:rFonts w:ascii="Times New Roman" w:hAnsi="Times New Roman"/>
                <w:sz w:val="24"/>
                <w:szCs w:val="24"/>
              </w:rPr>
            </w:pPr>
            <w:r w:rsidRPr="005365FB">
              <w:rPr>
                <w:rFonts w:ascii="Times New Roman" w:hAnsi="Times New Roman"/>
                <w:sz w:val="24"/>
                <w:szCs w:val="24"/>
              </w:rPr>
              <w:t>1) удовлетворенность потребителей качеством товаров, работ и услуг на товарном рынке и состоянием ценовой конкуренции – 58,7%.</w:t>
            </w:r>
          </w:p>
          <w:p w14:paraId="42301D9D" w14:textId="77777777" w:rsidR="003F4CFF" w:rsidRPr="004C5DDC" w:rsidRDefault="003F4CFF" w:rsidP="003F4CFF">
            <w:pPr>
              <w:widowControl w:val="0"/>
              <w:jc w:val="both"/>
              <w:rPr>
                <w:rFonts w:ascii="Times New Roman" w:hAnsi="Times New Roman"/>
                <w:sz w:val="24"/>
                <w:szCs w:val="24"/>
              </w:rPr>
            </w:pPr>
            <w:r w:rsidRPr="004C5DDC">
              <w:rPr>
                <w:rFonts w:ascii="Times New Roman" w:hAnsi="Times New Roman"/>
                <w:sz w:val="24"/>
                <w:szCs w:val="24"/>
              </w:rPr>
              <w:t xml:space="preserve">2) удовлетворенность предпринимателей действиями органов власти региона </w:t>
            </w:r>
            <w:r w:rsidRPr="005365FB">
              <w:rPr>
                <w:rFonts w:ascii="Times New Roman" w:hAnsi="Times New Roman"/>
                <w:sz w:val="24"/>
                <w:szCs w:val="24"/>
              </w:rPr>
              <w:t>– 37,1%.</w:t>
            </w:r>
          </w:p>
        </w:tc>
      </w:tr>
    </w:tbl>
    <w:p w14:paraId="7B11E7DC" w14:textId="77777777" w:rsidR="003F4CFF" w:rsidRDefault="003F4CFF" w:rsidP="003F4CFF">
      <w:pPr>
        <w:ind w:firstLine="709"/>
        <w:jc w:val="both"/>
        <w:rPr>
          <w:rFonts w:ascii="Times New Roman" w:hAnsi="Times New Roman" w:cs="Times New Roman"/>
          <w:sz w:val="28"/>
          <w:szCs w:val="28"/>
        </w:rPr>
      </w:pPr>
    </w:p>
    <w:p w14:paraId="78F8CCA4" w14:textId="77777777" w:rsidR="003F4CFF" w:rsidRPr="00F732D1" w:rsidRDefault="003F4CFF" w:rsidP="003F4CFF">
      <w:pPr>
        <w:pStyle w:val="ac"/>
        <w:ind w:firstLine="567"/>
        <w:jc w:val="both"/>
        <w:outlineLvl w:val="1"/>
        <w:rPr>
          <w:rFonts w:ascii="Times New Roman" w:hAnsi="Times New Roman"/>
          <w:b/>
        </w:rPr>
      </w:pPr>
      <w:bookmarkStart w:id="125" w:name="_Toc31983988"/>
      <w:bookmarkStart w:id="126" w:name="_Toc32240328"/>
      <w:bookmarkStart w:id="127" w:name="_Toc32421913"/>
      <w:bookmarkStart w:id="128" w:name="_Toc34129193"/>
      <w:r w:rsidRPr="00F732D1">
        <w:rPr>
          <w:rFonts w:ascii="Times New Roman" w:hAnsi="Times New Roman"/>
          <w:b/>
        </w:rPr>
        <w:t>2.5. Утверждение плана мероприятий («дорожно</w:t>
      </w:r>
      <w:r>
        <w:rPr>
          <w:rFonts w:ascii="Times New Roman" w:hAnsi="Times New Roman"/>
          <w:b/>
        </w:rPr>
        <w:t>й карты»)</w:t>
      </w:r>
      <w:bookmarkEnd w:id="125"/>
      <w:bookmarkEnd w:id="126"/>
      <w:bookmarkEnd w:id="127"/>
      <w:bookmarkEnd w:id="128"/>
    </w:p>
    <w:p w14:paraId="7BCFBB2B" w14:textId="710DCF13" w:rsidR="003F4CFF" w:rsidRPr="00937ECC" w:rsidRDefault="003F4CFF" w:rsidP="003F4CFF">
      <w:pPr>
        <w:ind w:firstLine="567"/>
        <w:jc w:val="both"/>
        <w:rPr>
          <w:rFonts w:ascii="Times New Roman" w:eastAsia="Times New Roman" w:hAnsi="Times New Roman" w:cs="Times New Roman"/>
          <w:sz w:val="28"/>
          <w:szCs w:val="28"/>
        </w:rPr>
      </w:pPr>
      <w:bookmarkStart w:id="129" w:name="page25"/>
      <w:bookmarkEnd w:id="129"/>
      <w:r w:rsidRPr="00937ECC">
        <w:rPr>
          <w:rFonts w:ascii="Times New Roman" w:eastAsia="Times New Roman" w:hAnsi="Times New Roman" w:cs="Times New Roman"/>
          <w:sz w:val="28"/>
          <w:szCs w:val="28"/>
        </w:rPr>
        <w:t>П</w:t>
      </w:r>
      <w:r>
        <w:rPr>
          <w:rFonts w:ascii="Times New Roman" w:eastAsia="Times New Roman" w:hAnsi="Times New Roman" w:cs="Times New Roman"/>
          <w:sz w:val="28"/>
          <w:szCs w:val="28"/>
        </w:rPr>
        <w:t>лан мероприятий («дорожная карта») по содействию развитию конкуренции в Новосибирской области</w:t>
      </w:r>
      <w:r w:rsidR="005F2E4D">
        <w:rPr>
          <w:rFonts w:ascii="Times New Roman" w:eastAsia="Times New Roman" w:hAnsi="Times New Roman" w:cs="Times New Roman"/>
          <w:sz w:val="28"/>
          <w:szCs w:val="28"/>
        </w:rPr>
        <w:t xml:space="preserve"> (далее – дорожная карта)</w:t>
      </w:r>
      <w:r>
        <w:rPr>
          <w:rFonts w:ascii="Times New Roman" w:eastAsia="Times New Roman" w:hAnsi="Times New Roman" w:cs="Times New Roman"/>
          <w:sz w:val="28"/>
          <w:szCs w:val="28"/>
        </w:rPr>
        <w:t xml:space="preserve"> </w:t>
      </w:r>
      <w:r w:rsidRPr="00937ECC">
        <w:rPr>
          <w:rFonts w:ascii="Times New Roman" w:eastAsia="Times New Roman" w:hAnsi="Times New Roman" w:cs="Times New Roman"/>
          <w:sz w:val="28"/>
          <w:szCs w:val="28"/>
        </w:rPr>
        <w:t>утвержден постановлением Губерна</w:t>
      </w:r>
      <w:r>
        <w:rPr>
          <w:rFonts w:ascii="Times New Roman" w:eastAsia="Times New Roman" w:hAnsi="Times New Roman" w:cs="Times New Roman"/>
          <w:sz w:val="28"/>
          <w:szCs w:val="28"/>
        </w:rPr>
        <w:t>тора Новосибирской области от 20.12.2019 № 287 «</w:t>
      </w:r>
      <w:r w:rsidRPr="00937ECC">
        <w:rPr>
          <w:rFonts w:ascii="Times New Roman" w:eastAsia="Times New Roman" w:hAnsi="Times New Roman" w:cs="Times New Roman"/>
          <w:sz w:val="28"/>
          <w:szCs w:val="28"/>
        </w:rPr>
        <w:t xml:space="preserve">Об утверждении перечня товарных рынков для содействия развитию конкуренции и плана мероприятий («дорожной карты») по содействию развитию конкуренции в Новосибирской </w:t>
      </w:r>
      <w:r w:rsidRPr="005F2E4D">
        <w:rPr>
          <w:rFonts w:ascii="Times New Roman" w:eastAsia="Times New Roman" w:hAnsi="Times New Roman" w:cs="Times New Roman"/>
          <w:sz w:val="28"/>
          <w:szCs w:val="28"/>
        </w:rPr>
        <w:t>области</w:t>
      </w:r>
      <w:r w:rsidRPr="00E77388">
        <w:rPr>
          <w:rFonts w:ascii="Times New Roman" w:eastAsia="Times New Roman" w:hAnsi="Times New Roman" w:cs="Times New Roman"/>
          <w:sz w:val="28"/>
          <w:szCs w:val="28"/>
        </w:rPr>
        <w:t>»</w:t>
      </w:r>
      <w:r w:rsidR="00192D8B" w:rsidRPr="005F2E4D">
        <w:rPr>
          <w:rFonts w:ascii="Times New Roman" w:eastAsia="Times New Roman" w:hAnsi="Times New Roman" w:cs="Times New Roman"/>
          <w:sz w:val="28"/>
          <w:szCs w:val="28"/>
        </w:rPr>
        <w:t>.</w:t>
      </w:r>
    </w:p>
    <w:p w14:paraId="6B4C49BE" w14:textId="77777777" w:rsidR="003F4CFF"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084B9C">
        <w:rPr>
          <w:rFonts w:ascii="Times New Roman" w:eastAsia="Times New Roman" w:hAnsi="Times New Roman" w:cs="Times New Roman"/>
          <w:sz w:val="28"/>
          <w:szCs w:val="28"/>
        </w:rPr>
        <w:t>Дорожная карта подготовлена в соответствии с положениями Стандарта.</w:t>
      </w:r>
    </w:p>
    <w:p w14:paraId="68B5F83B" w14:textId="3D3E5B06"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sidRPr="00F90B6B">
        <w:rPr>
          <w:rFonts w:ascii="Times New Roman" w:hAnsi="Times New Roman" w:cs="Times New Roman"/>
          <w:sz w:val="28"/>
          <w:szCs w:val="28"/>
        </w:rPr>
        <w:t>Целями дорожной карты являются:</w:t>
      </w:r>
    </w:p>
    <w:p w14:paraId="2800D32A" w14:textId="77777777"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sidRPr="00F90B6B">
        <w:rPr>
          <w:rFonts w:ascii="Times New Roman" w:hAnsi="Times New Roman" w:cs="Times New Roman"/>
          <w:sz w:val="28"/>
          <w:szCs w:val="28"/>
        </w:rPr>
        <w:t>повышение удовлетворенности потребителей за счет расширения ассортимента товаров, работ, услуг, повышения их качества и снижения цен;</w:t>
      </w:r>
    </w:p>
    <w:p w14:paraId="42B1C308" w14:textId="77777777"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sidRPr="00F90B6B">
        <w:rPr>
          <w:rFonts w:ascii="Times New Roman" w:hAnsi="Times New Roman" w:cs="Times New Roman"/>
          <w:sz w:val="28"/>
          <w:szCs w:val="28"/>
        </w:rPr>
        <w:t>повышение экономической эффективности и конкурентоспособности хозяйствующих субъектов Новосибирской области, в том числе за счет обеспечения равного доступа к товарам и услугам субъектов естественных монополий, государственным и муниципальным услугам, необходимым для ведения предпринимательской деятельности в</w:t>
      </w:r>
      <w:r>
        <w:rPr>
          <w:rFonts w:ascii="Times New Roman" w:hAnsi="Times New Roman" w:cs="Times New Roman"/>
          <w:sz w:val="28"/>
          <w:szCs w:val="28"/>
        </w:rPr>
        <w:t> </w:t>
      </w:r>
      <w:r w:rsidRPr="00F90B6B">
        <w:rPr>
          <w:rFonts w:ascii="Times New Roman" w:hAnsi="Times New Roman" w:cs="Times New Roman"/>
          <w:sz w:val="28"/>
          <w:szCs w:val="28"/>
        </w:rPr>
        <w:t>Новосибирской области, стимулирования инновационной активности хозяйствующих субъектов региона, повышения доли наукоемких товаров и услуг в структуре производства, развития рынков высокотехнологичной продукции;</w:t>
      </w:r>
    </w:p>
    <w:p w14:paraId="3893DC67" w14:textId="77777777"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sidRPr="00F90B6B">
        <w:rPr>
          <w:rFonts w:ascii="Times New Roman" w:hAnsi="Times New Roman" w:cs="Times New Roman"/>
          <w:sz w:val="28"/>
          <w:szCs w:val="28"/>
        </w:rPr>
        <w:t>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1B7B34BC" w14:textId="7E2F3ECB"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sidRPr="00F90B6B">
        <w:rPr>
          <w:rFonts w:ascii="Times New Roman" w:hAnsi="Times New Roman" w:cs="Times New Roman"/>
          <w:sz w:val="28"/>
          <w:szCs w:val="28"/>
        </w:rPr>
        <w:t xml:space="preserve">Предметом дорожной карты являются мероприятия по развитию конкуренции на товарных рынках Новосибирской области. </w:t>
      </w:r>
    </w:p>
    <w:p w14:paraId="60A2D78D" w14:textId="2337F7B2"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sidRPr="007219BC">
        <w:rPr>
          <w:rFonts w:ascii="Times New Roman" w:hAnsi="Times New Roman" w:cs="Times New Roman"/>
          <w:sz w:val="28"/>
          <w:szCs w:val="28"/>
        </w:rPr>
        <w:t>Числовые значения ключевых показателей и мероприятия по развитию конкуренции на товарных рынках Новосибирской области в дорожной карте определены на период 2019-2022 годов с учетом необходимости обязательного достижения к 2022 году.</w:t>
      </w:r>
      <w:r w:rsidRPr="00F90B6B">
        <w:rPr>
          <w:rFonts w:ascii="Times New Roman" w:hAnsi="Times New Roman" w:cs="Times New Roman"/>
          <w:sz w:val="28"/>
          <w:szCs w:val="28"/>
        </w:rPr>
        <w:t xml:space="preserve"> </w:t>
      </w:r>
    </w:p>
    <w:p w14:paraId="62343275" w14:textId="16641248"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sidRPr="00F90B6B">
        <w:rPr>
          <w:rFonts w:ascii="Times New Roman" w:hAnsi="Times New Roman" w:cs="Times New Roman"/>
          <w:sz w:val="28"/>
          <w:szCs w:val="28"/>
        </w:rPr>
        <w:lastRenderedPageBreak/>
        <w:t>Наряду с мероприятиями, сформированными в целях достижения ключевых показателей</w:t>
      </w:r>
      <w:r>
        <w:rPr>
          <w:rFonts w:ascii="Times New Roman" w:hAnsi="Times New Roman" w:cs="Times New Roman"/>
          <w:sz w:val="28"/>
          <w:szCs w:val="28"/>
        </w:rPr>
        <w:t xml:space="preserve"> развития конкуренции (далее – ключевые показатели)</w:t>
      </w:r>
      <w:r w:rsidRPr="00F90B6B">
        <w:rPr>
          <w:rFonts w:ascii="Times New Roman" w:hAnsi="Times New Roman" w:cs="Times New Roman"/>
          <w:sz w:val="28"/>
          <w:szCs w:val="28"/>
        </w:rPr>
        <w:t>, в дорожной карте предусмотрены также системные мероприятия, которые направлены на развитие конкуренции в Новосибирской области.</w:t>
      </w:r>
    </w:p>
    <w:p w14:paraId="0780A479" w14:textId="54709401"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sidRPr="00F90B6B">
        <w:rPr>
          <w:rFonts w:ascii="Times New Roman" w:hAnsi="Times New Roman" w:cs="Times New Roman"/>
          <w:sz w:val="28"/>
          <w:szCs w:val="28"/>
        </w:rPr>
        <w:t xml:space="preserve">Мероприятия, предусмотренные иными утвержденными в установленном </w:t>
      </w:r>
      <w:r>
        <w:rPr>
          <w:rFonts w:ascii="Times New Roman" w:hAnsi="Times New Roman" w:cs="Times New Roman"/>
          <w:sz w:val="28"/>
          <w:szCs w:val="28"/>
        </w:rPr>
        <w:t>порядке на федеральном уровне и </w:t>
      </w:r>
      <w:r w:rsidRPr="00F90B6B">
        <w:rPr>
          <w:rFonts w:ascii="Times New Roman" w:hAnsi="Times New Roman" w:cs="Times New Roman"/>
          <w:sz w:val="28"/>
          <w:szCs w:val="28"/>
        </w:rPr>
        <w:t>(или) на уровне Новосибирской области стратегическими и программными документами, реализация которых оказывает влияние на состояние конкуренции</w:t>
      </w:r>
      <w:r>
        <w:rPr>
          <w:rFonts w:ascii="Times New Roman" w:hAnsi="Times New Roman" w:cs="Times New Roman"/>
          <w:sz w:val="28"/>
          <w:szCs w:val="28"/>
        </w:rPr>
        <w:t xml:space="preserve"> на территории Новосибирской области</w:t>
      </w:r>
      <w:r w:rsidRPr="00F90B6B">
        <w:rPr>
          <w:rFonts w:ascii="Times New Roman" w:hAnsi="Times New Roman" w:cs="Times New Roman"/>
          <w:sz w:val="28"/>
          <w:szCs w:val="28"/>
        </w:rPr>
        <w:t>, служат неотъемлемым дополнением к мероприятиям, предусмотренным дорожной картой, и указаны в приложении к ней.</w:t>
      </w:r>
    </w:p>
    <w:p w14:paraId="6D3273FF" w14:textId="77777777" w:rsidR="003F4CFF" w:rsidRPr="003C40A8" w:rsidRDefault="003F4CFF" w:rsidP="003F4CFF">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 размещен</w:t>
      </w:r>
      <w:r w:rsidRPr="00937ECC">
        <w:rPr>
          <w:rFonts w:ascii="Times New Roman" w:eastAsia="Times New Roman" w:hAnsi="Times New Roman" w:cs="Times New Roman"/>
          <w:sz w:val="28"/>
          <w:szCs w:val="28"/>
        </w:rPr>
        <w:t xml:space="preserve"> на официальном сайте министерства </w:t>
      </w:r>
      <w:r w:rsidRPr="00046D27">
        <w:rPr>
          <w:rFonts w:ascii="Times New Roman" w:eastAsia="Times New Roman" w:hAnsi="Times New Roman" w:cs="Times New Roman"/>
          <w:sz w:val="28"/>
          <w:szCs w:val="28"/>
        </w:rPr>
        <w:t>экономического развития Новосибирской области</w:t>
      </w:r>
      <w:r w:rsidRPr="00937ECC">
        <w:rPr>
          <w:rFonts w:ascii="Times New Roman" w:eastAsia="Times New Roman" w:hAnsi="Times New Roman" w:cs="Times New Roman"/>
          <w:sz w:val="28"/>
          <w:szCs w:val="28"/>
        </w:rPr>
        <w:t xml:space="preserve"> </w:t>
      </w:r>
      <w:r w:rsidRPr="00046D27">
        <w:rPr>
          <w:rFonts w:ascii="Times New Roman" w:eastAsia="Times New Roman" w:hAnsi="Times New Roman" w:cs="Times New Roman"/>
          <w:sz w:val="28"/>
          <w:szCs w:val="28"/>
        </w:rPr>
        <w:t>(</w:t>
      </w:r>
      <w:hyperlink r:id="rId162" w:history="1">
        <w:r w:rsidRPr="00046D27">
          <w:rPr>
            <w:rFonts w:ascii="Times New Roman" w:hAnsi="Times New Roman" w:cs="Times New Roman"/>
            <w:sz w:val="28"/>
            <w:szCs w:val="28"/>
          </w:rPr>
          <w:t>http://www.econom.nso.ru/page/460</w:t>
        </w:r>
      </w:hyperlink>
      <w:r w:rsidRPr="00046D27">
        <w:rPr>
          <w:rFonts w:ascii="Times New Roman" w:hAnsi="Times New Roman" w:cs="Times New Roman"/>
          <w:sz w:val="28"/>
          <w:szCs w:val="28"/>
        </w:rPr>
        <w:t>) и Инвестиционном портале Новосибирской области (</w:t>
      </w:r>
      <w:hyperlink r:id="rId163" w:history="1">
        <w:r w:rsidRPr="003C40A8">
          <w:rPr>
            <w:rFonts w:ascii="Times New Roman" w:eastAsia="Times New Roman" w:hAnsi="Times New Roman" w:cs="Times New Roman"/>
            <w:sz w:val="28"/>
            <w:szCs w:val="28"/>
          </w:rPr>
          <w:t>http://www.invest.nso.ru/ru/content/normativno-pravovye-akty-3</w:t>
        </w:r>
      </w:hyperlink>
      <w:r w:rsidRPr="003C40A8">
        <w:rPr>
          <w:rFonts w:ascii="Times New Roman" w:eastAsia="Times New Roman" w:hAnsi="Times New Roman" w:cs="Times New Roman"/>
          <w:sz w:val="28"/>
          <w:szCs w:val="28"/>
        </w:rPr>
        <w:t>).</w:t>
      </w:r>
    </w:p>
    <w:p w14:paraId="4398E6C3" w14:textId="77777777" w:rsidR="003F4CFF" w:rsidRPr="003C40A8" w:rsidRDefault="003F4CFF" w:rsidP="003F4CFF">
      <w:pPr>
        <w:tabs>
          <w:tab w:val="left" w:pos="1660"/>
          <w:tab w:val="left" w:pos="3660"/>
          <w:tab w:val="left" w:pos="4780"/>
          <w:tab w:val="left" w:pos="5540"/>
          <w:tab w:val="left" w:pos="7700"/>
          <w:tab w:val="left" w:pos="8700"/>
        </w:tabs>
        <w:spacing w:line="0" w:lineRule="atLeast"/>
        <w:ind w:left="260" w:firstLine="567"/>
        <w:rPr>
          <w:rFonts w:ascii="Times New Roman" w:eastAsia="Times New Roman" w:hAnsi="Times New Roman" w:cs="Times New Roman"/>
          <w:sz w:val="28"/>
          <w:szCs w:val="28"/>
        </w:rPr>
      </w:pPr>
    </w:p>
    <w:p w14:paraId="5BD99AAF" w14:textId="77777777" w:rsidR="003F4CFF" w:rsidRDefault="003F4CFF" w:rsidP="003F4CFF">
      <w:pPr>
        <w:pStyle w:val="ac"/>
        <w:ind w:firstLine="567"/>
        <w:jc w:val="both"/>
        <w:outlineLvl w:val="1"/>
        <w:rPr>
          <w:rFonts w:ascii="Times New Roman" w:hAnsi="Times New Roman"/>
          <w:b/>
        </w:rPr>
      </w:pPr>
      <w:bookmarkStart w:id="130" w:name="_Toc31983989"/>
      <w:bookmarkStart w:id="131" w:name="_Toc32240329"/>
      <w:bookmarkStart w:id="132" w:name="_Toc32421914"/>
      <w:bookmarkStart w:id="133" w:name="_Toc34129194"/>
      <w:r w:rsidRPr="00F732D1">
        <w:rPr>
          <w:rFonts w:ascii="Times New Roman" w:hAnsi="Times New Roman"/>
          <w:b/>
        </w:rPr>
        <w:t>2.6. Подготовка ежегодного Доклада, подготовленного в соответствии с положениями Стандарта</w:t>
      </w:r>
      <w:bookmarkEnd w:id="130"/>
      <w:bookmarkEnd w:id="131"/>
      <w:bookmarkEnd w:id="132"/>
      <w:bookmarkEnd w:id="133"/>
    </w:p>
    <w:p w14:paraId="46100F3B" w14:textId="77777777" w:rsidR="003F4CFF" w:rsidRPr="004C5DDC" w:rsidRDefault="003F4CFF" w:rsidP="003F4CFF">
      <w:pPr>
        <w:ind w:firstLine="567"/>
        <w:jc w:val="both"/>
        <w:rPr>
          <w:rFonts w:ascii="Times New Roman" w:eastAsia="Times New Roman" w:hAnsi="Times New Roman" w:cs="Times New Roman"/>
          <w:sz w:val="28"/>
          <w:szCs w:val="28"/>
        </w:rPr>
      </w:pPr>
      <w:r w:rsidRPr="004C5DDC">
        <w:rPr>
          <w:rFonts w:ascii="Times New Roman" w:eastAsia="Times New Roman" w:hAnsi="Times New Roman" w:cs="Times New Roman"/>
          <w:sz w:val="28"/>
          <w:szCs w:val="28"/>
        </w:rPr>
        <w:t>Доклад о состоянии и развитии конкурентной среды на рынках товаров, работ и услуг Новосибирской области за 2019 год (далее – доклад) подготовлен в соответствии с положениями Стандарта.</w:t>
      </w:r>
    </w:p>
    <w:p w14:paraId="21120ADF" w14:textId="66E82B50" w:rsidR="004920DF" w:rsidRDefault="003F4CFF" w:rsidP="003F4CFF">
      <w:pPr>
        <w:ind w:firstLine="567"/>
        <w:jc w:val="both"/>
        <w:rPr>
          <w:rFonts w:ascii="Times New Roman" w:eastAsia="Times New Roman" w:hAnsi="Times New Roman" w:cs="Times New Roman"/>
          <w:sz w:val="28"/>
          <w:szCs w:val="28"/>
        </w:rPr>
      </w:pPr>
      <w:r w:rsidRPr="00E60B4E">
        <w:rPr>
          <w:rFonts w:ascii="Times New Roman" w:eastAsia="Times New Roman" w:hAnsi="Times New Roman" w:cs="Times New Roman"/>
          <w:sz w:val="28"/>
          <w:szCs w:val="28"/>
        </w:rPr>
        <w:t xml:space="preserve">В соответствии с пунктом 47 Стандарта доклад рассмотрен </w:t>
      </w:r>
      <w:r>
        <w:rPr>
          <w:rFonts w:ascii="Times New Roman" w:eastAsia="Times New Roman" w:hAnsi="Times New Roman" w:cs="Times New Roman"/>
          <w:sz w:val="28"/>
          <w:szCs w:val="28"/>
        </w:rPr>
        <w:t xml:space="preserve">и одобрен </w:t>
      </w:r>
      <w:r w:rsidRPr="00E60B4E">
        <w:rPr>
          <w:rFonts w:ascii="Times New Roman" w:eastAsia="Times New Roman" w:hAnsi="Times New Roman" w:cs="Times New Roman"/>
          <w:sz w:val="28"/>
          <w:szCs w:val="28"/>
        </w:rPr>
        <w:t xml:space="preserve">на заседании Совета по содействию развитию конкуренции в Новосибирской области </w:t>
      </w:r>
      <w:r w:rsidR="0044228C">
        <w:rPr>
          <w:rFonts w:ascii="Times New Roman" w:eastAsia="Times New Roman" w:hAnsi="Times New Roman" w:cs="Times New Roman"/>
          <w:sz w:val="28"/>
          <w:szCs w:val="28"/>
        </w:rPr>
        <w:t>05.03</w:t>
      </w:r>
      <w:r w:rsidRPr="00E60B4E">
        <w:rPr>
          <w:rFonts w:ascii="Times New Roman" w:eastAsia="Times New Roman" w:hAnsi="Times New Roman" w:cs="Times New Roman"/>
          <w:sz w:val="28"/>
          <w:szCs w:val="28"/>
        </w:rPr>
        <w:t>.</w:t>
      </w:r>
      <w:r w:rsidR="0044228C">
        <w:rPr>
          <w:rFonts w:ascii="Times New Roman" w:eastAsia="Times New Roman" w:hAnsi="Times New Roman" w:cs="Times New Roman"/>
          <w:sz w:val="28"/>
          <w:szCs w:val="28"/>
        </w:rPr>
        <w:t>2020</w:t>
      </w:r>
      <w:r w:rsidR="002940C1">
        <w:rPr>
          <w:rFonts w:ascii="Times New Roman" w:eastAsia="Times New Roman" w:hAnsi="Times New Roman" w:cs="Times New Roman"/>
          <w:sz w:val="28"/>
          <w:szCs w:val="28"/>
        </w:rPr>
        <w:t xml:space="preserve"> (</w:t>
      </w:r>
      <w:hyperlink r:id="rId164" w:history="1">
        <w:r w:rsidR="002940C1" w:rsidRPr="002940C1">
          <w:rPr>
            <w:rFonts w:ascii="Times New Roman" w:eastAsia="Times New Roman" w:hAnsi="Times New Roman" w:cs="Times New Roman"/>
            <w:color w:val="0000FF"/>
            <w:sz w:val="28"/>
            <w:szCs w:val="28"/>
            <w:u w:val="single"/>
          </w:rPr>
          <w:t>https://econom.nso.ru/page/606</w:t>
        </w:r>
      </w:hyperlink>
      <w:r w:rsidR="002940C1">
        <w:rPr>
          <w:rFonts w:ascii="Times New Roman" w:eastAsia="Times New Roman" w:hAnsi="Times New Roman" w:cs="Times New Roman"/>
          <w:color w:val="0000FF"/>
          <w:sz w:val="28"/>
          <w:szCs w:val="28"/>
          <w:u w:val="single"/>
        </w:rPr>
        <w:t>)</w:t>
      </w:r>
      <w:r w:rsidR="004920DF" w:rsidRPr="002940C1">
        <w:rPr>
          <w:rFonts w:ascii="Times New Roman" w:eastAsia="Times New Roman" w:hAnsi="Times New Roman" w:cs="Times New Roman"/>
          <w:color w:val="0000FF"/>
          <w:sz w:val="28"/>
          <w:szCs w:val="28"/>
          <w:u w:val="single"/>
        </w:rPr>
        <w:t>.</w:t>
      </w:r>
      <w:r w:rsidRPr="002940C1">
        <w:rPr>
          <w:rFonts w:ascii="Times New Roman" w:eastAsia="Times New Roman" w:hAnsi="Times New Roman" w:cs="Times New Roman"/>
          <w:color w:val="0000FF"/>
          <w:sz w:val="28"/>
          <w:szCs w:val="28"/>
          <w:u w:val="single"/>
        </w:rPr>
        <w:t xml:space="preserve"> </w:t>
      </w:r>
    </w:p>
    <w:p w14:paraId="7125143C" w14:textId="4C37DCF6" w:rsidR="003F4CFF" w:rsidRPr="00E60B4E" w:rsidRDefault="003F4CFF" w:rsidP="003F4CFF">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Протокол заседания Совета представлен в </w:t>
      </w:r>
      <w:r w:rsidRPr="00192D8B">
        <w:rPr>
          <w:rFonts w:ascii="Times New Roman" w:eastAsia="Times New Roman" w:hAnsi="Times New Roman" w:cs="Times New Roman"/>
          <w:sz w:val="28"/>
          <w:szCs w:val="28"/>
        </w:rPr>
        <w:t>Приложении 1</w:t>
      </w:r>
      <w:r w:rsidR="00192D8B" w:rsidRPr="00192D8B">
        <w:rPr>
          <w:rFonts w:ascii="Times New Roman" w:eastAsia="Times New Roman" w:hAnsi="Times New Roman" w:cs="Times New Roman"/>
          <w:sz w:val="28"/>
          <w:szCs w:val="28"/>
        </w:rPr>
        <w:t>3</w:t>
      </w:r>
      <w:r w:rsidRPr="00192D8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36863EC7" w14:textId="77777777" w:rsidR="003F4CFF" w:rsidRDefault="003F4CFF" w:rsidP="003F4CFF">
      <w:pPr>
        <w:ind w:firstLine="567"/>
        <w:jc w:val="both"/>
        <w:rPr>
          <w:rFonts w:ascii="Times New Roman" w:eastAsia="Times New Roman" w:hAnsi="Times New Roman" w:cs="Times New Roman"/>
          <w:sz w:val="28"/>
          <w:szCs w:val="28"/>
        </w:rPr>
      </w:pPr>
      <w:r w:rsidRPr="00E60B4E">
        <w:rPr>
          <w:rFonts w:ascii="Times New Roman" w:eastAsia="Times New Roman" w:hAnsi="Times New Roman" w:cs="Times New Roman"/>
          <w:sz w:val="28"/>
          <w:szCs w:val="28"/>
        </w:rPr>
        <w:t>Доклад размещен на официальном сайте министерства экономического развития Новосибирской области, являющегося уполномоченным органом по содействию развитию конкуренции в Новосибирской области (</w:t>
      </w:r>
      <w:hyperlink r:id="rId165" w:history="1">
        <w:r w:rsidRPr="00E60B4E">
          <w:rPr>
            <w:rFonts w:ascii="Times New Roman" w:eastAsia="Times New Roman" w:hAnsi="Times New Roman" w:cs="Times New Roman"/>
            <w:color w:val="0000FF"/>
            <w:sz w:val="28"/>
            <w:szCs w:val="28"/>
            <w:u w:val="single"/>
          </w:rPr>
          <w:t>http://www.econom.nso.ru/page/748</w:t>
        </w:r>
      </w:hyperlink>
      <w:r w:rsidRPr="00E60B4E">
        <w:rPr>
          <w:rFonts w:ascii="Times New Roman" w:eastAsia="Times New Roman" w:hAnsi="Times New Roman" w:cs="Times New Roman"/>
          <w:sz w:val="28"/>
          <w:szCs w:val="28"/>
        </w:rPr>
        <w:t>) и Инвестиционном портале Новосибирской области (</w:t>
      </w:r>
      <w:hyperlink r:id="rId166" w:history="1">
        <w:r w:rsidRPr="00E60B4E">
          <w:rPr>
            <w:rFonts w:ascii="Times New Roman" w:eastAsia="Times New Roman" w:hAnsi="Times New Roman" w:cs="Times New Roman"/>
            <w:color w:val="0000FF"/>
            <w:sz w:val="28"/>
            <w:szCs w:val="28"/>
            <w:u w:val="single"/>
          </w:rPr>
          <w:t>http://www.invest.nso.ru/ru/content/doklad</w:t>
        </w:r>
      </w:hyperlink>
      <w:r w:rsidRPr="00E60B4E">
        <w:rPr>
          <w:rFonts w:ascii="Times New Roman" w:eastAsia="Times New Roman" w:hAnsi="Times New Roman" w:cs="Times New Roman"/>
          <w:sz w:val="28"/>
          <w:szCs w:val="28"/>
        </w:rPr>
        <w:t>).</w:t>
      </w:r>
    </w:p>
    <w:p w14:paraId="5723313B" w14:textId="77777777" w:rsidR="003F4CFF" w:rsidRPr="00E60B4E" w:rsidRDefault="003F4CFF" w:rsidP="003F4CFF">
      <w:pPr>
        <w:ind w:firstLine="567"/>
        <w:jc w:val="both"/>
        <w:rPr>
          <w:rFonts w:ascii="Times New Roman" w:eastAsia="Times New Roman" w:hAnsi="Times New Roman" w:cs="Times New Roman"/>
          <w:sz w:val="28"/>
          <w:szCs w:val="28"/>
        </w:rPr>
      </w:pPr>
      <w:r w:rsidRPr="00E60B4E">
        <w:rPr>
          <w:rFonts w:ascii="Times New Roman" w:eastAsia="Times New Roman" w:hAnsi="Times New Roman" w:cs="Times New Roman"/>
          <w:sz w:val="28"/>
          <w:szCs w:val="28"/>
        </w:rPr>
        <w:t xml:space="preserve">Доклад направлен в </w:t>
      </w:r>
      <w:r>
        <w:rPr>
          <w:rFonts w:ascii="Times New Roman" w:hAnsi="Times New Roman" w:cs="Times New Roman"/>
          <w:sz w:val="28"/>
          <w:szCs w:val="28"/>
        </w:rPr>
        <w:t>Министерство экономического развития Российской Федерации, Федеральную антимонопольную службу, Центральный банк Российской Федерации, а также автономную некоммерческой организации «Агентство стратегических инициатив по продвижению новых проектов».</w:t>
      </w:r>
    </w:p>
    <w:p w14:paraId="7C249592" w14:textId="77777777" w:rsidR="003F4CFF" w:rsidRPr="001F7C66" w:rsidRDefault="003F4CFF" w:rsidP="003F4CFF">
      <w:pPr>
        <w:spacing w:line="200" w:lineRule="exact"/>
        <w:ind w:firstLine="567"/>
        <w:rPr>
          <w:rFonts w:ascii="Times New Roman" w:eastAsia="Times New Roman" w:hAnsi="Times New Roman" w:cs="Times New Roman"/>
          <w:sz w:val="28"/>
          <w:szCs w:val="28"/>
          <w:highlight w:val="yellow"/>
        </w:rPr>
      </w:pPr>
    </w:p>
    <w:p w14:paraId="228B0CE2" w14:textId="77777777" w:rsidR="003F4CFF" w:rsidRPr="00F732D1" w:rsidRDefault="003F4CFF" w:rsidP="003F4CFF">
      <w:pPr>
        <w:pStyle w:val="ac"/>
        <w:ind w:firstLine="567"/>
        <w:jc w:val="both"/>
        <w:outlineLvl w:val="1"/>
        <w:rPr>
          <w:rFonts w:ascii="Times New Roman" w:hAnsi="Times New Roman"/>
          <w:b/>
        </w:rPr>
      </w:pPr>
      <w:bookmarkStart w:id="134" w:name="_Toc31983990"/>
      <w:bookmarkStart w:id="135" w:name="_Toc32240330"/>
      <w:bookmarkStart w:id="136" w:name="_Toc32421915"/>
      <w:bookmarkStart w:id="137" w:name="_Toc34129195"/>
      <w:r w:rsidRPr="00F732D1">
        <w:rPr>
          <w:rFonts w:ascii="Times New Roman" w:hAnsi="Times New Roman"/>
          <w:b/>
        </w:rPr>
        <w:t>2.7. Создание и реализация механизмов общественного контроля за деятельностью су</w:t>
      </w:r>
      <w:r>
        <w:rPr>
          <w:rFonts w:ascii="Times New Roman" w:hAnsi="Times New Roman"/>
          <w:b/>
        </w:rPr>
        <w:t>бъектов естественных монополий</w:t>
      </w:r>
      <w:bookmarkEnd w:id="134"/>
      <w:bookmarkEnd w:id="135"/>
      <w:bookmarkEnd w:id="136"/>
      <w:bookmarkEnd w:id="137"/>
    </w:p>
    <w:p w14:paraId="4B7A03E8" w14:textId="33058A19" w:rsidR="003F4CFF" w:rsidRPr="00F74819" w:rsidRDefault="003F4CFF" w:rsidP="003F4CFF">
      <w:pPr>
        <w:autoSpaceDE w:val="0"/>
        <w:autoSpaceDN w:val="0"/>
        <w:adjustRightInd w:val="0"/>
        <w:ind w:firstLine="567"/>
        <w:jc w:val="both"/>
        <w:rPr>
          <w:rFonts w:ascii="Times New Roman" w:hAnsi="Times New Roman" w:cs="Times New Roman"/>
          <w:sz w:val="28"/>
          <w:szCs w:val="28"/>
        </w:rPr>
      </w:pPr>
      <w:r w:rsidRPr="00F74819">
        <w:rPr>
          <w:rFonts w:ascii="Times New Roman" w:hAnsi="Times New Roman" w:cs="Times New Roman"/>
          <w:sz w:val="28"/>
          <w:szCs w:val="28"/>
        </w:rPr>
        <w:t xml:space="preserve">Областными исполнительными органами государственной власти Новосибирской области обеспечиваются создание и реализация механизмов общественного контроля за деятельностью субъектов естественных монополий в соответствии с </w:t>
      </w:r>
      <w:hyperlink r:id="rId167" w:history="1">
        <w:r w:rsidRPr="001316DE">
          <w:rPr>
            <w:rFonts w:ascii="Times New Roman" w:hAnsi="Times New Roman" w:cs="Times New Roman"/>
            <w:sz w:val="28"/>
            <w:szCs w:val="28"/>
          </w:rPr>
          <w:t>Концепцией</w:t>
        </w:r>
      </w:hyperlink>
      <w:r w:rsidRPr="00F74819">
        <w:rPr>
          <w:rFonts w:ascii="Times New Roman" w:hAnsi="Times New Roman" w:cs="Times New Roman"/>
          <w:sz w:val="28"/>
          <w:szCs w:val="28"/>
        </w:rPr>
        <w:t xml:space="preserve"> создания и развития механизмов общественного контроля за деятельностью субъектов естественных монополий с участием потребителей, утвержденной распоряжением Правительства Российской Федерации от 19</w:t>
      </w:r>
      <w:r w:rsidR="004920DF">
        <w:rPr>
          <w:rFonts w:ascii="Times New Roman" w:hAnsi="Times New Roman" w:cs="Times New Roman"/>
          <w:sz w:val="28"/>
          <w:szCs w:val="28"/>
        </w:rPr>
        <w:t>.09.2013</w:t>
      </w:r>
      <w:r w:rsidRPr="00F74819">
        <w:rPr>
          <w:rFonts w:ascii="Times New Roman" w:hAnsi="Times New Roman" w:cs="Times New Roman"/>
          <w:sz w:val="28"/>
          <w:szCs w:val="28"/>
        </w:rPr>
        <w:t xml:space="preserve"> № 1689-р, а также внедрение механизма технологического и ценового аудита инвестиционных проектов субъектов </w:t>
      </w:r>
      <w:r w:rsidRPr="00F74819">
        <w:rPr>
          <w:rFonts w:ascii="Times New Roman" w:hAnsi="Times New Roman" w:cs="Times New Roman"/>
          <w:sz w:val="28"/>
          <w:szCs w:val="28"/>
        </w:rPr>
        <w:lastRenderedPageBreak/>
        <w:t>естественных монополий и крупных инвестиционных проектов с государственным участием.</w:t>
      </w:r>
    </w:p>
    <w:p w14:paraId="22F4B1E7" w14:textId="77777777" w:rsidR="003F4CFF" w:rsidRDefault="003F4CFF" w:rsidP="003F4CFF">
      <w:pPr>
        <w:autoSpaceDE w:val="0"/>
        <w:autoSpaceDN w:val="0"/>
        <w:adjustRightInd w:val="0"/>
        <w:ind w:firstLine="567"/>
        <w:jc w:val="both"/>
        <w:rPr>
          <w:rFonts w:ascii="Times New Roman" w:hAnsi="Times New Roman" w:cs="Times New Roman"/>
          <w:sz w:val="28"/>
          <w:szCs w:val="28"/>
        </w:rPr>
      </w:pPr>
      <w:r w:rsidRPr="001316DE">
        <w:rPr>
          <w:rFonts w:ascii="Times New Roman" w:hAnsi="Times New Roman" w:cs="Times New Roman"/>
          <w:sz w:val="28"/>
          <w:szCs w:val="28"/>
        </w:rPr>
        <w:t>В рамках указанных механизмов обеспечивается учет мнения потребителей товаров, работ, услуг субъектов естественных монополий при осуществлении тарифного регулирования, а также при согласовании и утверждении схем территориального планирования Новосибирской области и муниципальных районов, генеральных планов поселений и городских округов Новосибирской области.</w:t>
      </w:r>
    </w:p>
    <w:p w14:paraId="20599D7F" w14:textId="77777777" w:rsidR="003F4CFF" w:rsidRDefault="003F4CFF" w:rsidP="003F4CFF">
      <w:pPr>
        <w:autoSpaceDE w:val="0"/>
        <w:autoSpaceDN w:val="0"/>
        <w:adjustRightInd w:val="0"/>
        <w:ind w:firstLine="567"/>
        <w:jc w:val="both"/>
        <w:rPr>
          <w:rFonts w:ascii="Times New Roman" w:hAnsi="Times New Roman" w:cs="Times New Roman"/>
          <w:sz w:val="28"/>
          <w:szCs w:val="28"/>
        </w:rPr>
      </w:pPr>
      <w:r w:rsidRPr="001316DE">
        <w:rPr>
          <w:rFonts w:ascii="Times New Roman" w:hAnsi="Times New Roman" w:cs="Times New Roman"/>
          <w:sz w:val="28"/>
          <w:szCs w:val="28"/>
        </w:rPr>
        <w:t>Мнения представителей потребителей товаров, работ, услуг, задействованных в механизмах общественного контроля за деятельностью субъектов естественных монополий, всегда учитываются при согласовании и утверждении инвестиционных программ субъектов естественных монополий.</w:t>
      </w:r>
    </w:p>
    <w:p w14:paraId="28FBDBEB" w14:textId="77777777" w:rsidR="003F4CFF" w:rsidRDefault="003F4CFF" w:rsidP="003F4CFF">
      <w:pPr>
        <w:autoSpaceDE w:val="0"/>
        <w:autoSpaceDN w:val="0"/>
        <w:adjustRightInd w:val="0"/>
        <w:ind w:firstLine="567"/>
        <w:jc w:val="both"/>
        <w:rPr>
          <w:rFonts w:ascii="Times New Roman" w:hAnsi="Times New Roman" w:cs="Times New Roman"/>
          <w:sz w:val="28"/>
          <w:szCs w:val="28"/>
        </w:rPr>
      </w:pPr>
      <w:r w:rsidRPr="001316DE">
        <w:rPr>
          <w:rFonts w:ascii="Times New Roman" w:hAnsi="Times New Roman" w:cs="Times New Roman"/>
          <w:sz w:val="28"/>
          <w:szCs w:val="28"/>
        </w:rPr>
        <w:t>Для частичного достижения этих целей областными исполнительными органами государственной власти Новосибирской области в пределах установленной компетенции принимаются соответствующие правовые акты и проводятся информационные кампании, обеспечивающие донесение до всех участников общественного контроля информации о порядке проведения указанных процедур.</w:t>
      </w:r>
      <w:bookmarkStart w:id="138" w:name="Par6"/>
      <w:bookmarkEnd w:id="138"/>
    </w:p>
    <w:p w14:paraId="6130847C" w14:textId="77777777" w:rsidR="003F4CFF" w:rsidRPr="008E02E4" w:rsidRDefault="003F4CFF" w:rsidP="003F4CFF">
      <w:pPr>
        <w:autoSpaceDE w:val="0"/>
        <w:autoSpaceDN w:val="0"/>
        <w:adjustRightInd w:val="0"/>
        <w:ind w:firstLine="567"/>
        <w:jc w:val="both"/>
        <w:rPr>
          <w:rFonts w:ascii="Times New Roman" w:eastAsia="Times New Roman" w:hAnsi="Times New Roman" w:cs="Times New Roman"/>
          <w:sz w:val="28"/>
        </w:rPr>
      </w:pPr>
    </w:p>
    <w:p w14:paraId="1D577924" w14:textId="77777777" w:rsidR="003F4CFF" w:rsidRPr="004F669B" w:rsidRDefault="003F4CFF" w:rsidP="003F4CFF">
      <w:pPr>
        <w:pStyle w:val="ac"/>
        <w:ind w:firstLine="567"/>
        <w:jc w:val="both"/>
        <w:outlineLvl w:val="2"/>
        <w:rPr>
          <w:rFonts w:ascii="Times New Roman" w:hAnsi="Times New Roman"/>
          <w:b/>
        </w:rPr>
      </w:pPr>
      <w:bookmarkStart w:id="139" w:name="_Toc31983991"/>
      <w:bookmarkStart w:id="140" w:name="_Toc32240331"/>
      <w:bookmarkStart w:id="141" w:name="_Toc32421916"/>
      <w:bookmarkStart w:id="142" w:name="_Toc34129196"/>
      <w:r w:rsidRPr="004F669B">
        <w:rPr>
          <w:rFonts w:ascii="Times New Roman" w:hAnsi="Times New Roman"/>
          <w:b/>
        </w:rPr>
        <w:t>2.7.1. Сведения о наличии межотраслевого совета потребителей при высшем должностном лице субъекта Российской Федерации (далее – межотраслевой совет потребителей)</w:t>
      </w:r>
      <w:bookmarkEnd w:id="139"/>
      <w:bookmarkEnd w:id="140"/>
      <w:bookmarkEnd w:id="141"/>
      <w:bookmarkEnd w:id="142"/>
    </w:p>
    <w:p w14:paraId="3FCF29BA" w14:textId="77777777" w:rsidR="003F4CFF" w:rsidRPr="00046D27" w:rsidRDefault="003F4CFF" w:rsidP="003F4CFF">
      <w:pPr>
        <w:ind w:firstLine="567"/>
        <w:jc w:val="both"/>
        <w:rPr>
          <w:rFonts w:ascii="Times New Roman" w:eastAsia="Times New Roman" w:hAnsi="Times New Roman" w:cs="Times New Roman"/>
          <w:color w:val="000000"/>
          <w:sz w:val="28"/>
          <w:szCs w:val="28"/>
        </w:rPr>
      </w:pPr>
      <w:bookmarkStart w:id="143" w:name="page26"/>
      <w:bookmarkEnd w:id="143"/>
      <w:r w:rsidRPr="00EE0D4A">
        <w:rPr>
          <w:rFonts w:ascii="Times New Roman" w:eastAsia="Times New Roman" w:hAnsi="Times New Roman" w:cs="Times New Roman"/>
          <w:sz w:val="28"/>
          <w:szCs w:val="28"/>
        </w:rPr>
        <w:t>Решение о создании межотраслевого совета потребителей по вопросам деятельности субъектов естественных монополий при Губернаторе Новосибирской области принято в 2016 году (распоряжение Губернатора Новосибирской области от 30.12.2016 № 237-р</w:t>
      </w:r>
      <w:r w:rsidRPr="0044228C">
        <w:rPr>
          <w:rFonts w:ascii="Times New Roman" w:eastAsia="Times New Roman" w:hAnsi="Times New Roman" w:cs="Times New Roman"/>
          <w:color w:val="000000"/>
          <w:sz w:val="28"/>
          <w:szCs w:val="28"/>
        </w:rPr>
        <w:t>) (приложение 1</w:t>
      </w:r>
      <w:r w:rsidR="00192D8B">
        <w:rPr>
          <w:rFonts w:ascii="Times New Roman" w:eastAsia="Times New Roman" w:hAnsi="Times New Roman" w:cs="Times New Roman"/>
          <w:color w:val="000000"/>
          <w:sz w:val="28"/>
          <w:szCs w:val="28"/>
        </w:rPr>
        <w:t>4</w:t>
      </w:r>
      <w:r w:rsidRPr="0044228C">
        <w:rPr>
          <w:rFonts w:ascii="Times New Roman" w:eastAsia="Times New Roman" w:hAnsi="Times New Roman" w:cs="Times New Roman"/>
          <w:color w:val="000000"/>
          <w:sz w:val="28"/>
          <w:szCs w:val="28"/>
        </w:rPr>
        <w:t>).</w:t>
      </w:r>
    </w:p>
    <w:p w14:paraId="0980A1A3" w14:textId="77777777" w:rsidR="003F4CFF" w:rsidRPr="00EE0D4A" w:rsidRDefault="003F4CFF" w:rsidP="003F4CFF">
      <w:pPr>
        <w:ind w:firstLine="567"/>
        <w:jc w:val="both"/>
        <w:rPr>
          <w:rFonts w:ascii="Times New Roman" w:eastAsia="Times New Roman" w:hAnsi="Times New Roman" w:cs="Times New Roman"/>
          <w:sz w:val="28"/>
          <w:szCs w:val="28"/>
        </w:rPr>
      </w:pPr>
      <w:r w:rsidRPr="00046D27">
        <w:rPr>
          <w:rFonts w:ascii="Times New Roman" w:eastAsia="Times New Roman" w:hAnsi="Times New Roman" w:cs="Times New Roman"/>
          <w:sz w:val="28"/>
          <w:szCs w:val="28"/>
        </w:rPr>
        <w:t xml:space="preserve">Постановлением Губернатора Новосибирской области от 31.01.2017 № 10 утверждено Положение о межотраслевом совете потребителей по вопросам деятельности субъектов естественных монополий при Губернаторе Новосибирской </w:t>
      </w:r>
      <w:r w:rsidRPr="0044228C">
        <w:rPr>
          <w:rFonts w:ascii="Times New Roman" w:eastAsia="Times New Roman" w:hAnsi="Times New Roman" w:cs="Times New Roman"/>
          <w:sz w:val="28"/>
          <w:szCs w:val="28"/>
        </w:rPr>
        <w:t>области (</w:t>
      </w:r>
      <w:r w:rsidR="00192D8B">
        <w:rPr>
          <w:rFonts w:ascii="Times New Roman" w:eastAsia="Times New Roman" w:hAnsi="Times New Roman" w:cs="Times New Roman"/>
          <w:sz w:val="28"/>
          <w:szCs w:val="28"/>
        </w:rPr>
        <w:t>приложение 15</w:t>
      </w:r>
      <w:r w:rsidRPr="0044228C">
        <w:rPr>
          <w:rFonts w:ascii="Times New Roman" w:eastAsia="Times New Roman" w:hAnsi="Times New Roman" w:cs="Times New Roman"/>
          <w:sz w:val="28"/>
          <w:szCs w:val="28"/>
        </w:rPr>
        <w:t>).</w:t>
      </w:r>
    </w:p>
    <w:p w14:paraId="26C58E42" w14:textId="77777777" w:rsidR="003F4CFF" w:rsidRPr="00EE0D4A" w:rsidRDefault="003F4CFF" w:rsidP="003F4CFF">
      <w:pPr>
        <w:ind w:firstLine="567"/>
        <w:jc w:val="both"/>
        <w:rPr>
          <w:rFonts w:ascii="Times New Roman" w:eastAsia="Times New Roman" w:hAnsi="Times New Roman" w:cs="Times New Roman"/>
          <w:sz w:val="28"/>
          <w:szCs w:val="28"/>
        </w:rPr>
      </w:pPr>
      <w:r w:rsidRPr="00EE0D4A">
        <w:rPr>
          <w:rFonts w:ascii="Times New Roman" w:eastAsia="Times New Roman" w:hAnsi="Times New Roman" w:cs="Times New Roman"/>
          <w:sz w:val="28"/>
          <w:szCs w:val="28"/>
        </w:rPr>
        <w:t xml:space="preserve">Основной целью деятельности </w:t>
      </w:r>
      <w:r>
        <w:rPr>
          <w:rFonts w:ascii="Times New Roman" w:hAnsi="Times New Roman"/>
          <w:sz w:val="28"/>
          <w:szCs w:val="28"/>
        </w:rPr>
        <w:t>м</w:t>
      </w:r>
      <w:r w:rsidRPr="00551A08">
        <w:rPr>
          <w:rFonts w:ascii="Times New Roman" w:hAnsi="Times New Roman"/>
          <w:sz w:val="28"/>
          <w:szCs w:val="28"/>
        </w:rPr>
        <w:t>еж</w:t>
      </w:r>
      <w:r>
        <w:rPr>
          <w:rFonts w:ascii="Times New Roman" w:hAnsi="Times New Roman"/>
          <w:sz w:val="28"/>
          <w:szCs w:val="28"/>
        </w:rPr>
        <w:t>отраслевого</w:t>
      </w:r>
      <w:r w:rsidRPr="00551A08">
        <w:rPr>
          <w:rFonts w:ascii="Times New Roman" w:hAnsi="Times New Roman"/>
          <w:sz w:val="28"/>
          <w:szCs w:val="28"/>
        </w:rPr>
        <w:t xml:space="preserve"> совет</w:t>
      </w:r>
      <w:r>
        <w:rPr>
          <w:rFonts w:ascii="Times New Roman" w:hAnsi="Times New Roman"/>
          <w:sz w:val="28"/>
          <w:szCs w:val="28"/>
        </w:rPr>
        <w:t>а</w:t>
      </w:r>
      <w:r w:rsidRPr="00551A08">
        <w:rPr>
          <w:rFonts w:ascii="Times New Roman" w:hAnsi="Times New Roman"/>
          <w:sz w:val="28"/>
          <w:szCs w:val="28"/>
        </w:rPr>
        <w:t xml:space="preserve"> потребителей</w:t>
      </w:r>
      <w:r w:rsidRPr="00EE0D4A">
        <w:rPr>
          <w:rFonts w:ascii="Times New Roman" w:eastAsia="Times New Roman" w:hAnsi="Times New Roman" w:cs="Times New Roman"/>
          <w:sz w:val="28"/>
          <w:szCs w:val="28"/>
        </w:rPr>
        <w:t xml:space="preserve"> является доведение до сведения областных исполнительных органов государственной власти Новосибирской области в сфере государственного регулирования тарифов и субъектов естественных монополий позиции потребителей,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услуг для потребителей.</w:t>
      </w:r>
    </w:p>
    <w:p w14:paraId="03EF3B9E" w14:textId="77777777" w:rsidR="003F4CFF" w:rsidRPr="00EE0D4A"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EE0D4A">
        <w:rPr>
          <w:rFonts w:ascii="Times New Roman" w:eastAsia="Times New Roman" w:hAnsi="Times New Roman" w:cs="Times New Roman"/>
          <w:sz w:val="28"/>
          <w:szCs w:val="28"/>
        </w:rPr>
        <w:t>Постановлением Губернатора Новоси</w:t>
      </w:r>
      <w:r>
        <w:rPr>
          <w:rFonts w:ascii="Times New Roman" w:eastAsia="Times New Roman" w:hAnsi="Times New Roman" w:cs="Times New Roman"/>
          <w:sz w:val="28"/>
          <w:szCs w:val="28"/>
        </w:rPr>
        <w:t>бирской области от 23.03.2017 № </w:t>
      </w:r>
      <w:r w:rsidRPr="00EE0D4A">
        <w:rPr>
          <w:rFonts w:ascii="Times New Roman" w:eastAsia="Times New Roman" w:hAnsi="Times New Roman" w:cs="Times New Roman"/>
          <w:sz w:val="28"/>
          <w:szCs w:val="28"/>
        </w:rPr>
        <w:t xml:space="preserve">51 образован межотраслевой совет потребителей по вопросам деятельности субъектов естественных монополий при Губернаторе Новосибирской области и утвержден </w:t>
      </w:r>
      <w:r w:rsidRPr="00800E6E">
        <w:rPr>
          <w:rFonts w:ascii="Times New Roman" w:eastAsia="Times New Roman" w:hAnsi="Times New Roman" w:cs="Times New Roman"/>
          <w:sz w:val="28"/>
          <w:szCs w:val="28"/>
        </w:rPr>
        <w:t xml:space="preserve">его </w:t>
      </w:r>
      <w:hyperlink r:id="rId168" w:history="1">
        <w:r w:rsidRPr="00800E6E">
          <w:rPr>
            <w:rFonts w:ascii="Times New Roman" w:eastAsia="Times New Roman" w:hAnsi="Times New Roman" w:cs="Times New Roman"/>
            <w:sz w:val="28"/>
            <w:szCs w:val="28"/>
          </w:rPr>
          <w:t>состав</w:t>
        </w:r>
      </w:hyperlink>
      <w:r w:rsidRPr="00800E6E">
        <w:rPr>
          <w:rFonts w:ascii="Times New Roman" w:eastAsia="Times New Roman" w:hAnsi="Times New Roman" w:cs="Times New Roman"/>
          <w:sz w:val="28"/>
          <w:szCs w:val="28"/>
        </w:rPr>
        <w:t xml:space="preserve"> (далее – межотраслевой состав) </w:t>
      </w:r>
      <w:r w:rsidRPr="0044228C">
        <w:rPr>
          <w:rFonts w:ascii="Times New Roman" w:eastAsia="Times New Roman" w:hAnsi="Times New Roman" w:cs="Times New Roman"/>
          <w:sz w:val="28"/>
          <w:szCs w:val="28"/>
        </w:rPr>
        <w:t>(приложение 1</w:t>
      </w:r>
      <w:r w:rsidR="00192D8B">
        <w:rPr>
          <w:rFonts w:ascii="Times New Roman" w:eastAsia="Times New Roman" w:hAnsi="Times New Roman" w:cs="Times New Roman"/>
          <w:sz w:val="28"/>
          <w:szCs w:val="28"/>
        </w:rPr>
        <w:t>6</w:t>
      </w:r>
      <w:r w:rsidRPr="0044228C">
        <w:rPr>
          <w:rFonts w:ascii="Times New Roman" w:eastAsia="Times New Roman" w:hAnsi="Times New Roman" w:cs="Times New Roman"/>
          <w:sz w:val="28"/>
          <w:szCs w:val="28"/>
        </w:rPr>
        <w:t>).</w:t>
      </w:r>
    </w:p>
    <w:p w14:paraId="0BCED460" w14:textId="77777777" w:rsidR="003F4CFF"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EE0D4A">
        <w:rPr>
          <w:rFonts w:ascii="Times New Roman" w:eastAsia="Times New Roman" w:hAnsi="Times New Roman" w:cs="Times New Roman"/>
          <w:sz w:val="28"/>
          <w:szCs w:val="28"/>
        </w:rPr>
        <w:t xml:space="preserve">Состав межотраслевого совета </w:t>
      </w:r>
      <w:r>
        <w:rPr>
          <w:rFonts w:ascii="Times New Roman" w:eastAsia="Times New Roman" w:hAnsi="Times New Roman" w:cs="Times New Roman"/>
          <w:sz w:val="28"/>
          <w:szCs w:val="28"/>
        </w:rPr>
        <w:t xml:space="preserve">потребителей </w:t>
      </w:r>
      <w:r w:rsidRPr="00EE0D4A">
        <w:rPr>
          <w:rFonts w:ascii="Times New Roman" w:eastAsia="Times New Roman" w:hAnsi="Times New Roman" w:cs="Times New Roman"/>
          <w:sz w:val="28"/>
          <w:szCs w:val="28"/>
        </w:rPr>
        <w:t xml:space="preserve">сформирован в соответствии с </w:t>
      </w:r>
      <w:hyperlink r:id="rId169" w:history="1">
        <w:r w:rsidRPr="00EE0D4A">
          <w:rPr>
            <w:rFonts w:ascii="Times New Roman" w:eastAsia="Times New Roman" w:hAnsi="Times New Roman" w:cs="Times New Roman"/>
            <w:sz w:val="28"/>
            <w:szCs w:val="28"/>
          </w:rPr>
          <w:t>Концепцией</w:t>
        </w:r>
      </w:hyperlink>
      <w:r w:rsidRPr="00EE0D4A">
        <w:rPr>
          <w:rFonts w:ascii="Times New Roman" w:eastAsia="Times New Roman" w:hAnsi="Times New Roman" w:cs="Times New Roman"/>
          <w:sz w:val="28"/>
          <w:szCs w:val="28"/>
        </w:rPr>
        <w:t xml:space="preserve"> создания и развития механизмов общественного контроля за деятельностью субъектов естественных монополий с участием потребителей, </w:t>
      </w:r>
      <w:r w:rsidRPr="00EE0D4A">
        <w:rPr>
          <w:rFonts w:ascii="Times New Roman" w:eastAsia="Times New Roman" w:hAnsi="Times New Roman" w:cs="Times New Roman"/>
          <w:sz w:val="28"/>
          <w:szCs w:val="28"/>
        </w:rPr>
        <w:lastRenderedPageBreak/>
        <w:t>утвержденной распоряжением Правит</w:t>
      </w:r>
      <w:r>
        <w:rPr>
          <w:rFonts w:ascii="Times New Roman" w:eastAsia="Times New Roman" w:hAnsi="Times New Roman" w:cs="Times New Roman"/>
          <w:sz w:val="28"/>
          <w:szCs w:val="28"/>
        </w:rPr>
        <w:t>ельства Российской Федерации от </w:t>
      </w:r>
      <w:r w:rsidRPr="00EE0D4A">
        <w:rPr>
          <w:rFonts w:ascii="Times New Roman" w:eastAsia="Times New Roman" w:hAnsi="Times New Roman" w:cs="Times New Roman"/>
          <w:sz w:val="28"/>
          <w:szCs w:val="28"/>
        </w:rPr>
        <w:t>19.09.2013 № 1689-р.</w:t>
      </w:r>
      <w:r>
        <w:rPr>
          <w:rFonts w:ascii="Times New Roman" w:eastAsia="Times New Roman" w:hAnsi="Times New Roman" w:cs="Times New Roman"/>
          <w:sz w:val="28"/>
          <w:szCs w:val="28"/>
        </w:rPr>
        <w:t xml:space="preserve"> </w:t>
      </w:r>
    </w:p>
    <w:p w14:paraId="18B60E4A" w14:textId="77777777" w:rsidR="003F4CFF" w:rsidRDefault="003F4CFF" w:rsidP="003F4CFF">
      <w:pPr>
        <w:autoSpaceDE w:val="0"/>
        <w:autoSpaceDN w:val="0"/>
        <w:adjustRightInd w:val="0"/>
        <w:ind w:firstLine="567"/>
        <w:jc w:val="both"/>
        <w:rPr>
          <w:rFonts w:ascii="Times New Roman" w:eastAsia="Times New Roman" w:hAnsi="Times New Roman" w:cs="Times New Roman"/>
          <w:sz w:val="28"/>
          <w:szCs w:val="28"/>
          <w:highlight w:val="green"/>
        </w:rPr>
      </w:pPr>
      <w:r w:rsidRPr="007C0F31">
        <w:rPr>
          <w:rFonts w:ascii="Times New Roman" w:eastAsia="Times New Roman" w:hAnsi="Times New Roman" w:cs="Times New Roman"/>
          <w:sz w:val="28"/>
          <w:szCs w:val="28"/>
        </w:rPr>
        <w:t xml:space="preserve">При формировании межотраслевого совета учтен принцип баланса представительства участников (обеспечения участия в совете потребителей сбалансированного представительства различных </w:t>
      </w:r>
      <w:r w:rsidRPr="00B66EBE">
        <w:rPr>
          <w:rFonts w:ascii="Times New Roman" w:eastAsia="Times New Roman" w:hAnsi="Times New Roman" w:cs="Times New Roman"/>
          <w:sz w:val="28"/>
          <w:szCs w:val="28"/>
        </w:rPr>
        <w:t>интересов) (таблица 2</w:t>
      </w:r>
      <w:r w:rsidR="0044228C">
        <w:rPr>
          <w:rFonts w:ascii="Times New Roman" w:eastAsia="Times New Roman" w:hAnsi="Times New Roman" w:cs="Times New Roman"/>
          <w:sz w:val="28"/>
          <w:szCs w:val="28"/>
        </w:rPr>
        <w:t>8</w:t>
      </w:r>
      <w:r w:rsidRPr="00B66EBE">
        <w:rPr>
          <w:rFonts w:ascii="Times New Roman" w:eastAsia="Times New Roman" w:hAnsi="Times New Roman" w:cs="Times New Roman"/>
          <w:sz w:val="28"/>
          <w:szCs w:val="28"/>
        </w:rPr>
        <w:t>).</w:t>
      </w:r>
    </w:p>
    <w:p w14:paraId="1B4EF531" w14:textId="77777777" w:rsidR="003F4CFF" w:rsidRDefault="003F4CFF" w:rsidP="003F4CFF">
      <w:pPr>
        <w:autoSpaceDE w:val="0"/>
        <w:autoSpaceDN w:val="0"/>
        <w:adjustRightInd w:val="0"/>
        <w:ind w:firstLine="567"/>
        <w:jc w:val="both"/>
        <w:rPr>
          <w:rFonts w:ascii="Times New Roman" w:eastAsia="Times New Roman" w:hAnsi="Times New Roman" w:cs="Times New Roman"/>
          <w:sz w:val="28"/>
          <w:szCs w:val="28"/>
          <w:highlight w:val="green"/>
        </w:rPr>
      </w:pPr>
    </w:p>
    <w:p w14:paraId="3F211724" w14:textId="77777777" w:rsidR="003F4CFF" w:rsidRPr="00B66EBE" w:rsidRDefault="003F4CFF" w:rsidP="003F4CFF">
      <w:pPr>
        <w:autoSpaceDE w:val="0"/>
        <w:autoSpaceDN w:val="0"/>
        <w:adjustRightInd w:val="0"/>
        <w:jc w:val="both"/>
        <w:rPr>
          <w:rFonts w:ascii="Times New Roman" w:eastAsia="Times New Roman" w:hAnsi="Times New Roman" w:cs="Times New Roman"/>
          <w:sz w:val="28"/>
          <w:szCs w:val="28"/>
          <w:highlight w:val="green"/>
        </w:rPr>
      </w:pPr>
      <w:r w:rsidRPr="00B66EBE">
        <w:rPr>
          <w:rFonts w:ascii="Times New Roman" w:eastAsia="Times New Roman" w:hAnsi="Times New Roman" w:cs="Times New Roman"/>
          <w:sz w:val="28"/>
          <w:szCs w:val="28"/>
        </w:rPr>
        <w:t>Таблица 2</w:t>
      </w:r>
      <w:r w:rsidR="0044228C">
        <w:rPr>
          <w:rFonts w:ascii="Times New Roman" w:eastAsia="Times New Roman" w:hAnsi="Times New Roman" w:cs="Times New Roman"/>
          <w:sz w:val="28"/>
          <w:szCs w:val="28"/>
        </w:rPr>
        <w:t>8</w:t>
      </w:r>
      <w:r w:rsidRPr="00B66EBE">
        <w:rPr>
          <w:rFonts w:ascii="Times New Roman" w:eastAsia="Times New Roman" w:hAnsi="Times New Roman" w:cs="Times New Roman"/>
          <w:sz w:val="28"/>
          <w:szCs w:val="28"/>
        </w:rPr>
        <w:t> – Состав</w:t>
      </w:r>
      <w:r w:rsidRPr="007C0F31">
        <w:rPr>
          <w:rFonts w:ascii="Times New Roman" w:eastAsia="Times New Roman" w:hAnsi="Times New Roman" w:cs="Times New Roman"/>
          <w:sz w:val="28"/>
          <w:szCs w:val="28"/>
        </w:rPr>
        <w:t xml:space="preserve"> межотраслевого совета потребителей по вопросам деятельности субъектов естественных монополий</w:t>
      </w:r>
      <w:r>
        <w:rPr>
          <w:rFonts w:ascii="Times New Roman" w:eastAsia="Times New Roman" w:hAnsi="Times New Roman" w:cs="Times New Roman"/>
          <w:sz w:val="28"/>
          <w:szCs w:val="28"/>
        </w:rPr>
        <w:t xml:space="preserve"> </w:t>
      </w:r>
      <w:r w:rsidRPr="007C0F31">
        <w:rPr>
          <w:rFonts w:ascii="Times New Roman" w:eastAsia="Times New Roman" w:hAnsi="Times New Roman" w:cs="Times New Roman"/>
          <w:sz w:val="28"/>
          <w:szCs w:val="28"/>
        </w:rPr>
        <w:t>при Губернаторе Новосибирской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150"/>
        <w:gridCol w:w="4165"/>
      </w:tblGrid>
      <w:tr w:rsidR="003F4CFF" w:rsidRPr="008830B5" w14:paraId="1DE98209" w14:textId="77777777" w:rsidTr="003F4CFF">
        <w:tc>
          <w:tcPr>
            <w:tcW w:w="301" w:type="pct"/>
            <w:tcBorders>
              <w:top w:val="single" w:sz="4" w:space="0" w:color="auto"/>
              <w:left w:val="single" w:sz="4" w:space="0" w:color="auto"/>
              <w:bottom w:val="single" w:sz="4" w:space="0" w:color="auto"/>
              <w:right w:val="single" w:sz="4" w:space="0" w:color="auto"/>
            </w:tcBorders>
            <w:shd w:val="clear" w:color="auto" w:fill="auto"/>
          </w:tcPr>
          <w:p w14:paraId="73819EB6" w14:textId="77777777" w:rsidR="003F4CFF" w:rsidRPr="003E472C" w:rsidRDefault="003F4CFF" w:rsidP="003F4CFF">
            <w:pPr>
              <w:autoSpaceDE w:val="0"/>
              <w:autoSpaceDN w:val="0"/>
              <w:rPr>
                <w:rFonts w:ascii="Times New Roman" w:eastAsia="Times New Roman" w:hAnsi="Times New Roman" w:cs="Times New Roman"/>
                <w:sz w:val="24"/>
                <w:szCs w:val="24"/>
                <w:lang w:eastAsia="en-US"/>
              </w:rPr>
            </w:pPr>
            <w:r w:rsidRPr="008830B5">
              <w:rPr>
                <w:rFonts w:ascii="Times New Roman" w:eastAsia="Times New Roman" w:hAnsi="Times New Roman" w:cs="Times New Roman"/>
                <w:sz w:val="24"/>
                <w:szCs w:val="24"/>
                <w:lang w:eastAsia="en-US"/>
              </w:rPr>
              <w:t>1</w:t>
            </w:r>
          </w:p>
        </w:tc>
        <w:tc>
          <w:tcPr>
            <w:tcW w:w="2598" w:type="pct"/>
            <w:tcBorders>
              <w:top w:val="single" w:sz="4" w:space="0" w:color="auto"/>
              <w:left w:val="single" w:sz="4" w:space="0" w:color="auto"/>
              <w:bottom w:val="single" w:sz="4" w:space="0" w:color="auto"/>
              <w:right w:val="single" w:sz="4" w:space="0" w:color="auto"/>
            </w:tcBorders>
            <w:shd w:val="clear" w:color="auto" w:fill="auto"/>
            <w:hideMark/>
          </w:tcPr>
          <w:p w14:paraId="4EB295C4" w14:textId="77777777" w:rsidR="003F4CFF" w:rsidRPr="003E472C" w:rsidRDefault="003F4CFF" w:rsidP="003F4CFF">
            <w:pPr>
              <w:autoSpaceDE w:val="0"/>
              <w:autoSpaceDN w:val="0"/>
              <w:rPr>
                <w:rFonts w:ascii="Times New Roman" w:eastAsia="Times New Roman" w:hAnsi="Times New Roman" w:cs="Times New Roman"/>
                <w:sz w:val="24"/>
                <w:szCs w:val="24"/>
                <w:lang w:eastAsia="en-US"/>
              </w:rPr>
            </w:pPr>
            <w:r w:rsidRPr="003E472C">
              <w:rPr>
                <w:rFonts w:ascii="Times New Roman" w:eastAsia="Times New Roman" w:hAnsi="Times New Roman" w:cs="Times New Roman"/>
                <w:sz w:val="24"/>
                <w:szCs w:val="24"/>
                <w:lang w:eastAsia="en-US"/>
              </w:rPr>
              <w:t>Представители крупных потребителей товаров и услуг субъектов естественных монополий, представителей региональных отделений общероссийских общественных организаций (Общеросси</w:t>
            </w:r>
            <w:r w:rsidRPr="008830B5">
              <w:rPr>
                <w:rFonts w:ascii="Times New Roman" w:eastAsia="Times New Roman" w:hAnsi="Times New Roman" w:cs="Times New Roman"/>
                <w:sz w:val="24"/>
                <w:szCs w:val="24"/>
                <w:lang w:eastAsia="en-US"/>
              </w:rPr>
              <w:t>йской общественной организации «</w:t>
            </w:r>
            <w:r w:rsidRPr="003E472C">
              <w:rPr>
                <w:rFonts w:ascii="Times New Roman" w:eastAsia="Times New Roman" w:hAnsi="Times New Roman" w:cs="Times New Roman"/>
                <w:sz w:val="24"/>
                <w:szCs w:val="24"/>
                <w:lang w:eastAsia="en-US"/>
              </w:rPr>
              <w:t xml:space="preserve">Российский союз промышленников и </w:t>
            </w:r>
            <w:r w:rsidRPr="008830B5">
              <w:rPr>
                <w:rFonts w:ascii="Times New Roman" w:eastAsia="Times New Roman" w:hAnsi="Times New Roman" w:cs="Times New Roman"/>
                <w:sz w:val="24"/>
                <w:szCs w:val="24"/>
                <w:lang w:eastAsia="en-US"/>
              </w:rPr>
              <w:t>предпринимателей»</w:t>
            </w:r>
            <w:r w:rsidRPr="003E472C">
              <w:rPr>
                <w:rFonts w:ascii="Times New Roman" w:eastAsia="Times New Roman" w:hAnsi="Times New Roman" w:cs="Times New Roman"/>
                <w:sz w:val="24"/>
                <w:szCs w:val="24"/>
                <w:lang w:eastAsia="en-US"/>
              </w:rPr>
              <w:t>, Общеросси</w:t>
            </w:r>
            <w:r w:rsidRPr="008830B5">
              <w:rPr>
                <w:rFonts w:ascii="Times New Roman" w:eastAsia="Times New Roman" w:hAnsi="Times New Roman" w:cs="Times New Roman"/>
                <w:sz w:val="24"/>
                <w:szCs w:val="24"/>
                <w:lang w:eastAsia="en-US"/>
              </w:rPr>
              <w:t>йской общественной организации «Деловая Россия»</w:t>
            </w:r>
            <w:r w:rsidRPr="003E472C">
              <w:rPr>
                <w:rFonts w:ascii="Times New Roman" w:eastAsia="Times New Roman" w:hAnsi="Times New Roman" w:cs="Times New Roman"/>
                <w:sz w:val="24"/>
                <w:szCs w:val="24"/>
                <w:lang w:eastAsia="en-US"/>
              </w:rPr>
              <w:t xml:space="preserve">, Общероссийской общественной организации малого </w:t>
            </w:r>
            <w:r w:rsidRPr="008830B5">
              <w:rPr>
                <w:rFonts w:ascii="Times New Roman" w:eastAsia="Times New Roman" w:hAnsi="Times New Roman" w:cs="Times New Roman"/>
                <w:sz w:val="24"/>
                <w:szCs w:val="24"/>
                <w:lang w:eastAsia="en-US"/>
              </w:rPr>
              <w:t>и среднего предпринимательства «ОПОРА РОССИИ»</w:t>
            </w:r>
            <w:r w:rsidRPr="003E472C">
              <w:rPr>
                <w:rFonts w:ascii="Times New Roman" w:eastAsia="Times New Roman" w:hAnsi="Times New Roman" w:cs="Times New Roman"/>
                <w:sz w:val="24"/>
                <w:szCs w:val="24"/>
                <w:lang w:eastAsia="en-US"/>
              </w:rPr>
              <w:t>, Торгово-промышленной палаты Российской Федерации), региональных бизнес-ассоциаций</w:t>
            </w:r>
          </w:p>
        </w:tc>
        <w:tc>
          <w:tcPr>
            <w:tcW w:w="2101" w:type="pct"/>
            <w:tcBorders>
              <w:top w:val="single" w:sz="4" w:space="0" w:color="auto"/>
              <w:left w:val="single" w:sz="4" w:space="0" w:color="auto"/>
              <w:bottom w:val="single" w:sz="4" w:space="0" w:color="auto"/>
              <w:right w:val="single" w:sz="4" w:space="0" w:color="auto"/>
            </w:tcBorders>
            <w:shd w:val="clear" w:color="auto" w:fill="auto"/>
            <w:hideMark/>
          </w:tcPr>
          <w:p w14:paraId="34285E8A" w14:textId="77777777" w:rsidR="003F4CFF" w:rsidRPr="008830B5" w:rsidRDefault="003F4CFF" w:rsidP="003F4CFF">
            <w:pPr>
              <w:autoSpaceDE w:val="0"/>
              <w:autoSpaceDN w:val="0"/>
              <w:adjustRightInd w:val="0"/>
              <w:rPr>
                <w:rFonts w:ascii="Times New Roman" w:hAnsi="Times New Roman" w:cs="Times New Roman"/>
                <w:iCs/>
                <w:sz w:val="24"/>
                <w:szCs w:val="24"/>
                <w:lang w:eastAsia="en-US"/>
              </w:rPr>
            </w:pPr>
            <w:r w:rsidRPr="008830B5">
              <w:rPr>
                <w:rFonts w:ascii="Times New Roman" w:hAnsi="Times New Roman" w:cs="Times New Roman"/>
                <w:iCs/>
                <w:sz w:val="24"/>
                <w:szCs w:val="24"/>
                <w:lang w:eastAsia="en-US"/>
              </w:rPr>
              <w:t>Трапезников</w:t>
            </w:r>
          </w:p>
          <w:p w14:paraId="0BBFA1E9"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iCs/>
                <w:sz w:val="24"/>
                <w:szCs w:val="24"/>
                <w:lang w:eastAsia="en-US"/>
              </w:rPr>
              <w:t>Сергей Иванович – М</w:t>
            </w:r>
            <w:r w:rsidRPr="008830B5">
              <w:rPr>
                <w:rFonts w:ascii="Times New Roman" w:hAnsi="Times New Roman" w:cs="Times New Roman"/>
                <w:sz w:val="24"/>
                <w:szCs w:val="24"/>
                <w:lang w:eastAsia="en-US"/>
              </w:rPr>
              <w:t>ежрегиональное общественное объединение «Межрегиональная ассоциация руководителей предприятий»</w:t>
            </w:r>
          </w:p>
          <w:p w14:paraId="51B32FF3"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p>
          <w:p w14:paraId="624361FB"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Аборнев</w:t>
            </w:r>
          </w:p>
          <w:p w14:paraId="4E12B8D1"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Юрий Сергеевич – Новосибирское областное отделение общероссийской общественной организации «Деловая Россия»</w:t>
            </w:r>
          </w:p>
          <w:p w14:paraId="3F491393"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p>
          <w:p w14:paraId="7180CC96"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Ермола</w:t>
            </w:r>
          </w:p>
          <w:p w14:paraId="75357CB1"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Владимир Викторович – Новосибирская областная ассоциация предприятий по обращению с отходами «Экология Сибири»</w:t>
            </w:r>
          </w:p>
          <w:p w14:paraId="1FFD8937" w14:textId="77777777" w:rsidR="003F4CFF" w:rsidRPr="003E472C" w:rsidRDefault="003F4CFF" w:rsidP="003F4CFF">
            <w:pPr>
              <w:autoSpaceDE w:val="0"/>
              <w:autoSpaceDN w:val="0"/>
              <w:rPr>
                <w:rFonts w:ascii="Times New Roman" w:eastAsia="Times New Roman" w:hAnsi="Times New Roman" w:cs="Times New Roman"/>
                <w:sz w:val="24"/>
                <w:szCs w:val="24"/>
                <w:lang w:eastAsia="en-US"/>
              </w:rPr>
            </w:pPr>
          </w:p>
          <w:p w14:paraId="5C85C0A5"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Заболотный</w:t>
            </w:r>
          </w:p>
          <w:p w14:paraId="123C6697"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Павел Васильевич – Новосибирское региональное отделение Общероссийской общественной организации «Союз машиностроителей России»</w:t>
            </w:r>
          </w:p>
          <w:p w14:paraId="323870DE"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p>
          <w:p w14:paraId="3A4ECF76"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Копцев</w:t>
            </w:r>
          </w:p>
          <w:p w14:paraId="7C79C166"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Руслан Владимирович – Новосибирское региональное отделение Общероссийской общественной организации малого и среднего предпринимательства «Опора России»</w:t>
            </w:r>
          </w:p>
          <w:p w14:paraId="65FD5698"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p>
          <w:p w14:paraId="42EFFED4"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Масалов</w:t>
            </w:r>
          </w:p>
          <w:p w14:paraId="0C0FDD4A"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Анатолий Карпович – Новосибирское</w:t>
            </w:r>
          </w:p>
          <w:p w14:paraId="57A9244B"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региональное отделение</w:t>
            </w:r>
          </w:p>
          <w:p w14:paraId="0EE224DF"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Российского союза промышленников и предпринимателей</w:t>
            </w:r>
          </w:p>
          <w:p w14:paraId="14AD2767"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p>
          <w:p w14:paraId="51CD4A39"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Рычков</w:t>
            </w:r>
          </w:p>
          <w:p w14:paraId="4BA54233"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lastRenderedPageBreak/>
              <w:t>Николай Николаевич – Новосибирская городская торгово-промышленная палата</w:t>
            </w:r>
          </w:p>
        </w:tc>
      </w:tr>
      <w:tr w:rsidR="003F4CFF" w:rsidRPr="008830B5" w14:paraId="44241FFB" w14:textId="77777777" w:rsidTr="003F4CFF">
        <w:tc>
          <w:tcPr>
            <w:tcW w:w="301" w:type="pct"/>
            <w:tcBorders>
              <w:top w:val="single" w:sz="4" w:space="0" w:color="auto"/>
              <w:left w:val="single" w:sz="4" w:space="0" w:color="auto"/>
              <w:bottom w:val="single" w:sz="4" w:space="0" w:color="auto"/>
              <w:right w:val="single" w:sz="4" w:space="0" w:color="auto"/>
            </w:tcBorders>
            <w:shd w:val="clear" w:color="auto" w:fill="auto"/>
          </w:tcPr>
          <w:p w14:paraId="222E4F24" w14:textId="77777777" w:rsidR="003F4CFF" w:rsidRPr="003E472C" w:rsidRDefault="003F4CFF" w:rsidP="003F4CFF">
            <w:pPr>
              <w:autoSpaceDE w:val="0"/>
              <w:autoSpaceDN w:val="0"/>
              <w:rPr>
                <w:rFonts w:ascii="Times New Roman" w:eastAsia="Times New Roman" w:hAnsi="Times New Roman" w:cs="Times New Roman"/>
                <w:sz w:val="24"/>
                <w:szCs w:val="24"/>
                <w:lang w:eastAsia="en-US"/>
              </w:rPr>
            </w:pPr>
            <w:r w:rsidRPr="003E472C">
              <w:rPr>
                <w:rFonts w:ascii="Times New Roman" w:eastAsia="Times New Roman" w:hAnsi="Times New Roman" w:cs="Times New Roman"/>
                <w:sz w:val="24"/>
                <w:szCs w:val="24"/>
                <w:lang w:eastAsia="en-US"/>
              </w:rPr>
              <w:lastRenderedPageBreak/>
              <w:t>3</w:t>
            </w:r>
          </w:p>
        </w:tc>
        <w:tc>
          <w:tcPr>
            <w:tcW w:w="2598" w:type="pct"/>
            <w:tcBorders>
              <w:top w:val="single" w:sz="4" w:space="0" w:color="auto"/>
              <w:left w:val="single" w:sz="4" w:space="0" w:color="auto"/>
              <w:bottom w:val="single" w:sz="4" w:space="0" w:color="auto"/>
              <w:right w:val="single" w:sz="4" w:space="0" w:color="auto"/>
            </w:tcBorders>
            <w:shd w:val="clear" w:color="auto" w:fill="auto"/>
            <w:hideMark/>
          </w:tcPr>
          <w:p w14:paraId="659ED092" w14:textId="77777777" w:rsidR="003F4CFF" w:rsidRPr="003E472C" w:rsidRDefault="003F4CFF" w:rsidP="003F4CFF">
            <w:pPr>
              <w:autoSpaceDE w:val="0"/>
              <w:autoSpaceDN w:val="0"/>
              <w:rPr>
                <w:rFonts w:ascii="Times New Roman" w:eastAsia="Times New Roman" w:hAnsi="Times New Roman" w:cs="Times New Roman"/>
                <w:sz w:val="24"/>
                <w:szCs w:val="24"/>
                <w:lang w:eastAsia="en-US"/>
              </w:rPr>
            </w:pPr>
            <w:r w:rsidRPr="003E472C">
              <w:rPr>
                <w:rFonts w:ascii="Times New Roman" w:eastAsia="Times New Roman" w:hAnsi="Times New Roman" w:cs="Times New Roman"/>
                <w:sz w:val="24"/>
                <w:szCs w:val="24"/>
                <w:lang w:eastAsia="en-US"/>
              </w:rPr>
              <w:t>Представители общественных организаций и (или) организаций по защите прав потребителей</w:t>
            </w:r>
          </w:p>
        </w:tc>
        <w:tc>
          <w:tcPr>
            <w:tcW w:w="2101" w:type="pct"/>
            <w:tcBorders>
              <w:top w:val="single" w:sz="4" w:space="0" w:color="auto"/>
              <w:left w:val="single" w:sz="4" w:space="0" w:color="auto"/>
              <w:bottom w:val="single" w:sz="4" w:space="0" w:color="auto"/>
              <w:right w:val="single" w:sz="4" w:space="0" w:color="auto"/>
            </w:tcBorders>
            <w:shd w:val="clear" w:color="auto" w:fill="auto"/>
            <w:hideMark/>
          </w:tcPr>
          <w:p w14:paraId="18B46F98" w14:textId="77777777" w:rsidR="003F4CFF" w:rsidRPr="008830B5" w:rsidRDefault="003F4CFF" w:rsidP="003F4CFF">
            <w:pPr>
              <w:autoSpaceDE w:val="0"/>
              <w:autoSpaceDN w:val="0"/>
              <w:adjustRightInd w:val="0"/>
              <w:rPr>
                <w:rFonts w:ascii="Times New Roman" w:hAnsi="Times New Roman" w:cs="Times New Roman"/>
                <w:bCs/>
                <w:sz w:val="24"/>
                <w:szCs w:val="24"/>
                <w:lang w:eastAsia="en-US"/>
              </w:rPr>
            </w:pPr>
            <w:r w:rsidRPr="008830B5">
              <w:rPr>
                <w:rFonts w:ascii="Times New Roman" w:hAnsi="Times New Roman" w:cs="Times New Roman"/>
                <w:bCs/>
                <w:sz w:val="24"/>
                <w:szCs w:val="24"/>
                <w:lang w:eastAsia="en-US"/>
              </w:rPr>
              <w:t>Василенко</w:t>
            </w:r>
          </w:p>
          <w:p w14:paraId="5D29EC0A" w14:textId="77777777" w:rsidR="003F4CFF" w:rsidRPr="008830B5" w:rsidRDefault="003F4CFF" w:rsidP="003F4CFF">
            <w:pPr>
              <w:autoSpaceDE w:val="0"/>
              <w:autoSpaceDN w:val="0"/>
              <w:adjustRightInd w:val="0"/>
              <w:rPr>
                <w:rFonts w:ascii="Times New Roman" w:hAnsi="Times New Roman" w:cs="Times New Roman"/>
                <w:bCs/>
                <w:sz w:val="24"/>
                <w:szCs w:val="24"/>
                <w:lang w:eastAsia="en-US"/>
              </w:rPr>
            </w:pPr>
            <w:r w:rsidRPr="008830B5">
              <w:rPr>
                <w:rFonts w:ascii="Times New Roman" w:hAnsi="Times New Roman" w:cs="Times New Roman"/>
                <w:bCs/>
                <w:sz w:val="24"/>
                <w:szCs w:val="24"/>
                <w:lang w:eastAsia="en-US"/>
              </w:rPr>
              <w:t>Владимир Витальевич – местная общественная организация по правам человека «Партнер2</w:t>
            </w:r>
          </w:p>
          <w:p w14:paraId="2C5122F6" w14:textId="77777777" w:rsidR="003F4CFF" w:rsidRPr="008830B5" w:rsidRDefault="003F4CFF" w:rsidP="003F4CFF">
            <w:pPr>
              <w:autoSpaceDE w:val="0"/>
              <w:autoSpaceDN w:val="0"/>
              <w:adjustRightInd w:val="0"/>
              <w:rPr>
                <w:rFonts w:ascii="Times New Roman" w:hAnsi="Times New Roman" w:cs="Times New Roman"/>
                <w:bCs/>
                <w:sz w:val="24"/>
                <w:szCs w:val="24"/>
                <w:lang w:eastAsia="en-US"/>
              </w:rPr>
            </w:pPr>
          </w:p>
          <w:p w14:paraId="3FB6FD5A"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Лаухин</w:t>
            </w:r>
          </w:p>
          <w:p w14:paraId="6A223232" w14:textId="77777777" w:rsidR="003F4CFF" w:rsidRPr="008830B5" w:rsidRDefault="003F4CFF" w:rsidP="003F4CFF">
            <w:pPr>
              <w:autoSpaceDE w:val="0"/>
              <w:autoSpaceDN w:val="0"/>
              <w:adjustRightInd w:val="0"/>
              <w:rPr>
                <w:rFonts w:ascii="Times New Roman" w:hAnsi="Times New Roman" w:cs="Times New Roman"/>
                <w:bCs/>
                <w:sz w:val="24"/>
                <w:szCs w:val="24"/>
                <w:lang w:eastAsia="en-US"/>
              </w:rPr>
            </w:pPr>
            <w:r w:rsidRPr="008830B5">
              <w:rPr>
                <w:rFonts w:ascii="Times New Roman" w:hAnsi="Times New Roman" w:cs="Times New Roman"/>
                <w:sz w:val="24"/>
                <w:szCs w:val="24"/>
                <w:lang w:eastAsia="en-US"/>
              </w:rPr>
              <w:t xml:space="preserve">Александр Алексеевич – </w:t>
            </w:r>
            <w:r w:rsidRPr="008830B5">
              <w:rPr>
                <w:rFonts w:ascii="Times New Roman" w:hAnsi="Times New Roman" w:cs="Times New Roman"/>
                <w:bCs/>
                <w:sz w:val="24"/>
                <w:szCs w:val="24"/>
                <w:lang w:eastAsia="en-US"/>
              </w:rPr>
              <w:t>Новосибирский областной совет ветеранов войны, труда, военной службы и правоохранительных органов</w:t>
            </w:r>
          </w:p>
          <w:p w14:paraId="3CEC9376" w14:textId="77777777" w:rsidR="003F4CFF" w:rsidRPr="008830B5" w:rsidRDefault="003F4CFF" w:rsidP="003F4CFF">
            <w:pPr>
              <w:autoSpaceDE w:val="0"/>
              <w:autoSpaceDN w:val="0"/>
              <w:adjustRightInd w:val="0"/>
              <w:rPr>
                <w:rFonts w:ascii="Times New Roman" w:hAnsi="Times New Roman" w:cs="Times New Roman"/>
                <w:bCs/>
                <w:sz w:val="24"/>
                <w:szCs w:val="24"/>
                <w:lang w:eastAsia="en-US"/>
              </w:rPr>
            </w:pPr>
          </w:p>
          <w:p w14:paraId="5AE1F3E7"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Губер</w:t>
            </w:r>
          </w:p>
          <w:p w14:paraId="2956BD2F" w14:textId="77777777" w:rsidR="003F4CFF" w:rsidRPr="008830B5" w:rsidRDefault="003F4CFF" w:rsidP="003F4CFF">
            <w:pPr>
              <w:autoSpaceDE w:val="0"/>
              <w:autoSpaceDN w:val="0"/>
              <w:adjustRightInd w:val="0"/>
              <w:rPr>
                <w:rFonts w:ascii="Times New Roman" w:hAnsi="Times New Roman" w:cs="Times New Roman"/>
                <w:bCs/>
                <w:sz w:val="24"/>
                <w:szCs w:val="24"/>
                <w:lang w:eastAsia="en-US"/>
              </w:rPr>
            </w:pPr>
            <w:r w:rsidRPr="008830B5">
              <w:rPr>
                <w:rFonts w:ascii="Times New Roman" w:hAnsi="Times New Roman" w:cs="Times New Roman"/>
                <w:sz w:val="24"/>
                <w:szCs w:val="24"/>
                <w:lang w:eastAsia="en-US"/>
              </w:rPr>
              <w:t>Виктор Иванович</w:t>
            </w:r>
            <w:r w:rsidRPr="008830B5">
              <w:rPr>
                <w:rFonts w:ascii="Times New Roman" w:hAnsi="Times New Roman" w:cs="Times New Roman"/>
                <w:bCs/>
                <w:sz w:val="24"/>
                <w:szCs w:val="24"/>
                <w:lang w:eastAsia="en-US"/>
              </w:rPr>
              <w:t xml:space="preserve"> – Совет муниципальных образований Новосибирской области</w:t>
            </w:r>
          </w:p>
          <w:p w14:paraId="7FA48CDC" w14:textId="77777777" w:rsidR="003F4CFF" w:rsidRPr="008830B5" w:rsidRDefault="003F4CFF" w:rsidP="003F4CFF">
            <w:pPr>
              <w:autoSpaceDE w:val="0"/>
              <w:autoSpaceDN w:val="0"/>
              <w:adjustRightInd w:val="0"/>
              <w:rPr>
                <w:rFonts w:ascii="Times New Roman" w:hAnsi="Times New Roman" w:cs="Times New Roman"/>
                <w:bCs/>
                <w:sz w:val="24"/>
                <w:szCs w:val="24"/>
                <w:lang w:eastAsia="en-US"/>
              </w:rPr>
            </w:pPr>
          </w:p>
          <w:p w14:paraId="66BCDD7D" w14:textId="77777777" w:rsidR="003F4CFF" w:rsidRPr="008830B5" w:rsidRDefault="003F4CFF" w:rsidP="003F4CFF">
            <w:pPr>
              <w:autoSpaceDE w:val="0"/>
              <w:autoSpaceDN w:val="0"/>
              <w:adjustRightInd w:val="0"/>
              <w:rPr>
                <w:rFonts w:ascii="Times New Roman" w:hAnsi="Times New Roman" w:cs="Times New Roman"/>
                <w:bCs/>
                <w:sz w:val="24"/>
                <w:szCs w:val="24"/>
                <w:lang w:eastAsia="en-US"/>
              </w:rPr>
            </w:pPr>
            <w:r w:rsidRPr="008830B5">
              <w:rPr>
                <w:rFonts w:ascii="Times New Roman" w:hAnsi="Times New Roman" w:cs="Times New Roman"/>
                <w:bCs/>
                <w:sz w:val="24"/>
                <w:szCs w:val="24"/>
                <w:lang w:eastAsia="en-US"/>
              </w:rPr>
              <w:t>Дьячков</w:t>
            </w:r>
          </w:p>
          <w:p w14:paraId="7689F121"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bCs/>
                <w:sz w:val="24"/>
                <w:szCs w:val="24"/>
                <w:lang w:eastAsia="en-US"/>
              </w:rPr>
              <w:t xml:space="preserve">Сергей Александрович – </w:t>
            </w:r>
            <w:r w:rsidRPr="008830B5">
              <w:rPr>
                <w:rFonts w:ascii="Times New Roman" w:hAnsi="Times New Roman" w:cs="Times New Roman"/>
                <w:sz w:val="24"/>
                <w:szCs w:val="24"/>
                <w:lang w:eastAsia="en-US"/>
              </w:rPr>
              <w:t>Новосибирская областная организация Всероссийского общества инвалидов</w:t>
            </w:r>
          </w:p>
          <w:p w14:paraId="24F46E55" w14:textId="77777777" w:rsidR="003F4CFF" w:rsidRPr="008830B5" w:rsidRDefault="003F4CFF" w:rsidP="003F4CFF">
            <w:pPr>
              <w:autoSpaceDE w:val="0"/>
              <w:autoSpaceDN w:val="0"/>
              <w:adjustRightInd w:val="0"/>
              <w:rPr>
                <w:rFonts w:ascii="Times New Roman" w:hAnsi="Times New Roman" w:cs="Times New Roman"/>
                <w:bCs/>
                <w:sz w:val="24"/>
                <w:szCs w:val="24"/>
                <w:lang w:eastAsia="en-US"/>
              </w:rPr>
            </w:pPr>
          </w:p>
          <w:p w14:paraId="503989B8"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Пустовой</w:t>
            </w:r>
          </w:p>
          <w:p w14:paraId="4A6545B0"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Николай Васильевич – Совет ректоров вузов Новосибирской области</w:t>
            </w:r>
          </w:p>
          <w:p w14:paraId="2A2F55B8"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p>
          <w:p w14:paraId="74F83315" w14:textId="77777777" w:rsidR="003F4CFF" w:rsidRPr="008830B5" w:rsidRDefault="003F4CFF" w:rsidP="003F4CFF">
            <w:pPr>
              <w:autoSpaceDE w:val="0"/>
              <w:autoSpaceDN w:val="0"/>
              <w:adjustRightInd w:val="0"/>
              <w:rPr>
                <w:rFonts w:ascii="Times New Roman" w:hAnsi="Times New Roman" w:cs="Times New Roman"/>
                <w:bCs/>
                <w:sz w:val="24"/>
                <w:szCs w:val="24"/>
                <w:lang w:eastAsia="en-US"/>
              </w:rPr>
            </w:pPr>
            <w:r w:rsidRPr="008830B5">
              <w:rPr>
                <w:rFonts w:ascii="Times New Roman" w:hAnsi="Times New Roman" w:cs="Times New Roman"/>
                <w:bCs/>
                <w:sz w:val="24"/>
                <w:szCs w:val="24"/>
                <w:lang w:eastAsia="en-US"/>
              </w:rPr>
              <w:t>Галл-Савальский</w:t>
            </w:r>
          </w:p>
          <w:p w14:paraId="70CC9227" w14:textId="77777777" w:rsidR="003F4CFF" w:rsidRPr="008830B5" w:rsidRDefault="003F4CFF" w:rsidP="003F4CFF">
            <w:pPr>
              <w:autoSpaceDE w:val="0"/>
              <w:autoSpaceDN w:val="0"/>
              <w:adjustRightInd w:val="0"/>
              <w:rPr>
                <w:rFonts w:ascii="Times New Roman" w:hAnsi="Times New Roman" w:cs="Times New Roman"/>
                <w:bCs/>
                <w:sz w:val="24"/>
                <w:szCs w:val="24"/>
                <w:lang w:eastAsia="en-US"/>
              </w:rPr>
            </w:pPr>
            <w:r w:rsidRPr="008830B5">
              <w:rPr>
                <w:rFonts w:ascii="Times New Roman" w:hAnsi="Times New Roman" w:cs="Times New Roman"/>
                <w:bCs/>
                <w:sz w:val="24"/>
                <w:szCs w:val="24"/>
                <w:lang w:eastAsia="en-US"/>
              </w:rPr>
              <w:t>Игорь Владимирович – Общественная палата Новосибирской области</w:t>
            </w:r>
          </w:p>
          <w:p w14:paraId="730FE72A" w14:textId="77777777" w:rsidR="003F4CFF" w:rsidRPr="008830B5" w:rsidRDefault="003F4CFF" w:rsidP="003F4CFF">
            <w:pPr>
              <w:autoSpaceDE w:val="0"/>
              <w:autoSpaceDN w:val="0"/>
              <w:adjustRightInd w:val="0"/>
              <w:rPr>
                <w:rFonts w:ascii="Times New Roman" w:hAnsi="Times New Roman" w:cs="Times New Roman"/>
                <w:bCs/>
                <w:sz w:val="24"/>
                <w:szCs w:val="24"/>
                <w:lang w:eastAsia="en-US"/>
              </w:rPr>
            </w:pPr>
          </w:p>
        </w:tc>
      </w:tr>
      <w:tr w:rsidR="003F4CFF" w:rsidRPr="008830B5" w14:paraId="5C7AD02F" w14:textId="77777777" w:rsidTr="003F4CFF">
        <w:tc>
          <w:tcPr>
            <w:tcW w:w="301" w:type="pct"/>
            <w:tcBorders>
              <w:top w:val="single" w:sz="4" w:space="0" w:color="auto"/>
              <w:left w:val="single" w:sz="4" w:space="0" w:color="auto"/>
              <w:bottom w:val="single" w:sz="4" w:space="0" w:color="auto"/>
              <w:right w:val="single" w:sz="4" w:space="0" w:color="auto"/>
            </w:tcBorders>
            <w:shd w:val="clear" w:color="auto" w:fill="auto"/>
          </w:tcPr>
          <w:p w14:paraId="38EBC56A" w14:textId="77777777" w:rsidR="003F4CFF" w:rsidRPr="003E472C" w:rsidRDefault="003F4CFF" w:rsidP="003F4CFF">
            <w:pPr>
              <w:autoSpaceDE w:val="0"/>
              <w:autoSpaceDN w:val="0"/>
              <w:rPr>
                <w:rFonts w:ascii="Times New Roman" w:eastAsia="Times New Roman" w:hAnsi="Times New Roman" w:cs="Times New Roman"/>
                <w:sz w:val="24"/>
                <w:szCs w:val="24"/>
                <w:lang w:eastAsia="en-US"/>
              </w:rPr>
            </w:pPr>
            <w:r w:rsidRPr="003E472C">
              <w:rPr>
                <w:rFonts w:ascii="Times New Roman" w:eastAsia="Times New Roman" w:hAnsi="Times New Roman" w:cs="Times New Roman"/>
                <w:sz w:val="24"/>
                <w:szCs w:val="24"/>
                <w:lang w:eastAsia="en-US"/>
              </w:rPr>
              <w:t>4</w:t>
            </w:r>
          </w:p>
        </w:tc>
        <w:tc>
          <w:tcPr>
            <w:tcW w:w="2598" w:type="pct"/>
            <w:tcBorders>
              <w:top w:val="single" w:sz="4" w:space="0" w:color="auto"/>
              <w:left w:val="single" w:sz="4" w:space="0" w:color="auto"/>
              <w:bottom w:val="single" w:sz="4" w:space="0" w:color="auto"/>
              <w:right w:val="single" w:sz="4" w:space="0" w:color="auto"/>
            </w:tcBorders>
            <w:shd w:val="clear" w:color="auto" w:fill="auto"/>
            <w:hideMark/>
          </w:tcPr>
          <w:p w14:paraId="48013632" w14:textId="77777777" w:rsidR="003F4CFF" w:rsidRPr="003E472C" w:rsidRDefault="003F4CFF" w:rsidP="003F4CFF">
            <w:pPr>
              <w:autoSpaceDE w:val="0"/>
              <w:autoSpaceDN w:val="0"/>
              <w:rPr>
                <w:rFonts w:ascii="Times New Roman" w:eastAsia="Times New Roman" w:hAnsi="Times New Roman" w:cs="Times New Roman"/>
                <w:sz w:val="24"/>
                <w:szCs w:val="24"/>
                <w:lang w:eastAsia="en-US"/>
              </w:rPr>
            </w:pPr>
            <w:r w:rsidRPr="003E472C">
              <w:rPr>
                <w:rFonts w:ascii="Times New Roman" w:eastAsia="Times New Roman" w:hAnsi="Times New Roman" w:cs="Times New Roman"/>
                <w:sz w:val="24"/>
                <w:szCs w:val="24"/>
                <w:lang w:eastAsia="en-US"/>
              </w:rPr>
              <w:t>Представители федеральных парламентских политических партий</w:t>
            </w:r>
          </w:p>
        </w:tc>
        <w:tc>
          <w:tcPr>
            <w:tcW w:w="2101" w:type="pct"/>
            <w:tcBorders>
              <w:top w:val="single" w:sz="4" w:space="0" w:color="auto"/>
              <w:left w:val="single" w:sz="4" w:space="0" w:color="auto"/>
              <w:bottom w:val="single" w:sz="4" w:space="0" w:color="auto"/>
              <w:right w:val="single" w:sz="4" w:space="0" w:color="auto"/>
            </w:tcBorders>
            <w:shd w:val="clear" w:color="auto" w:fill="auto"/>
            <w:hideMark/>
          </w:tcPr>
          <w:p w14:paraId="7188E8F6"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Агеенко</w:t>
            </w:r>
          </w:p>
          <w:p w14:paraId="2C5E2C8A"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Вадим Алексеевич –Коммунистическая партия Российской Федерации;</w:t>
            </w:r>
          </w:p>
          <w:p w14:paraId="33DF77AF"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p>
          <w:p w14:paraId="1EFF4E57"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Аксененко</w:t>
            </w:r>
          </w:p>
          <w:p w14:paraId="436D2A4F"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Александр Сергеевич –</w:t>
            </w:r>
            <w:r w:rsidRPr="008830B5">
              <w:rPr>
                <w:rFonts w:ascii="Times New Roman" w:hAnsi="Times New Roman" w:cs="Times New Roman"/>
                <w:bCs/>
                <w:sz w:val="24"/>
                <w:szCs w:val="24"/>
                <w:lang w:eastAsia="en-US"/>
              </w:rPr>
              <w:t xml:space="preserve"> </w:t>
            </w:r>
            <w:r w:rsidRPr="008830B5">
              <w:rPr>
                <w:rFonts w:ascii="Times New Roman" w:hAnsi="Times New Roman" w:cs="Times New Roman"/>
                <w:sz w:val="24"/>
                <w:szCs w:val="24"/>
                <w:lang w:eastAsia="en-US"/>
              </w:rPr>
              <w:t>региональное отделение</w:t>
            </w:r>
          </w:p>
          <w:p w14:paraId="4DFCF636" w14:textId="77777777" w:rsidR="003F4CFF" w:rsidRPr="008830B5" w:rsidRDefault="003F4CFF" w:rsidP="003F4CFF">
            <w:pPr>
              <w:autoSpaceDE w:val="0"/>
              <w:autoSpaceDN w:val="0"/>
              <w:adjustRightInd w:val="0"/>
              <w:rPr>
                <w:rFonts w:ascii="Times New Roman" w:hAnsi="Times New Roman" w:cs="Times New Roman"/>
                <w:bCs/>
                <w:sz w:val="24"/>
                <w:szCs w:val="24"/>
                <w:lang w:eastAsia="en-US"/>
              </w:rPr>
            </w:pPr>
            <w:r w:rsidRPr="008830B5">
              <w:rPr>
                <w:rFonts w:ascii="Times New Roman" w:hAnsi="Times New Roman" w:cs="Times New Roman"/>
                <w:bCs/>
                <w:sz w:val="24"/>
                <w:szCs w:val="24"/>
                <w:lang w:eastAsia="en-US"/>
              </w:rPr>
              <w:t>политической партии «Справедливая Россия»</w:t>
            </w:r>
          </w:p>
          <w:p w14:paraId="7C7E4377"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p>
          <w:p w14:paraId="12EF21DF"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sidRPr="008830B5">
              <w:rPr>
                <w:rFonts w:ascii="Times New Roman" w:hAnsi="Times New Roman" w:cs="Times New Roman"/>
                <w:sz w:val="24"/>
                <w:szCs w:val="24"/>
                <w:lang w:eastAsia="en-US"/>
              </w:rPr>
              <w:t>Кудин</w:t>
            </w:r>
          </w:p>
          <w:p w14:paraId="7AF32261" w14:textId="77777777" w:rsidR="003F4CFF" w:rsidRPr="008830B5" w:rsidRDefault="003F4CFF" w:rsidP="003F4CFF">
            <w:pPr>
              <w:autoSpaceDE w:val="0"/>
              <w:autoSpaceDN w:val="0"/>
              <w:adjustRightInd w:val="0"/>
              <w:rPr>
                <w:rFonts w:ascii="Times New Roman" w:hAnsi="Times New Roman" w:cs="Times New Roman"/>
                <w:sz w:val="24"/>
                <w:szCs w:val="24"/>
                <w:lang w:eastAsia="en-US"/>
              </w:rPr>
            </w:pPr>
            <w:r>
              <w:rPr>
                <w:rFonts w:ascii="Times New Roman" w:hAnsi="Times New Roman" w:cs="Times New Roman"/>
                <w:sz w:val="24"/>
                <w:szCs w:val="24"/>
                <w:lang w:eastAsia="en-US"/>
              </w:rPr>
              <w:t>Игорь Валерьевич</w:t>
            </w:r>
            <w:r w:rsidRPr="008830B5">
              <w:rPr>
                <w:rFonts w:ascii="Times New Roman" w:hAnsi="Times New Roman" w:cs="Times New Roman"/>
                <w:sz w:val="24"/>
                <w:szCs w:val="24"/>
                <w:lang w:eastAsia="en-US"/>
              </w:rPr>
              <w:t xml:space="preserve"> – Новосибирское региональное отделение Всероссийской политической партии «Единая Россия»</w:t>
            </w:r>
          </w:p>
        </w:tc>
      </w:tr>
    </w:tbl>
    <w:p w14:paraId="6E91791B" w14:textId="77777777" w:rsidR="003F4CFF" w:rsidRPr="00800E6E" w:rsidRDefault="003F4CFF" w:rsidP="003F4CFF">
      <w:pPr>
        <w:rPr>
          <w:rFonts w:ascii="Times New Roman" w:eastAsia="Times New Roman" w:hAnsi="Times New Roman" w:cs="Times New Roman"/>
          <w:sz w:val="28"/>
          <w:szCs w:val="28"/>
          <w:highlight w:val="green"/>
        </w:rPr>
      </w:pPr>
    </w:p>
    <w:p w14:paraId="5DDFFF70" w14:textId="77777777" w:rsidR="003F4CFF" w:rsidRDefault="003F4CFF" w:rsidP="003F4CFF">
      <w:pPr>
        <w:widowControl w:val="0"/>
        <w:autoSpaceDE w:val="0"/>
        <w:autoSpaceDN w:val="0"/>
        <w:adjustRightInd w:val="0"/>
        <w:ind w:firstLine="567"/>
        <w:jc w:val="both"/>
        <w:rPr>
          <w:rFonts w:ascii="Times New Roman" w:eastAsia="Times New Roman" w:hAnsi="Times New Roman" w:cs="Times New Roman"/>
          <w:sz w:val="28"/>
          <w:szCs w:val="28"/>
        </w:rPr>
      </w:pPr>
      <w:r w:rsidRPr="003E472C">
        <w:rPr>
          <w:rFonts w:ascii="Times New Roman" w:eastAsia="Times New Roman" w:hAnsi="Times New Roman" w:cs="Times New Roman"/>
          <w:sz w:val="28"/>
          <w:szCs w:val="28"/>
        </w:rPr>
        <w:t>Кроме того, в состав Совета входят Знатков В. </w:t>
      </w:r>
      <w:r>
        <w:rPr>
          <w:rFonts w:ascii="Times New Roman" w:eastAsia="Times New Roman" w:hAnsi="Times New Roman" w:cs="Times New Roman"/>
          <w:sz w:val="28"/>
          <w:szCs w:val="28"/>
        </w:rPr>
        <w:t>М. – </w:t>
      </w:r>
      <w:r w:rsidRPr="003E472C">
        <w:rPr>
          <w:rFonts w:ascii="Times New Roman" w:eastAsia="Times New Roman" w:hAnsi="Times New Roman" w:cs="Times New Roman"/>
          <w:sz w:val="28"/>
          <w:szCs w:val="28"/>
        </w:rPr>
        <w:t>первый заместитель Председателя Правительства Новосибирской области и Мамулат Н. </w:t>
      </w:r>
      <w:r>
        <w:rPr>
          <w:rFonts w:ascii="Times New Roman" w:eastAsia="Times New Roman" w:hAnsi="Times New Roman" w:cs="Times New Roman"/>
          <w:sz w:val="28"/>
          <w:szCs w:val="28"/>
        </w:rPr>
        <w:t>Е. </w:t>
      </w:r>
      <w:r w:rsidRPr="003E472C">
        <w:rPr>
          <w:rFonts w:ascii="Times New Roman" w:eastAsia="Times New Roman" w:hAnsi="Times New Roman" w:cs="Times New Roman"/>
          <w:sz w:val="28"/>
          <w:szCs w:val="28"/>
        </w:rPr>
        <w:t>– уполномоченный по защите прав предпринимателей в Новосибирской области.</w:t>
      </w:r>
    </w:p>
    <w:p w14:paraId="755744A0" w14:textId="77777777" w:rsidR="003F4CFF" w:rsidRDefault="003F4CFF" w:rsidP="003F4CFF">
      <w:pPr>
        <w:widowControl w:val="0"/>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2019</w:t>
      </w:r>
      <w:r w:rsidRPr="00EE0D4A">
        <w:rPr>
          <w:rFonts w:ascii="Times New Roman" w:eastAsia="Times New Roman" w:hAnsi="Times New Roman" w:cs="Times New Roman"/>
          <w:sz w:val="28"/>
          <w:szCs w:val="28"/>
        </w:rPr>
        <w:t xml:space="preserve"> году состоялось </w:t>
      </w:r>
      <w:r>
        <w:rPr>
          <w:rFonts w:ascii="Times New Roman" w:eastAsia="Times New Roman" w:hAnsi="Times New Roman" w:cs="Times New Roman"/>
          <w:sz w:val="28"/>
          <w:szCs w:val="28"/>
        </w:rPr>
        <w:t>2 заседания Совета, на которых</w:t>
      </w:r>
      <w:r w:rsidRPr="00EE0D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было рассмотрено 15 вопросов, в том числе 14 вопросов о рассмотрении инвестиционных программ (корректировке инвестиционных программ) в области водоснабжения, водоотведения, теплоснабжения и электроэнергетики и 1 отчет об исполнении об исполнении инвестиционной программы (таблица 2</w:t>
      </w:r>
      <w:r w:rsidR="0044228C">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w:t>
      </w:r>
    </w:p>
    <w:p w14:paraId="2FF09F45" w14:textId="77777777" w:rsidR="003F4CFF" w:rsidRPr="00EE0D4A" w:rsidRDefault="003F4CFF" w:rsidP="003F4CFF">
      <w:pPr>
        <w:widowControl w:val="0"/>
        <w:autoSpaceDE w:val="0"/>
        <w:autoSpaceDN w:val="0"/>
        <w:adjustRightInd w:val="0"/>
        <w:ind w:firstLine="567"/>
        <w:jc w:val="right"/>
        <w:rPr>
          <w:rFonts w:ascii="Times New Roman" w:eastAsia="Times New Roman" w:hAnsi="Times New Roman" w:cs="Times New Roman"/>
          <w:sz w:val="28"/>
          <w:szCs w:val="28"/>
          <w:highlight w:val="yellow"/>
        </w:rPr>
      </w:pPr>
    </w:p>
    <w:p w14:paraId="3D1AD855" w14:textId="77777777" w:rsidR="003F4CFF" w:rsidRPr="00BB6DDD" w:rsidRDefault="003F4CFF" w:rsidP="003F4CFF">
      <w:pPr>
        <w:widowControl w:val="0"/>
        <w:autoSpaceDE w:val="0"/>
        <w:autoSpaceDN w:val="0"/>
        <w:adjustRightIn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w:t>
      </w:r>
      <w:r w:rsidR="0044228C">
        <w:rPr>
          <w:rFonts w:ascii="Times New Roman" w:eastAsia="Times New Roman" w:hAnsi="Times New Roman" w:cs="Times New Roman"/>
          <w:sz w:val="28"/>
          <w:szCs w:val="28"/>
        </w:rPr>
        <w:t>9</w:t>
      </w:r>
      <w:r>
        <w:rPr>
          <w:rFonts w:ascii="Times New Roman" w:eastAsia="Times New Roman" w:hAnsi="Times New Roman" w:cs="Times New Roman"/>
          <w:sz w:val="28"/>
          <w:szCs w:val="28"/>
        </w:rPr>
        <w:t> – </w:t>
      </w:r>
      <w:r w:rsidRPr="00BB6DDD">
        <w:rPr>
          <w:rFonts w:ascii="Times New Roman" w:eastAsia="Times New Roman" w:hAnsi="Times New Roman" w:cs="Times New Roman"/>
          <w:sz w:val="28"/>
          <w:szCs w:val="28"/>
        </w:rPr>
        <w:t>Вопросы, рассмотренные на заседании Межотраслевого совета потребителей по вопросам деятельности субъектов естественных монополий при Губернаторе Новосибирской области в 2019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2071"/>
        <w:gridCol w:w="7209"/>
      </w:tblGrid>
      <w:tr w:rsidR="003F4CFF" w:rsidRPr="003F737C" w14:paraId="05422F51" w14:textId="77777777" w:rsidTr="003F4CFF">
        <w:trPr>
          <w:tblHeader/>
        </w:trPr>
        <w:tc>
          <w:tcPr>
            <w:tcW w:w="318" w:type="pct"/>
            <w:shd w:val="clear" w:color="auto" w:fill="FFFFFF"/>
          </w:tcPr>
          <w:p w14:paraId="49EA0C8B" w14:textId="77777777" w:rsidR="003F4CFF" w:rsidRPr="00BB6DDD" w:rsidRDefault="003F4CFF" w:rsidP="003F4CFF">
            <w:pPr>
              <w:widowControl w:val="0"/>
              <w:autoSpaceDE w:val="0"/>
              <w:autoSpaceDN w:val="0"/>
              <w:adjustRightInd w:val="0"/>
              <w:rPr>
                <w:rFonts w:ascii="Times New Roman" w:eastAsia="Times New Roman" w:hAnsi="Times New Roman" w:cs="Times New Roman"/>
                <w:sz w:val="24"/>
                <w:szCs w:val="24"/>
              </w:rPr>
            </w:pPr>
            <w:r w:rsidRPr="00BB6DDD">
              <w:rPr>
                <w:rFonts w:ascii="Times New Roman" w:eastAsia="Times New Roman" w:hAnsi="Times New Roman" w:cs="Times New Roman"/>
                <w:sz w:val="24"/>
                <w:szCs w:val="24"/>
              </w:rPr>
              <w:t>№ п/п</w:t>
            </w:r>
          </w:p>
        </w:tc>
        <w:tc>
          <w:tcPr>
            <w:tcW w:w="1045" w:type="pct"/>
            <w:shd w:val="clear" w:color="auto" w:fill="FFFFFF"/>
          </w:tcPr>
          <w:p w14:paraId="32F01E44" w14:textId="77777777" w:rsidR="003F4CFF" w:rsidRPr="00BB6DDD" w:rsidRDefault="003F4CFF" w:rsidP="003F4CFF">
            <w:pPr>
              <w:widowControl w:val="0"/>
              <w:autoSpaceDE w:val="0"/>
              <w:autoSpaceDN w:val="0"/>
              <w:adjustRightInd w:val="0"/>
              <w:rPr>
                <w:rFonts w:ascii="Times New Roman" w:eastAsia="Times New Roman" w:hAnsi="Times New Roman" w:cs="Times New Roman"/>
                <w:sz w:val="24"/>
                <w:szCs w:val="24"/>
              </w:rPr>
            </w:pPr>
            <w:r w:rsidRPr="00BB6DDD">
              <w:rPr>
                <w:rFonts w:ascii="Times New Roman" w:eastAsia="Times New Roman" w:hAnsi="Times New Roman" w:cs="Times New Roman"/>
                <w:sz w:val="24"/>
                <w:szCs w:val="24"/>
              </w:rPr>
              <w:t>Дата заседания</w:t>
            </w:r>
          </w:p>
        </w:tc>
        <w:tc>
          <w:tcPr>
            <w:tcW w:w="3637" w:type="pct"/>
            <w:shd w:val="clear" w:color="auto" w:fill="FFFFFF"/>
          </w:tcPr>
          <w:p w14:paraId="40C5F483" w14:textId="77777777" w:rsidR="003F4CFF" w:rsidRPr="00BB6DDD" w:rsidRDefault="003F4CFF" w:rsidP="003F4CFF">
            <w:pPr>
              <w:widowControl w:val="0"/>
              <w:autoSpaceDE w:val="0"/>
              <w:autoSpaceDN w:val="0"/>
              <w:adjustRightInd w:val="0"/>
              <w:rPr>
                <w:rFonts w:ascii="Times New Roman" w:eastAsia="Times New Roman" w:hAnsi="Times New Roman" w:cs="Times New Roman"/>
                <w:sz w:val="24"/>
                <w:szCs w:val="24"/>
              </w:rPr>
            </w:pPr>
            <w:r w:rsidRPr="00BB6DDD">
              <w:rPr>
                <w:rFonts w:ascii="Times New Roman" w:eastAsia="Times New Roman" w:hAnsi="Times New Roman" w:cs="Times New Roman"/>
                <w:sz w:val="24"/>
                <w:szCs w:val="24"/>
              </w:rPr>
              <w:t>Вопросы</w:t>
            </w:r>
          </w:p>
        </w:tc>
      </w:tr>
      <w:tr w:rsidR="003F4CFF" w:rsidRPr="003F737C" w14:paraId="5569AA72" w14:textId="77777777" w:rsidTr="003F4CFF">
        <w:tc>
          <w:tcPr>
            <w:tcW w:w="318" w:type="pct"/>
            <w:shd w:val="clear" w:color="auto" w:fill="auto"/>
          </w:tcPr>
          <w:p w14:paraId="571DF537" w14:textId="77777777" w:rsidR="003F4CFF" w:rsidRPr="003F737C" w:rsidRDefault="003F4CFF" w:rsidP="003F4CFF">
            <w:pPr>
              <w:widowControl w:val="0"/>
              <w:autoSpaceDE w:val="0"/>
              <w:autoSpaceDN w:val="0"/>
              <w:adjustRightInd w:val="0"/>
              <w:jc w:val="both"/>
              <w:rPr>
                <w:rFonts w:ascii="Times New Roman" w:eastAsia="Times New Roman" w:hAnsi="Times New Roman" w:cs="Times New Roman"/>
                <w:sz w:val="24"/>
                <w:szCs w:val="24"/>
              </w:rPr>
            </w:pPr>
            <w:r w:rsidRPr="003F737C">
              <w:rPr>
                <w:rFonts w:ascii="Times New Roman" w:eastAsia="Times New Roman" w:hAnsi="Times New Roman" w:cs="Times New Roman"/>
                <w:sz w:val="24"/>
                <w:szCs w:val="24"/>
              </w:rPr>
              <w:t>1.</w:t>
            </w:r>
          </w:p>
        </w:tc>
        <w:tc>
          <w:tcPr>
            <w:tcW w:w="1045" w:type="pct"/>
            <w:shd w:val="clear" w:color="auto" w:fill="auto"/>
          </w:tcPr>
          <w:p w14:paraId="33552110" w14:textId="77777777" w:rsidR="003F4CFF" w:rsidRPr="00BB6DDD" w:rsidRDefault="003F4CFF" w:rsidP="003F4CFF">
            <w:pPr>
              <w:widowControl w:val="0"/>
              <w:autoSpaceDE w:val="0"/>
              <w:autoSpaceDN w:val="0"/>
              <w:adjustRightInd w:val="0"/>
              <w:rPr>
                <w:rFonts w:ascii="Times New Roman" w:eastAsia="Times New Roman" w:hAnsi="Times New Roman" w:cs="Times New Roman"/>
                <w:sz w:val="24"/>
                <w:szCs w:val="24"/>
              </w:rPr>
            </w:pPr>
            <w:r w:rsidRPr="00BB6DDD">
              <w:rPr>
                <w:rFonts w:ascii="Times New Roman" w:eastAsia="Times New Roman" w:hAnsi="Times New Roman" w:cs="Times New Roman"/>
                <w:sz w:val="24"/>
                <w:szCs w:val="24"/>
              </w:rPr>
              <w:t>04.06.2019</w:t>
            </w:r>
          </w:p>
        </w:tc>
        <w:tc>
          <w:tcPr>
            <w:tcW w:w="3637" w:type="pct"/>
            <w:shd w:val="clear" w:color="auto" w:fill="auto"/>
          </w:tcPr>
          <w:p w14:paraId="63E233BC" w14:textId="77777777" w:rsidR="003F4CFF" w:rsidRPr="002E662C" w:rsidRDefault="003F4CFF" w:rsidP="003F4CFF">
            <w:pPr>
              <w:tabs>
                <w:tab w:val="left" w:pos="709"/>
                <w:tab w:val="left" w:pos="993"/>
                <w:tab w:val="left" w:pos="1701"/>
              </w:tabs>
              <w:ind w:firstLine="567"/>
              <w:contextualSpacing/>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1. Об инвестиционных программах в сфере электроэнергетики на 2020-2024 годы.</w:t>
            </w:r>
          </w:p>
          <w:p w14:paraId="77E793BA" w14:textId="77777777" w:rsidR="003F4CFF" w:rsidRPr="002E662C" w:rsidRDefault="003F4CFF" w:rsidP="003F4CFF">
            <w:pPr>
              <w:tabs>
                <w:tab w:val="left" w:pos="709"/>
                <w:tab w:val="left" w:pos="993"/>
                <w:tab w:val="left" w:pos="1701"/>
              </w:tabs>
              <w:ind w:firstLine="567"/>
              <w:contextualSpacing/>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2. Рассмотрение направлений корректировки инвестиционной программы АО «РЭС» в сфере электроэнергетики на 2016-2020гг.</w:t>
            </w:r>
          </w:p>
          <w:p w14:paraId="0A1B3E02" w14:textId="77777777" w:rsidR="003F4CFF" w:rsidRPr="002E662C" w:rsidRDefault="003F4CFF" w:rsidP="003F4CFF">
            <w:pPr>
              <w:tabs>
                <w:tab w:val="left" w:pos="709"/>
                <w:tab w:val="left" w:pos="993"/>
                <w:tab w:val="left" w:pos="1701"/>
              </w:tabs>
              <w:ind w:firstLine="567"/>
              <w:contextualSpacing/>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3. Рассмотрение направлений корректировки инвестиционной программы ФГУП «УЭВ» «Развитие системы электроснабжения Советского района (Академгородок) г. Новосибирска на период 2015-2019 годы» на 2019 год.</w:t>
            </w:r>
          </w:p>
          <w:p w14:paraId="52269AE2" w14:textId="77777777" w:rsidR="003F4CFF" w:rsidRPr="002E662C" w:rsidRDefault="003F4CFF" w:rsidP="003F4CFF">
            <w:pPr>
              <w:tabs>
                <w:tab w:val="left" w:pos="709"/>
                <w:tab w:val="left" w:pos="993"/>
                <w:tab w:val="left" w:pos="1701"/>
              </w:tabs>
              <w:ind w:firstLine="567"/>
              <w:contextualSpacing/>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4. Рассмотрение инвестиционной программы ФГУП «УЭВ» «Развитие системы электроснабжения Советского района (Академгородок) г. Новосибирска на период 2020-2024 годы».</w:t>
            </w:r>
          </w:p>
          <w:p w14:paraId="2E10A6DF" w14:textId="77777777" w:rsidR="003F4CFF" w:rsidRPr="002E662C" w:rsidRDefault="003F4CFF" w:rsidP="003F4CFF">
            <w:pPr>
              <w:tabs>
                <w:tab w:val="left" w:pos="709"/>
                <w:tab w:val="left" w:pos="993"/>
                <w:tab w:val="left" w:pos="1701"/>
              </w:tabs>
              <w:ind w:firstLine="567"/>
              <w:contextualSpacing/>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5. Рассмотрение инвестиционной программы ФГУП «Энергетик» в сфере электроэнергетики на 2020-2024 годы.</w:t>
            </w:r>
          </w:p>
          <w:p w14:paraId="4FDE7986" w14:textId="77777777" w:rsidR="003F4CFF" w:rsidRPr="002E662C" w:rsidRDefault="003F4CFF" w:rsidP="003F4CFF">
            <w:pPr>
              <w:tabs>
                <w:tab w:val="left" w:pos="709"/>
                <w:tab w:val="left" w:pos="993"/>
                <w:tab w:val="left" w:pos="1701"/>
              </w:tabs>
              <w:ind w:firstLine="567"/>
              <w:contextualSpacing/>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6. Рассмотрение направлений корректировки инвестиционной программы Филиала «Сибирский» ОАО «Объединенная Энергетическая Компания» в сфере электроэнергетики на 2017-2021 годы. Рассмотрение направлений корректировки инвестиционной программы Филиала «Сибирский» ОАО «Объединенная Энергетическая Компания» в сфере электроэнергетики на 2017-2021 годы.</w:t>
            </w:r>
          </w:p>
          <w:p w14:paraId="24E8F295" w14:textId="77777777" w:rsidR="003F4CFF" w:rsidRPr="002E662C" w:rsidRDefault="003F4CFF" w:rsidP="003F4CFF">
            <w:pPr>
              <w:tabs>
                <w:tab w:val="left" w:pos="709"/>
                <w:tab w:val="left" w:pos="993"/>
                <w:tab w:val="left" w:pos="1701"/>
              </w:tabs>
              <w:ind w:firstLine="567"/>
              <w:contextualSpacing/>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7. Рассмотрение направлений корректировки инвестиционной программы филиала «Забайкальский» АО «Оборонэнерго» в границах Новосибирской области в сфере электроэнергетики на 2019 год.</w:t>
            </w:r>
          </w:p>
          <w:p w14:paraId="17AEFCFF" w14:textId="77777777" w:rsidR="003F4CFF" w:rsidRPr="002E662C" w:rsidRDefault="003F4CFF" w:rsidP="003F4CFF">
            <w:pPr>
              <w:tabs>
                <w:tab w:val="left" w:pos="709"/>
                <w:tab w:val="left" w:pos="993"/>
                <w:tab w:val="left" w:pos="1701"/>
              </w:tabs>
              <w:ind w:firstLine="567"/>
              <w:contextualSpacing/>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8. Рассмотрение инвестиционной программы филиала «Забайкальский» АО «Оборонэнерго» в границах Новосибирской области в сфере электроэнергетики на период 2020-2024 годы.</w:t>
            </w:r>
          </w:p>
          <w:p w14:paraId="2F2C8553" w14:textId="77777777" w:rsidR="003F4CFF" w:rsidRPr="002E662C" w:rsidRDefault="003F4CFF" w:rsidP="003F4CFF">
            <w:pPr>
              <w:tabs>
                <w:tab w:val="left" w:pos="709"/>
                <w:tab w:val="left" w:pos="993"/>
                <w:tab w:val="left" w:pos="1701"/>
              </w:tabs>
              <w:ind w:firstLine="567"/>
              <w:contextualSpacing/>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9. Рассмотрение инвестиционной программы Западно-Сибирской дирекции по энергообеспечению – структурного подразделения Трансэнерго – филиала ОАО «РЖД» в границах Новосибирской области в сфере электроэнергетики на 2020-2024 годы.</w:t>
            </w:r>
          </w:p>
          <w:p w14:paraId="5A038DF4" w14:textId="77777777" w:rsidR="003F4CFF" w:rsidRPr="002E662C" w:rsidRDefault="003F4CFF" w:rsidP="003F4CFF">
            <w:pPr>
              <w:tabs>
                <w:tab w:val="left" w:pos="709"/>
                <w:tab w:val="left" w:pos="993"/>
                <w:tab w:val="left" w:pos="1701"/>
              </w:tabs>
              <w:ind w:firstLine="567"/>
              <w:contextualSpacing/>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10. Рассмотрение инвестиционной программы ООО «СИБЭЛС» в сфере электроэнергетики на 2020-2024 годы.</w:t>
            </w:r>
          </w:p>
        </w:tc>
      </w:tr>
      <w:tr w:rsidR="003F4CFF" w:rsidRPr="003F737C" w14:paraId="4A3341DF" w14:textId="77777777" w:rsidTr="003F4CFF">
        <w:tc>
          <w:tcPr>
            <w:tcW w:w="318" w:type="pct"/>
            <w:shd w:val="clear" w:color="auto" w:fill="auto"/>
          </w:tcPr>
          <w:p w14:paraId="51BCCB54" w14:textId="77777777" w:rsidR="003F4CFF" w:rsidRPr="003F737C" w:rsidRDefault="003F4CFF" w:rsidP="003F4CFF">
            <w:pPr>
              <w:widowControl w:val="0"/>
              <w:autoSpaceDE w:val="0"/>
              <w:autoSpaceDN w:val="0"/>
              <w:adjustRightInd w:val="0"/>
              <w:rPr>
                <w:rFonts w:ascii="Times New Roman" w:eastAsia="Times New Roman" w:hAnsi="Times New Roman" w:cs="Times New Roman"/>
                <w:sz w:val="24"/>
                <w:szCs w:val="24"/>
              </w:rPr>
            </w:pPr>
            <w:r w:rsidRPr="003F737C">
              <w:rPr>
                <w:rFonts w:ascii="Times New Roman" w:eastAsia="Times New Roman" w:hAnsi="Times New Roman" w:cs="Times New Roman"/>
                <w:sz w:val="24"/>
                <w:szCs w:val="24"/>
              </w:rPr>
              <w:lastRenderedPageBreak/>
              <w:t>2.</w:t>
            </w:r>
          </w:p>
        </w:tc>
        <w:tc>
          <w:tcPr>
            <w:tcW w:w="1045" w:type="pct"/>
            <w:shd w:val="clear" w:color="auto" w:fill="auto"/>
          </w:tcPr>
          <w:p w14:paraId="52D12F47" w14:textId="77777777" w:rsidR="003F4CFF" w:rsidRPr="00BB6DDD" w:rsidRDefault="003F4CFF" w:rsidP="003F4CFF">
            <w:pPr>
              <w:widowControl w:val="0"/>
              <w:autoSpaceDE w:val="0"/>
              <w:autoSpaceDN w:val="0"/>
              <w:adjustRightInd w:val="0"/>
              <w:rPr>
                <w:rFonts w:ascii="Times New Roman" w:eastAsia="Times New Roman" w:hAnsi="Times New Roman" w:cs="Times New Roman"/>
                <w:sz w:val="24"/>
                <w:szCs w:val="24"/>
              </w:rPr>
            </w:pPr>
            <w:r w:rsidRPr="00BB6DDD">
              <w:rPr>
                <w:rFonts w:ascii="Times New Roman" w:eastAsia="Times New Roman" w:hAnsi="Times New Roman" w:cs="Times New Roman"/>
                <w:sz w:val="24"/>
                <w:szCs w:val="24"/>
              </w:rPr>
              <w:t>13.11.2019</w:t>
            </w:r>
          </w:p>
        </w:tc>
        <w:tc>
          <w:tcPr>
            <w:tcW w:w="3637" w:type="pct"/>
            <w:shd w:val="clear" w:color="auto" w:fill="auto"/>
          </w:tcPr>
          <w:p w14:paraId="3E0FA7DC" w14:textId="77777777" w:rsidR="003F4CFF" w:rsidRPr="002E662C" w:rsidRDefault="003F4CFF" w:rsidP="003F4CFF">
            <w:pPr>
              <w:tabs>
                <w:tab w:val="left" w:pos="993"/>
                <w:tab w:val="left" w:pos="1276"/>
                <w:tab w:val="left" w:pos="1843"/>
              </w:tabs>
              <w:ind w:firstLine="567"/>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1. Отчет о выполнении инвестиционной программы МУП г. Новосибирска «Горводоканал» «Развитие систем водоснабжения и водоотведения на 2015-2019 годы».</w:t>
            </w:r>
          </w:p>
          <w:p w14:paraId="79A7806E" w14:textId="77777777" w:rsidR="003F4CFF" w:rsidRPr="002E662C" w:rsidRDefault="003F4CFF" w:rsidP="003F4CFF">
            <w:pPr>
              <w:tabs>
                <w:tab w:val="left" w:pos="993"/>
                <w:tab w:val="left" w:pos="1276"/>
                <w:tab w:val="left" w:pos="1843"/>
              </w:tabs>
              <w:ind w:firstLine="567"/>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2. Рассмотрение инвестиционной программы МУП г. Новосибирска «Горводоканал» «Развитие систем водоснабжения и водоотведения на 2020-2024 годы».</w:t>
            </w:r>
          </w:p>
          <w:p w14:paraId="29F6F02D" w14:textId="77777777" w:rsidR="003F4CFF" w:rsidRPr="002E662C" w:rsidRDefault="003F4CFF" w:rsidP="003F4CFF">
            <w:pPr>
              <w:tabs>
                <w:tab w:val="left" w:pos="993"/>
                <w:tab w:val="left" w:pos="1276"/>
                <w:tab w:val="left" w:pos="1843"/>
              </w:tabs>
              <w:ind w:firstLine="567"/>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3. Рассмотрение направлений корректировки инвестиционной программы МУП «КБУ» «Развитие централизованной системы водоотведения города Бердска на 2018-2020 годы».</w:t>
            </w:r>
          </w:p>
          <w:p w14:paraId="0168BDB3" w14:textId="77777777" w:rsidR="003F4CFF" w:rsidRPr="002E662C" w:rsidRDefault="003F4CFF" w:rsidP="003F4CFF">
            <w:pPr>
              <w:tabs>
                <w:tab w:val="left" w:pos="993"/>
                <w:tab w:val="left" w:pos="1276"/>
                <w:tab w:val="left" w:pos="1843"/>
              </w:tabs>
              <w:ind w:firstLine="567"/>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4. Рассмотрение инвестиционной программы МУП «КБУ» «Развитие централизованной системы холодного водоснабжения города Бердска на 2020-2022 годы».</w:t>
            </w:r>
          </w:p>
          <w:p w14:paraId="2A423D37" w14:textId="77777777" w:rsidR="003F4CFF" w:rsidRPr="002E662C" w:rsidRDefault="003F4CFF" w:rsidP="003F4CFF">
            <w:pPr>
              <w:tabs>
                <w:tab w:val="left" w:pos="993"/>
                <w:tab w:val="left" w:pos="1276"/>
                <w:tab w:val="left" w:pos="1843"/>
              </w:tabs>
              <w:ind w:firstLine="567"/>
              <w:jc w:val="both"/>
              <w:rPr>
                <w:rFonts w:ascii="Times New Roman" w:eastAsia="Times New Roman" w:hAnsi="Times New Roman" w:cs="Times New Roman"/>
                <w:sz w:val="24"/>
                <w:szCs w:val="24"/>
              </w:rPr>
            </w:pPr>
            <w:r w:rsidRPr="002E662C">
              <w:rPr>
                <w:rFonts w:ascii="Times New Roman" w:eastAsia="Times New Roman" w:hAnsi="Times New Roman" w:cs="Times New Roman"/>
                <w:sz w:val="24"/>
                <w:szCs w:val="24"/>
              </w:rPr>
              <w:t>5. Рассмотрение инвестиционной программы МУП «КБУ» «Развитие централизованных систем теплоснабжения на 2020-2022 годы».</w:t>
            </w:r>
          </w:p>
        </w:tc>
      </w:tr>
    </w:tbl>
    <w:p w14:paraId="2B72D3A7" w14:textId="77777777" w:rsidR="003F4CFF" w:rsidRDefault="003F4CFF" w:rsidP="003F4CFF">
      <w:pPr>
        <w:widowControl w:val="0"/>
        <w:autoSpaceDE w:val="0"/>
        <w:autoSpaceDN w:val="0"/>
        <w:adjustRightInd w:val="0"/>
        <w:jc w:val="both"/>
        <w:rPr>
          <w:rFonts w:ascii="Times New Roman" w:eastAsia="Times New Roman" w:hAnsi="Times New Roman" w:cs="Times New Roman"/>
          <w:sz w:val="28"/>
          <w:szCs w:val="28"/>
        </w:rPr>
      </w:pPr>
    </w:p>
    <w:p w14:paraId="6F2E8256" w14:textId="77777777" w:rsidR="003F4CFF" w:rsidRDefault="003F4CFF" w:rsidP="003F4CFF">
      <w:pPr>
        <w:widowControl w:val="0"/>
        <w:autoSpaceDE w:val="0"/>
        <w:autoSpaceDN w:val="0"/>
        <w:adjustRightInd w:val="0"/>
        <w:ind w:firstLine="567"/>
        <w:jc w:val="both"/>
        <w:rPr>
          <w:rFonts w:ascii="Times New Roman" w:eastAsia="Times New Roman" w:hAnsi="Times New Roman" w:cs="Times New Roman"/>
          <w:sz w:val="28"/>
          <w:szCs w:val="28"/>
        </w:rPr>
      </w:pPr>
      <w:r w:rsidRPr="006E4395">
        <w:rPr>
          <w:rFonts w:ascii="Times New Roman" w:eastAsia="Times New Roman" w:hAnsi="Times New Roman" w:cs="Times New Roman"/>
          <w:sz w:val="28"/>
          <w:szCs w:val="28"/>
        </w:rPr>
        <w:t>Протоколы заседаний Совета размещен</w:t>
      </w:r>
      <w:r>
        <w:rPr>
          <w:rFonts w:ascii="Times New Roman" w:eastAsia="Times New Roman" w:hAnsi="Times New Roman" w:cs="Times New Roman"/>
          <w:sz w:val="28"/>
          <w:szCs w:val="28"/>
        </w:rPr>
        <w:t>ы</w:t>
      </w:r>
      <w:r w:rsidRPr="006E4395">
        <w:rPr>
          <w:rFonts w:ascii="Times New Roman" w:eastAsia="Times New Roman" w:hAnsi="Times New Roman" w:cs="Times New Roman"/>
          <w:sz w:val="28"/>
          <w:szCs w:val="28"/>
        </w:rPr>
        <w:t xml:space="preserve"> на официальном сайте министерства эко</w:t>
      </w:r>
      <w:r>
        <w:rPr>
          <w:rFonts w:ascii="Times New Roman" w:eastAsia="Times New Roman" w:hAnsi="Times New Roman" w:cs="Times New Roman"/>
          <w:sz w:val="28"/>
          <w:szCs w:val="28"/>
        </w:rPr>
        <w:t>номического развития и И</w:t>
      </w:r>
      <w:r w:rsidRPr="006E4395">
        <w:rPr>
          <w:rFonts w:ascii="Times New Roman" w:eastAsia="Times New Roman" w:hAnsi="Times New Roman" w:cs="Times New Roman"/>
          <w:sz w:val="28"/>
          <w:szCs w:val="28"/>
        </w:rPr>
        <w:t xml:space="preserve">нвестиционном портале Новосибирской области </w:t>
      </w:r>
      <w:hyperlink r:id="rId170" w:history="1">
        <w:r w:rsidRPr="006E4395">
          <w:rPr>
            <w:rFonts w:ascii="Times New Roman" w:eastAsia="Times New Roman" w:hAnsi="Times New Roman" w:cs="Times New Roman"/>
            <w:color w:val="0000FF"/>
            <w:sz w:val="28"/>
            <w:szCs w:val="28"/>
            <w:u w:val="single"/>
          </w:rPr>
          <w:t>https://econom.nso.ru/page/1355</w:t>
        </w:r>
      </w:hyperlink>
      <w:r w:rsidRPr="006E4395">
        <w:rPr>
          <w:rFonts w:ascii="Times New Roman" w:eastAsia="Times New Roman" w:hAnsi="Times New Roman" w:cs="Times New Roman"/>
          <w:color w:val="0000FF"/>
          <w:sz w:val="28"/>
          <w:szCs w:val="28"/>
          <w:u w:val="single"/>
        </w:rPr>
        <w:t xml:space="preserve">; </w:t>
      </w:r>
      <w:hyperlink r:id="rId171" w:history="1">
        <w:r w:rsidRPr="006E4395">
          <w:rPr>
            <w:rFonts w:ascii="Times New Roman" w:eastAsia="Times New Roman" w:hAnsi="Times New Roman" w:cs="Times New Roman"/>
            <w:color w:val="0000FF"/>
            <w:sz w:val="28"/>
            <w:szCs w:val="28"/>
            <w:u w:val="single"/>
          </w:rPr>
          <w:t>http://invest.nso.ru/ru/page/912</w:t>
        </w:r>
      </w:hyperlink>
      <w:r w:rsidRPr="006E4395">
        <w:rPr>
          <w:rFonts w:ascii="Times New Roman" w:eastAsia="Times New Roman" w:hAnsi="Times New Roman" w:cs="Times New Roman"/>
          <w:color w:val="0000FF"/>
          <w:sz w:val="28"/>
          <w:szCs w:val="28"/>
          <w:u w:val="single"/>
        </w:rPr>
        <w:t>)</w:t>
      </w:r>
      <w:r w:rsidRPr="006E4395">
        <w:rPr>
          <w:rFonts w:ascii="Times New Roman" w:eastAsia="Times New Roman" w:hAnsi="Times New Roman" w:cs="Times New Roman"/>
          <w:sz w:val="28"/>
          <w:szCs w:val="28"/>
        </w:rPr>
        <w:t>.</w:t>
      </w:r>
    </w:p>
    <w:p w14:paraId="664B00D2" w14:textId="77777777" w:rsidR="003F4CFF" w:rsidRPr="007D4394" w:rsidRDefault="003F4CFF" w:rsidP="003F4CFF">
      <w:pPr>
        <w:rPr>
          <w:rFonts w:ascii="Times New Roman" w:hAnsi="Times New Roman" w:cs="Times New Roman"/>
          <w:sz w:val="28"/>
          <w:szCs w:val="28"/>
        </w:rPr>
      </w:pPr>
    </w:p>
    <w:p w14:paraId="666B6190" w14:textId="77777777" w:rsidR="003F4CFF" w:rsidRPr="004F669B" w:rsidRDefault="003F4CFF" w:rsidP="003F4CFF">
      <w:pPr>
        <w:pStyle w:val="ac"/>
        <w:ind w:firstLine="567"/>
        <w:jc w:val="both"/>
        <w:outlineLvl w:val="2"/>
        <w:rPr>
          <w:rFonts w:ascii="Times New Roman" w:hAnsi="Times New Roman"/>
          <w:b/>
        </w:rPr>
      </w:pPr>
      <w:bookmarkStart w:id="144" w:name="_Toc31983992"/>
      <w:bookmarkStart w:id="145" w:name="_Toc32240332"/>
      <w:bookmarkStart w:id="146" w:name="_Toc32421917"/>
      <w:bookmarkStart w:id="147" w:name="_Toc34129197"/>
      <w:r w:rsidRPr="004F669B">
        <w:rPr>
          <w:rFonts w:ascii="Times New Roman" w:hAnsi="Times New Roman"/>
          <w:b/>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bookmarkEnd w:id="144"/>
      <w:bookmarkEnd w:id="145"/>
      <w:bookmarkEnd w:id="146"/>
      <w:bookmarkEnd w:id="147"/>
    </w:p>
    <w:p w14:paraId="408AB305" w14:textId="77777777" w:rsidR="003F4CFF" w:rsidRPr="00C53445"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C53445">
        <w:rPr>
          <w:rFonts w:ascii="Times New Roman" w:eastAsia="Times New Roman" w:hAnsi="Times New Roman" w:cs="Times New Roman"/>
          <w:sz w:val="28"/>
          <w:szCs w:val="28"/>
        </w:rPr>
        <w:t>Постановлением Правительства Новосибирской области от 22.12.2016 № 432-п утверждено Положение о проведении обязательного публичного технологического и ценового аудита крупных инвестиционных проектов с государственным участием Новосибирской области</w:t>
      </w:r>
      <w:r>
        <w:rPr>
          <w:rFonts w:ascii="Times New Roman" w:eastAsia="Times New Roman" w:hAnsi="Times New Roman" w:cs="Times New Roman"/>
          <w:sz w:val="28"/>
          <w:szCs w:val="28"/>
        </w:rPr>
        <w:t xml:space="preserve"> (далее – </w:t>
      </w:r>
      <w:r w:rsidRPr="0044228C">
        <w:rPr>
          <w:rFonts w:ascii="Times New Roman" w:eastAsia="Times New Roman" w:hAnsi="Times New Roman" w:cs="Times New Roman"/>
          <w:sz w:val="28"/>
          <w:szCs w:val="28"/>
        </w:rPr>
        <w:t>Положение)</w:t>
      </w:r>
      <w:r w:rsidR="00192D8B">
        <w:rPr>
          <w:rFonts w:ascii="Times New Roman" w:eastAsia="Times New Roman" w:hAnsi="Times New Roman" w:cs="Times New Roman"/>
          <w:sz w:val="28"/>
          <w:szCs w:val="28"/>
        </w:rPr>
        <w:t xml:space="preserve"> (Приложение 17)</w:t>
      </w:r>
      <w:r w:rsidRPr="0044228C">
        <w:rPr>
          <w:rFonts w:ascii="Times New Roman" w:eastAsia="Times New Roman" w:hAnsi="Times New Roman" w:cs="Times New Roman"/>
          <w:sz w:val="28"/>
          <w:szCs w:val="28"/>
        </w:rPr>
        <w:t>.</w:t>
      </w:r>
      <w:r w:rsidRPr="00C53445">
        <w:rPr>
          <w:rFonts w:ascii="Times New Roman" w:eastAsia="Times New Roman" w:hAnsi="Times New Roman" w:cs="Times New Roman"/>
          <w:sz w:val="28"/>
          <w:szCs w:val="28"/>
        </w:rPr>
        <w:t xml:space="preserve"> </w:t>
      </w:r>
    </w:p>
    <w:p w14:paraId="24029B43" w14:textId="77777777" w:rsidR="003F4CFF" w:rsidRPr="00C53445"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C53445">
        <w:rPr>
          <w:rFonts w:ascii="Times New Roman" w:eastAsia="Times New Roman" w:hAnsi="Times New Roman" w:cs="Times New Roman"/>
          <w:sz w:val="28"/>
          <w:szCs w:val="28"/>
        </w:rPr>
        <w:t>Данное Положение устанавливает порядок проведения обязательного публичного технологического и ценового аудита крупных инвестиционных проектов с государственным участием Новосибирской области в отношении объектов капитального строительства, финансирование строительства, реконструкции или технического перевооружения которых планируется осуществлять полностью или частично за счет средств областного бюджета Новосибирской области, за исключением объектов капитального строительства, начало строительства, реконструкции или технического перевооружения которых осуществлялось до 1 января 2017 года.</w:t>
      </w:r>
    </w:p>
    <w:p w14:paraId="130B2805" w14:textId="77777777" w:rsidR="003F4CFF" w:rsidRPr="00C53445"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C53445">
        <w:rPr>
          <w:rFonts w:ascii="Times New Roman" w:eastAsia="Times New Roman" w:hAnsi="Times New Roman" w:cs="Times New Roman"/>
          <w:sz w:val="28"/>
          <w:szCs w:val="28"/>
        </w:rPr>
        <w:t>Основная миссия проведения публичного технологического и ценового аудита крупных инвестиционных проектов – повышение эффективности крупных инвестиционных проектов с государственным участием, а также проектов субъектов естественных монополий.</w:t>
      </w:r>
    </w:p>
    <w:p w14:paraId="2E0AF0A7" w14:textId="77777777" w:rsidR="003F4CFF" w:rsidRPr="00C53445"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C53445">
        <w:rPr>
          <w:rFonts w:ascii="Times New Roman" w:eastAsia="Times New Roman" w:hAnsi="Times New Roman" w:cs="Times New Roman"/>
          <w:sz w:val="28"/>
          <w:szCs w:val="28"/>
        </w:rPr>
        <w:t>Проведение технологического и ценового аудита крупных инвестиционных проектов направлено на достижение следующих целей:</w:t>
      </w:r>
    </w:p>
    <w:p w14:paraId="74BF1048" w14:textId="2DD979C1" w:rsidR="003F4CFF" w:rsidRPr="00C53445" w:rsidRDefault="00B467C0" w:rsidP="003F4CFF">
      <w:pPr>
        <w:autoSpaceDE w:val="0"/>
        <w:autoSpaceDN w:val="0"/>
        <w:adjustRightInd w:val="0"/>
        <w:ind w:firstLine="567"/>
        <w:jc w:val="both"/>
        <w:rPr>
          <w:rFonts w:ascii="Times New Roman" w:eastAsia="Times New Roman" w:hAnsi="Times New Roman" w:cs="Times New Roman"/>
          <w:sz w:val="28"/>
          <w:szCs w:val="28"/>
        </w:rPr>
      </w:pPr>
      <w:r w:rsidRPr="00C53445" w:rsidDel="00B467C0">
        <w:rPr>
          <w:rFonts w:ascii="Times New Roman" w:eastAsia="Times New Roman" w:hAnsi="Times New Roman" w:cs="Times New Roman"/>
          <w:sz w:val="28"/>
          <w:szCs w:val="28"/>
        </w:rPr>
        <w:t xml:space="preserve"> </w:t>
      </w:r>
      <w:r w:rsidR="003F4CFF" w:rsidRPr="00C53445">
        <w:rPr>
          <w:rFonts w:ascii="Times New Roman" w:eastAsia="Times New Roman" w:hAnsi="Times New Roman" w:cs="Times New Roman"/>
          <w:sz w:val="28"/>
          <w:szCs w:val="28"/>
        </w:rPr>
        <w:t>оценка целесообразности реализации проекта;</w:t>
      </w:r>
    </w:p>
    <w:p w14:paraId="60E07D49" w14:textId="0B209A37" w:rsidR="003F4CFF" w:rsidRPr="00C53445"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C53445">
        <w:rPr>
          <w:rFonts w:ascii="Times New Roman" w:eastAsia="Times New Roman" w:hAnsi="Times New Roman" w:cs="Times New Roman"/>
          <w:sz w:val="28"/>
          <w:szCs w:val="28"/>
        </w:rPr>
        <w:lastRenderedPageBreak/>
        <w:t>оптимизация проектных и технологических решений;</w:t>
      </w:r>
    </w:p>
    <w:p w14:paraId="1F333F59" w14:textId="7CC8D853" w:rsidR="003F4CFF" w:rsidRPr="00C53445"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C53445">
        <w:rPr>
          <w:rFonts w:ascii="Times New Roman" w:eastAsia="Times New Roman" w:hAnsi="Times New Roman" w:cs="Times New Roman"/>
          <w:sz w:val="28"/>
          <w:szCs w:val="28"/>
        </w:rPr>
        <w:t>повышение эффективности использования бюджетных средств;</w:t>
      </w:r>
    </w:p>
    <w:p w14:paraId="0C120D68" w14:textId="401FF462" w:rsidR="003F4CFF" w:rsidRPr="00C53445"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C53445">
        <w:rPr>
          <w:rFonts w:ascii="Times New Roman" w:eastAsia="Times New Roman" w:hAnsi="Times New Roman" w:cs="Times New Roman"/>
          <w:sz w:val="28"/>
          <w:szCs w:val="28"/>
        </w:rPr>
        <w:t>снижение стоимости и сокращение сроков реализации инвестиционного проекта.</w:t>
      </w:r>
    </w:p>
    <w:p w14:paraId="2B98FA9E" w14:textId="77777777" w:rsidR="003F4CFF" w:rsidRPr="00C53445" w:rsidRDefault="003F4CFF" w:rsidP="003F4CFF">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Положению </w:t>
      </w:r>
      <w:r w:rsidRPr="00C53445">
        <w:rPr>
          <w:rFonts w:ascii="Times New Roman" w:eastAsia="Times New Roman" w:hAnsi="Times New Roman" w:cs="Times New Roman"/>
          <w:sz w:val="28"/>
          <w:szCs w:val="28"/>
        </w:rPr>
        <w:t>обязательный публичный технологический и ценовой аудит инвестиционных проектов с 2018 года должен проводиться в отношении объектов капитального строи</w:t>
      </w:r>
      <w:r>
        <w:rPr>
          <w:rFonts w:ascii="Times New Roman" w:eastAsia="Times New Roman" w:hAnsi="Times New Roman" w:cs="Times New Roman"/>
          <w:sz w:val="28"/>
          <w:szCs w:val="28"/>
        </w:rPr>
        <w:t>тельства сметной стоимостью 1,5 </w:t>
      </w:r>
      <w:r w:rsidRPr="00C53445">
        <w:rPr>
          <w:rFonts w:ascii="Times New Roman" w:eastAsia="Times New Roman" w:hAnsi="Times New Roman" w:cs="Times New Roman"/>
          <w:sz w:val="28"/>
          <w:szCs w:val="28"/>
        </w:rPr>
        <w:t>млрд. рублей и более.</w:t>
      </w:r>
    </w:p>
    <w:p w14:paraId="26D33CD7" w14:textId="77777777" w:rsidR="003F4CFF" w:rsidRDefault="003F4CFF" w:rsidP="003F4CFF">
      <w:pPr>
        <w:pStyle w:val="Default"/>
        <w:ind w:firstLine="567"/>
        <w:jc w:val="both"/>
        <w:rPr>
          <w:sz w:val="28"/>
          <w:szCs w:val="28"/>
        </w:rPr>
      </w:pPr>
      <w:r w:rsidRPr="003C40A8">
        <w:rPr>
          <w:rFonts w:ascii="Times New Roman" w:eastAsia="Times New Roman" w:hAnsi="Times New Roman" w:cs="Times New Roman"/>
          <w:color w:val="auto"/>
          <w:sz w:val="28"/>
          <w:szCs w:val="28"/>
        </w:rPr>
        <w:t>В 2019 году публичный</w:t>
      </w:r>
      <w:r w:rsidRPr="004B7FBC">
        <w:rPr>
          <w:sz w:val="28"/>
          <w:szCs w:val="28"/>
        </w:rPr>
        <w:t xml:space="preserve"> технологический и цено</w:t>
      </w:r>
      <w:r>
        <w:rPr>
          <w:sz w:val="28"/>
          <w:szCs w:val="28"/>
        </w:rPr>
        <w:t>вой аудит проведен по 3 инвестиционным проектам</w:t>
      </w:r>
      <w:r w:rsidRPr="004B7FBC">
        <w:rPr>
          <w:sz w:val="28"/>
          <w:szCs w:val="28"/>
        </w:rPr>
        <w:t xml:space="preserve"> </w:t>
      </w:r>
      <w:r>
        <w:rPr>
          <w:sz w:val="28"/>
          <w:szCs w:val="28"/>
        </w:rPr>
        <w:t xml:space="preserve">(2 проекта – в </w:t>
      </w:r>
      <w:r w:rsidRPr="004B7FBC">
        <w:rPr>
          <w:sz w:val="28"/>
          <w:szCs w:val="28"/>
        </w:rPr>
        <w:t>сфере физической культуры и спорта и</w:t>
      </w:r>
      <w:r>
        <w:rPr>
          <w:sz w:val="28"/>
          <w:szCs w:val="28"/>
        </w:rPr>
        <w:t xml:space="preserve"> 1 проект – в сфере здравоохранения): </w:t>
      </w:r>
    </w:p>
    <w:p w14:paraId="10D1DBDA" w14:textId="77777777" w:rsidR="003F4CFF" w:rsidRDefault="003F4CFF" w:rsidP="003F4CFF">
      <w:pPr>
        <w:pStyle w:val="Default"/>
        <w:ind w:firstLine="567"/>
        <w:jc w:val="both"/>
        <w:rPr>
          <w:sz w:val="28"/>
          <w:szCs w:val="28"/>
        </w:rPr>
      </w:pPr>
      <w:r>
        <w:rPr>
          <w:sz w:val="28"/>
          <w:szCs w:val="28"/>
        </w:rPr>
        <w:t xml:space="preserve">1. Инвестиционный проект «Многофункциональная ледовая арена по ул. Немировича-Данченко в городе Новосибирске». </w:t>
      </w:r>
    </w:p>
    <w:p w14:paraId="5DEBE235" w14:textId="77777777" w:rsidR="003F4CFF" w:rsidRDefault="003F4CFF" w:rsidP="003F4CFF">
      <w:pPr>
        <w:pStyle w:val="Default"/>
        <w:ind w:firstLine="567"/>
        <w:jc w:val="both"/>
        <w:rPr>
          <w:sz w:val="28"/>
          <w:szCs w:val="28"/>
        </w:rPr>
      </w:pPr>
      <w:r>
        <w:rPr>
          <w:sz w:val="28"/>
          <w:szCs w:val="28"/>
        </w:rPr>
        <w:t>2. Инвестиционный проект «Региональный центр волейбола в г. Новосибирске».</w:t>
      </w:r>
    </w:p>
    <w:p w14:paraId="3D51E4F2" w14:textId="77777777" w:rsidR="003F4CFF" w:rsidRDefault="003F4CFF" w:rsidP="003F4CFF">
      <w:pPr>
        <w:pStyle w:val="Default"/>
        <w:ind w:firstLine="567"/>
        <w:jc w:val="both"/>
        <w:rPr>
          <w:sz w:val="28"/>
          <w:szCs w:val="28"/>
        </w:rPr>
      </w:pPr>
      <w:r>
        <w:rPr>
          <w:sz w:val="28"/>
          <w:szCs w:val="28"/>
        </w:rPr>
        <w:t>3. Инвестиционный проект «Реконструкция и оснащение акушерского корпуса Государственной Новосибирской областной клинической больницы для размещения перинатального центра Новосибирской области.</w:t>
      </w:r>
    </w:p>
    <w:p w14:paraId="09C8DBA7" w14:textId="77777777" w:rsidR="003F4CFF" w:rsidRDefault="003F4CFF" w:rsidP="003F4CFF">
      <w:pPr>
        <w:pStyle w:val="Default"/>
        <w:ind w:firstLine="567"/>
        <w:jc w:val="both"/>
        <w:rPr>
          <w:sz w:val="28"/>
          <w:szCs w:val="28"/>
        </w:rPr>
      </w:pPr>
      <w:r>
        <w:rPr>
          <w:sz w:val="28"/>
          <w:szCs w:val="28"/>
        </w:rPr>
        <w:t xml:space="preserve">Заявителем проведения ТЦА по этим инвестиционным проектам выступило государственное казенное учреждение Новосибирской области «Управление капитального строительства» (ГКУ НСО «УКС»). </w:t>
      </w:r>
    </w:p>
    <w:p w14:paraId="799F50EF" w14:textId="77777777" w:rsidR="003F4CFF" w:rsidRDefault="003F4CFF" w:rsidP="003F4CFF">
      <w:pPr>
        <w:pStyle w:val="Default"/>
        <w:ind w:firstLine="567"/>
        <w:jc w:val="both"/>
        <w:rPr>
          <w:sz w:val="28"/>
          <w:szCs w:val="28"/>
        </w:rPr>
      </w:pPr>
      <w:r w:rsidRPr="00E817F4">
        <w:rPr>
          <w:b/>
          <w:sz w:val="28"/>
          <w:szCs w:val="28"/>
        </w:rPr>
        <w:t xml:space="preserve">Публичный </w:t>
      </w:r>
      <w:r w:rsidRPr="00E817F4">
        <w:rPr>
          <w:rFonts w:ascii="Times New Roman" w:eastAsia="Times New Roman" w:hAnsi="Times New Roman" w:cs="Times New Roman"/>
          <w:b/>
          <w:sz w:val="28"/>
          <w:szCs w:val="28"/>
        </w:rPr>
        <w:t xml:space="preserve">технологический и ценовой аудит инвестиционного проекта </w:t>
      </w:r>
      <w:r w:rsidRPr="00E817F4">
        <w:rPr>
          <w:b/>
          <w:sz w:val="28"/>
          <w:szCs w:val="28"/>
        </w:rPr>
        <w:t>«Многофункциональная ледовая арена по ул. Немировича-Данченко в городе Новосибирске»</w:t>
      </w:r>
      <w:r>
        <w:rPr>
          <w:sz w:val="28"/>
          <w:szCs w:val="28"/>
        </w:rPr>
        <w:t xml:space="preserve"> проведен ФГБОУ ВО «Национальный исследовательский Московский государственный строительный университет», по результатам которого выдано положительное заключение от 29.03.2019.</w:t>
      </w:r>
    </w:p>
    <w:p w14:paraId="6FF0D4A9" w14:textId="77777777" w:rsidR="003F4CFF" w:rsidRDefault="003F4CFF" w:rsidP="003F4CFF">
      <w:pPr>
        <w:pStyle w:val="Default"/>
        <w:ind w:firstLine="567"/>
        <w:jc w:val="both"/>
        <w:rPr>
          <w:sz w:val="28"/>
          <w:szCs w:val="28"/>
        </w:rPr>
      </w:pPr>
      <w:r>
        <w:rPr>
          <w:sz w:val="28"/>
          <w:szCs w:val="28"/>
        </w:rPr>
        <w:t xml:space="preserve">Проведенный технологический и ценовой аудит показал, что в ходе реализации Проекта созданы все предпосылки для достижения поставленных целей, в виду уникальности объекта. Обоснован выбор технологических и конструктивных решений по созданию в рамках инвестиционного проекта объекта капитального строительства, соответствующего </w:t>
      </w:r>
      <w:r w:rsidRPr="0069565C">
        <w:rPr>
          <w:sz w:val="28"/>
          <w:szCs w:val="28"/>
        </w:rPr>
        <w:t>современному уровню развития</w:t>
      </w:r>
      <w:r>
        <w:rPr>
          <w:sz w:val="28"/>
          <w:szCs w:val="28"/>
        </w:rPr>
        <w:t xml:space="preserve"> техники и технологий, современным строительным материалам и оборудованию, применяемым в строительстве, с учетом требований современных </w:t>
      </w:r>
      <w:r w:rsidRPr="0069565C">
        <w:rPr>
          <w:sz w:val="28"/>
          <w:szCs w:val="28"/>
        </w:rPr>
        <w:t>технологий производст</w:t>
      </w:r>
      <w:r>
        <w:rPr>
          <w:sz w:val="28"/>
          <w:szCs w:val="28"/>
        </w:rPr>
        <w:t xml:space="preserve">ва, необходимых для функционирования объекта капитального строительства, а также эксплуатационных расходов на реализацию инвестиционного проекта в процессе жизненного цикла в целях повышения эффективности использования бюджетных средств. Обеспечены рациональные объемно-планировочные решения с учетом сложившихся градостроительных, природно-климатических условий. Технологические решения обеспечивают соблюдение нормативных требований к функционированию ледовой </w:t>
      </w:r>
      <w:r w:rsidRPr="0069565C">
        <w:rPr>
          <w:sz w:val="28"/>
          <w:szCs w:val="28"/>
        </w:rPr>
        <w:t>арены.</w:t>
      </w:r>
    </w:p>
    <w:p w14:paraId="051B50B5" w14:textId="77777777" w:rsidR="003F4CFF" w:rsidRDefault="003F4CFF" w:rsidP="003F4CFF">
      <w:pPr>
        <w:pStyle w:val="Default"/>
        <w:ind w:firstLine="567"/>
        <w:jc w:val="both"/>
        <w:rPr>
          <w:sz w:val="28"/>
          <w:szCs w:val="28"/>
        </w:rPr>
      </w:pPr>
      <w:r>
        <w:rPr>
          <w:sz w:val="28"/>
          <w:szCs w:val="28"/>
        </w:rPr>
        <w:t xml:space="preserve">Выбор основного технологического оборудования оптимален. </w:t>
      </w:r>
    </w:p>
    <w:p w14:paraId="03F3E63B" w14:textId="77777777" w:rsidR="003F4CFF" w:rsidRDefault="003F4CFF" w:rsidP="003F4CFF">
      <w:pPr>
        <w:pStyle w:val="Default"/>
        <w:ind w:firstLine="567"/>
        <w:jc w:val="both"/>
        <w:rPr>
          <w:sz w:val="28"/>
          <w:szCs w:val="28"/>
        </w:rPr>
      </w:pPr>
      <w:r>
        <w:rPr>
          <w:sz w:val="28"/>
          <w:szCs w:val="28"/>
        </w:rPr>
        <w:t xml:space="preserve">Сметная документация сформирована согласно приказа Министерства физической культуры и спорта Новосибирской области от 07.12.2018 №1152 «О принятии Решения о подготовке и реализации бюджетных инвестиций в объекты </w:t>
      </w:r>
      <w:r>
        <w:rPr>
          <w:sz w:val="28"/>
          <w:szCs w:val="28"/>
        </w:rPr>
        <w:lastRenderedPageBreak/>
        <w:t xml:space="preserve">капитального строительства государственной собственности Новосибирской области и на </w:t>
      </w:r>
      <w:r w:rsidRPr="0069565C">
        <w:rPr>
          <w:sz w:val="28"/>
          <w:szCs w:val="28"/>
        </w:rPr>
        <w:t>приобретени</w:t>
      </w:r>
      <w:r>
        <w:rPr>
          <w:sz w:val="28"/>
          <w:szCs w:val="28"/>
        </w:rPr>
        <w:t xml:space="preserve">е объектов недвижимого имущества в </w:t>
      </w:r>
      <w:r w:rsidRPr="0069565C">
        <w:rPr>
          <w:sz w:val="28"/>
          <w:szCs w:val="28"/>
        </w:rPr>
        <w:t>государственную собственность</w:t>
      </w:r>
      <w:r>
        <w:rPr>
          <w:sz w:val="28"/>
          <w:szCs w:val="28"/>
        </w:rPr>
        <w:t xml:space="preserve"> Новосибирской области». Состав сметной документации содержит перечень оборудования с указанием цен и подтверждающими документами, ведомость объемов работ, конъюнктурный </w:t>
      </w:r>
      <w:r w:rsidRPr="0069565C">
        <w:rPr>
          <w:sz w:val="28"/>
          <w:szCs w:val="28"/>
        </w:rPr>
        <w:t>ана</w:t>
      </w:r>
      <w:r>
        <w:rPr>
          <w:sz w:val="28"/>
          <w:szCs w:val="28"/>
        </w:rPr>
        <w:t xml:space="preserve">лиз выбора наиболее экономичного поставщика. </w:t>
      </w:r>
    </w:p>
    <w:p w14:paraId="3ED41AEF" w14:textId="77777777" w:rsidR="003F4CFF" w:rsidRDefault="003F4CFF" w:rsidP="003F4CFF">
      <w:pPr>
        <w:pStyle w:val="Default"/>
        <w:ind w:firstLine="567"/>
        <w:jc w:val="both"/>
        <w:rPr>
          <w:sz w:val="28"/>
          <w:szCs w:val="28"/>
        </w:rPr>
      </w:pPr>
      <w:r>
        <w:rPr>
          <w:sz w:val="28"/>
          <w:szCs w:val="28"/>
        </w:rPr>
        <w:t xml:space="preserve">Риски реализации инвестиционного проекта ввиду его высокой социальной необходимости расцениваются незначительными, а финансирование предусматривается за счет средств Федерального бюджета, что исключает при правильном планировании срыв сроков строительства, поставки оборудования и проведения </w:t>
      </w:r>
      <w:r w:rsidRPr="0069565C">
        <w:rPr>
          <w:sz w:val="28"/>
          <w:szCs w:val="28"/>
        </w:rPr>
        <w:t>пуско-наладочных работ.</w:t>
      </w:r>
      <w:r>
        <w:rPr>
          <w:sz w:val="28"/>
          <w:szCs w:val="28"/>
        </w:rPr>
        <w:t xml:space="preserve"> </w:t>
      </w:r>
    </w:p>
    <w:p w14:paraId="6A1A10D3" w14:textId="77777777" w:rsidR="003F4CFF" w:rsidRDefault="003F4CFF" w:rsidP="003F4CFF">
      <w:pPr>
        <w:pStyle w:val="Default"/>
        <w:ind w:firstLine="567"/>
        <w:jc w:val="both"/>
        <w:rPr>
          <w:sz w:val="28"/>
          <w:szCs w:val="28"/>
        </w:rPr>
      </w:pPr>
      <w:r>
        <w:rPr>
          <w:sz w:val="28"/>
          <w:szCs w:val="28"/>
        </w:rPr>
        <w:t>П</w:t>
      </w:r>
      <w:r w:rsidRPr="003D09F2">
        <w:rPr>
          <w:sz w:val="28"/>
          <w:szCs w:val="28"/>
        </w:rPr>
        <w:t>редставленные проектные</w:t>
      </w:r>
      <w:r>
        <w:rPr>
          <w:sz w:val="28"/>
          <w:szCs w:val="28"/>
        </w:rPr>
        <w:t xml:space="preserve"> </w:t>
      </w:r>
      <w:r w:rsidRPr="003D09F2">
        <w:rPr>
          <w:sz w:val="28"/>
          <w:szCs w:val="28"/>
        </w:rPr>
        <w:t>решения, принятые</w:t>
      </w:r>
      <w:r>
        <w:rPr>
          <w:sz w:val="28"/>
          <w:szCs w:val="28"/>
        </w:rPr>
        <w:t xml:space="preserve"> </w:t>
      </w:r>
      <w:r w:rsidRPr="003D09F2">
        <w:rPr>
          <w:sz w:val="28"/>
          <w:szCs w:val="28"/>
        </w:rPr>
        <w:t>архитектурно-планировочные,</w:t>
      </w:r>
      <w:r>
        <w:rPr>
          <w:sz w:val="28"/>
          <w:szCs w:val="28"/>
        </w:rPr>
        <w:t xml:space="preserve"> </w:t>
      </w:r>
      <w:r w:rsidRPr="003D09F2">
        <w:rPr>
          <w:sz w:val="28"/>
          <w:szCs w:val="28"/>
        </w:rPr>
        <w:t>конструктивные, инженерно-технические и технологические</w:t>
      </w:r>
      <w:r>
        <w:rPr>
          <w:sz w:val="28"/>
          <w:szCs w:val="28"/>
        </w:rPr>
        <w:t xml:space="preserve"> </w:t>
      </w:r>
      <w:r w:rsidRPr="003D09F2">
        <w:rPr>
          <w:sz w:val="28"/>
          <w:szCs w:val="28"/>
        </w:rPr>
        <w:t>решения, соответствуют</w:t>
      </w:r>
      <w:r>
        <w:rPr>
          <w:sz w:val="28"/>
          <w:szCs w:val="28"/>
        </w:rPr>
        <w:t xml:space="preserve"> </w:t>
      </w:r>
      <w:r w:rsidRPr="003D09F2">
        <w:rPr>
          <w:sz w:val="28"/>
          <w:szCs w:val="28"/>
        </w:rPr>
        <w:t>заданию на проектирование</w:t>
      </w:r>
      <w:r>
        <w:rPr>
          <w:sz w:val="28"/>
          <w:szCs w:val="28"/>
        </w:rPr>
        <w:t xml:space="preserve"> </w:t>
      </w:r>
      <w:r w:rsidRPr="003D09F2">
        <w:rPr>
          <w:sz w:val="28"/>
          <w:szCs w:val="28"/>
        </w:rPr>
        <w:t>объекта:</w:t>
      </w:r>
      <w:r>
        <w:rPr>
          <w:sz w:val="28"/>
          <w:szCs w:val="28"/>
        </w:rPr>
        <w:t xml:space="preserve"> </w:t>
      </w:r>
      <w:r w:rsidRPr="003D09F2">
        <w:rPr>
          <w:sz w:val="28"/>
          <w:szCs w:val="28"/>
        </w:rPr>
        <w:t>«Многофункциональная ледовая</w:t>
      </w:r>
      <w:r>
        <w:rPr>
          <w:sz w:val="28"/>
          <w:szCs w:val="28"/>
        </w:rPr>
        <w:t xml:space="preserve"> </w:t>
      </w:r>
      <w:r w:rsidRPr="003D09F2">
        <w:rPr>
          <w:sz w:val="28"/>
          <w:szCs w:val="28"/>
        </w:rPr>
        <w:t>арена по ул. Немировича-Данченко в городе</w:t>
      </w:r>
      <w:r>
        <w:rPr>
          <w:sz w:val="28"/>
          <w:szCs w:val="28"/>
        </w:rPr>
        <w:t xml:space="preserve"> </w:t>
      </w:r>
      <w:r w:rsidRPr="003D09F2">
        <w:rPr>
          <w:sz w:val="28"/>
          <w:szCs w:val="28"/>
        </w:rPr>
        <w:t>Новосибирске», а также</w:t>
      </w:r>
      <w:r>
        <w:rPr>
          <w:sz w:val="28"/>
          <w:szCs w:val="28"/>
        </w:rPr>
        <w:t xml:space="preserve"> </w:t>
      </w:r>
      <w:r w:rsidRPr="003D09F2">
        <w:rPr>
          <w:sz w:val="28"/>
          <w:szCs w:val="28"/>
        </w:rPr>
        <w:t>современному отечественному</w:t>
      </w:r>
      <w:r>
        <w:rPr>
          <w:sz w:val="28"/>
          <w:szCs w:val="28"/>
        </w:rPr>
        <w:t xml:space="preserve"> </w:t>
      </w:r>
      <w:r w:rsidRPr="003D09F2">
        <w:rPr>
          <w:sz w:val="28"/>
          <w:szCs w:val="28"/>
        </w:rPr>
        <w:t>уровню проектирования с</w:t>
      </w:r>
      <w:r>
        <w:rPr>
          <w:sz w:val="28"/>
          <w:szCs w:val="28"/>
        </w:rPr>
        <w:t xml:space="preserve"> </w:t>
      </w:r>
      <w:r w:rsidRPr="003D09F2">
        <w:rPr>
          <w:sz w:val="28"/>
          <w:szCs w:val="28"/>
        </w:rPr>
        <w:t>учетом специфики</w:t>
      </w:r>
      <w:r>
        <w:rPr>
          <w:sz w:val="28"/>
          <w:szCs w:val="28"/>
        </w:rPr>
        <w:t xml:space="preserve"> </w:t>
      </w:r>
      <w:r w:rsidRPr="003D09F2">
        <w:rPr>
          <w:sz w:val="28"/>
          <w:szCs w:val="28"/>
        </w:rPr>
        <w:t>строительства, а именно:</w:t>
      </w:r>
      <w:r>
        <w:rPr>
          <w:sz w:val="28"/>
          <w:szCs w:val="28"/>
        </w:rPr>
        <w:t xml:space="preserve"> </w:t>
      </w:r>
    </w:p>
    <w:p w14:paraId="05044BDE" w14:textId="77777777" w:rsidR="003F4CFF" w:rsidRPr="00E817F4" w:rsidRDefault="003F4CFF" w:rsidP="003F4CFF">
      <w:pPr>
        <w:pStyle w:val="Default"/>
        <w:ind w:firstLine="567"/>
        <w:jc w:val="both"/>
        <w:rPr>
          <w:sz w:val="28"/>
          <w:szCs w:val="28"/>
        </w:rPr>
      </w:pPr>
      <w:r w:rsidRPr="003D09F2">
        <w:rPr>
          <w:sz w:val="28"/>
          <w:szCs w:val="28"/>
        </w:rPr>
        <w:t>обеспечение соответствия</w:t>
      </w:r>
      <w:r>
        <w:rPr>
          <w:sz w:val="28"/>
          <w:szCs w:val="28"/>
        </w:rPr>
        <w:t xml:space="preserve"> </w:t>
      </w:r>
      <w:r w:rsidRPr="003D09F2">
        <w:rPr>
          <w:sz w:val="28"/>
          <w:szCs w:val="28"/>
        </w:rPr>
        <w:t>состава и содержания проектной</w:t>
      </w:r>
      <w:r>
        <w:rPr>
          <w:sz w:val="28"/>
          <w:szCs w:val="28"/>
        </w:rPr>
        <w:t xml:space="preserve"> </w:t>
      </w:r>
      <w:r w:rsidRPr="003D09F2">
        <w:rPr>
          <w:sz w:val="28"/>
          <w:szCs w:val="28"/>
        </w:rPr>
        <w:t>документации требованиям</w:t>
      </w:r>
      <w:r>
        <w:rPr>
          <w:sz w:val="28"/>
          <w:szCs w:val="28"/>
        </w:rPr>
        <w:t xml:space="preserve"> </w:t>
      </w:r>
      <w:r w:rsidRPr="003D09F2">
        <w:rPr>
          <w:sz w:val="28"/>
          <w:szCs w:val="28"/>
        </w:rPr>
        <w:t>нормативных актов РФ;</w:t>
      </w:r>
    </w:p>
    <w:p w14:paraId="10DF35A1" w14:textId="77777777" w:rsidR="003F4CFF" w:rsidRPr="002E662C" w:rsidRDefault="003F4CFF" w:rsidP="003F4CFF">
      <w:pPr>
        <w:autoSpaceDE w:val="0"/>
        <w:autoSpaceDN w:val="0"/>
        <w:adjustRightInd w:val="0"/>
        <w:ind w:firstLine="567"/>
        <w:jc w:val="both"/>
        <w:rPr>
          <w:rFonts w:ascii="Times New Roman" w:hAnsi="Times New Roman" w:cs="Times New Roman"/>
          <w:sz w:val="28"/>
          <w:szCs w:val="28"/>
        </w:rPr>
      </w:pPr>
      <w:r w:rsidRPr="002E662C">
        <w:rPr>
          <w:rFonts w:ascii="Times New Roman" w:hAnsi="Times New Roman" w:cs="Times New Roman"/>
          <w:sz w:val="28"/>
          <w:szCs w:val="28"/>
        </w:rPr>
        <w:t>создание комфортной среды пребывания для спортсменов, зрителей и маломобильных групп населения;</w:t>
      </w:r>
    </w:p>
    <w:p w14:paraId="5E191AE2" w14:textId="77777777" w:rsidR="003F4CFF" w:rsidRPr="002E662C" w:rsidRDefault="003F4CFF" w:rsidP="003F4CFF">
      <w:pPr>
        <w:autoSpaceDE w:val="0"/>
        <w:autoSpaceDN w:val="0"/>
        <w:adjustRightInd w:val="0"/>
        <w:ind w:firstLine="567"/>
        <w:jc w:val="both"/>
        <w:rPr>
          <w:rFonts w:ascii="Times New Roman" w:hAnsi="Times New Roman" w:cs="Times New Roman"/>
          <w:sz w:val="28"/>
          <w:szCs w:val="28"/>
        </w:rPr>
      </w:pPr>
      <w:r w:rsidRPr="002E662C">
        <w:rPr>
          <w:rFonts w:ascii="Times New Roman" w:hAnsi="Times New Roman" w:cs="Times New Roman"/>
          <w:sz w:val="28"/>
          <w:szCs w:val="28"/>
        </w:rPr>
        <w:t>предусмотрено применение оборудования с низким уровнем шума, максимальное использование естественного освещения, тепло- и энергосберегающих технологий;</w:t>
      </w:r>
    </w:p>
    <w:p w14:paraId="04292F31" w14:textId="77777777" w:rsidR="003F4CFF" w:rsidRPr="002E662C" w:rsidRDefault="003F4CFF" w:rsidP="003F4CFF">
      <w:pPr>
        <w:autoSpaceDE w:val="0"/>
        <w:autoSpaceDN w:val="0"/>
        <w:adjustRightInd w:val="0"/>
        <w:ind w:firstLine="567"/>
        <w:jc w:val="both"/>
        <w:rPr>
          <w:rFonts w:ascii="Times New Roman" w:hAnsi="Times New Roman" w:cs="Times New Roman"/>
          <w:sz w:val="28"/>
          <w:szCs w:val="28"/>
        </w:rPr>
      </w:pPr>
      <w:r w:rsidRPr="002E662C">
        <w:rPr>
          <w:rFonts w:ascii="Times New Roman" w:hAnsi="Times New Roman" w:cs="Times New Roman"/>
          <w:sz w:val="28"/>
          <w:szCs w:val="28"/>
        </w:rPr>
        <w:t>исключение использования материалов и технологий, связанных с риском выброса озоноразрушающих веществ в атмосферу;</w:t>
      </w:r>
    </w:p>
    <w:p w14:paraId="3B040B2C" w14:textId="77777777" w:rsidR="003F4CFF" w:rsidRPr="002E662C" w:rsidRDefault="003F4CFF" w:rsidP="003F4CFF">
      <w:pPr>
        <w:autoSpaceDE w:val="0"/>
        <w:autoSpaceDN w:val="0"/>
        <w:adjustRightInd w:val="0"/>
        <w:ind w:firstLine="567"/>
        <w:jc w:val="both"/>
        <w:rPr>
          <w:rFonts w:ascii="Times New Roman" w:hAnsi="Times New Roman" w:cs="Times New Roman"/>
          <w:sz w:val="28"/>
          <w:szCs w:val="28"/>
        </w:rPr>
      </w:pPr>
      <w:r w:rsidRPr="002E662C">
        <w:rPr>
          <w:rFonts w:ascii="Times New Roman" w:hAnsi="Times New Roman" w:cs="Times New Roman"/>
          <w:sz w:val="28"/>
          <w:szCs w:val="28"/>
        </w:rPr>
        <w:t>строительные и отделочные материалы безвредны для здоровья и имеют сертификаты соответствия гигиенической и пожарной безопасности.</w:t>
      </w:r>
    </w:p>
    <w:p w14:paraId="252D5C72" w14:textId="77777777" w:rsidR="003F4CFF" w:rsidRPr="002E662C" w:rsidRDefault="003F4CFF" w:rsidP="003F4CFF">
      <w:pPr>
        <w:autoSpaceDE w:val="0"/>
        <w:autoSpaceDN w:val="0"/>
        <w:adjustRightInd w:val="0"/>
        <w:ind w:firstLine="567"/>
        <w:jc w:val="both"/>
        <w:rPr>
          <w:rFonts w:ascii="Times New Roman" w:hAnsi="Times New Roman" w:cs="Times New Roman"/>
          <w:sz w:val="28"/>
          <w:szCs w:val="28"/>
        </w:rPr>
      </w:pPr>
      <w:r w:rsidRPr="002E662C">
        <w:rPr>
          <w:rFonts w:ascii="Times New Roman" w:hAnsi="Times New Roman" w:cs="Times New Roman"/>
          <w:sz w:val="28"/>
          <w:szCs w:val="28"/>
        </w:rPr>
        <w:t>Предлагаемые архитектурные, конструктивные, инженерно-технические и технологические решения инвестиционного проекта соответствуют уровню лучших технических решений в российской и зарубежной практике с учетом специфики рассматриваемого объекта капитального строительства.</w:t>
      </w:r>
    </w:p>
    <w:p w14:paraId="58404380" w14:textId="77777777" w:rsidR="003F4CFF" w:rsidRPr="002E662C" w:rsidRDefault="003F4CFF" w:rsidP="003F4CFF">
      <w:pPr>
        <w:autoSpaceDE w:val="0"/>
        <w:autoSpaceDN w:val="0"/>
        <w:adjustRightInd w:val="0"/>
        <w:ind w:firstLine="567"/>
        <w:jc w:val="both"/>
        <w:rPr>
          <w:rFonts w:ascii="Times New Roman" w:hAnsi="Times New Roman" w:cs="Times New Roman"/>
          <w:sz w:val="28"/>
          <w:szCs w:val="28"/>
        </w:rPr>
      </w:pPr>
      <w:r w:rsidRPr="002E662C">
        <w:rPr>
          <w:rFonts w:ascii="Times New Roman" w:hAnsi="Times New Roman" w:cs="Times New Roman"/>
          <w:sz w:val="28"/>
          <w:szCs w:val="28"/>
        </w:rPr>
        <w:t>Источником финансирования строительства являются средства областного бюджета Новосибирской области (49,46%) и федерального бюджета (50,54%). Согласно представленному обоснованию экономической целесообразности, объема и сроков осуществления капитальных вложений по инвестиционному проекту, согласованному министром физической культуры и спорта Новосибирской области № 253 от 12.03.2019, предусматриваются капитальные вложения в размере 9 570 789,6 тыс. рублей в ценах соответствующих лет.</w:t>
      </w:r>
    </w:p>
    <w:p w14:paraId="346A6748" w14:textId="77777777" w:rsidR="003F4CFF" w:rsidRPr="002E662C" w:rsidRDefault="003F4CFF" w:rsidP="003F4CFF">
      <w:pPr>
        <w:autoSpaceDE w:val="0"/>
        <w:autoSpaceDN w:val="0"/>
        <w:adjustRightInd w:val="0"/>
        <w:ind w:firstLine="567"/>
        <w:jc w:val="both"/>
        <w:rPr>
          <w:rFonts w:ascii="Times New Roman" w:hAnsi="Times New Roman" w:cs="Times New Roman"/>
          <w:sz w:val="28"/>
          <w:szCs w:val="28"/>
        </w:rPr>
      </w:pPr>
      <w:r w:rsidRPr="002E662C">
        <w:rPr>
          <w:rFonts w:ascii="Times New Roman" w:hAnsi="Times New Roman" w:cs="Times New Roman"/>
          <w:sz w:val="28"/>
          <w:szCs w:val="28"/>
        </w:rPr>
        <w:t xml:space="preserve">Правилами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 утвержденными постановлением Правительства Российской Федерации от 12.08.2008 № 590, регламентировано проведение инвестиционных проектов путем сравнения стоимости инвестиционного проекта с </w:t>
      </w:r>
      <w:r w:rsidRPr="002E662C">
        <w:rPr>
          <w:rFonts w:ascii="Times New Roman" w:hAnsi="Times New Roman" w:cs="Times New Roman"/>
          <w:sz w:val="28"/>
          <w:szCs w:val="28"/>
        </w:rPr>
        <w:lastRenderedPageBreak/>
        <w:t>проектами-аналогами. Объекты-аналоги были подобраны из объектов капитального строительства, отвечающих градостроительным и объемно-планировочным требованиям, предъявляемым к современным объектам, и обеспечивающих оптимальный уровень комфорта. Проверка представленного расчета стоимости строительства проводилась на основе сравнения удельного показателя стоимости строительства (1 куб. м.) рассматриваемого инвестиционного проекта и объектов-аналогов.</w:t>
      </w:r>
    </w:p>
    <w:p w14:paraId="71091091" w14:textId="77777777" w:rsidR="003F4CFF" w:rsidRPr="002E662C" w:rsidRDefault="003F4CFF" w:rsidP="003F4CFF">
      <w:pPr>
        <w:autoSpaceDE w:val="0"/>
        <w:autoSpaceDN w:val="0"/>
        <w:adjustRightInd w:val="0"/>
        <w:ind w:firstLine="567"/>
        <w:jc w:val="both"/>
        <w:rPr>
          <w:rFonts w:ascii="Times New Roman" w:hAnsi="Times New Roman" w:cs="Times New Roman"/>
          <w:sz w:val="28"/>
          <w:szCs w:val="28"/>
        </w:rPr>
      </w:pPr>
      <w:r w:rsidRPr="002E662C">
        <w:rPr>
          <w:rFonts w:ascii="Times New Roman" w:hAnsi="Times New Roman" w:cs="Times New Roman"/>
          <w:sz w:val="28"/>
          <w:szCs w:val="28"/>
        </w:rPr>
        <w:t>Предполагаемая стоимость строительства «Многофункциональная ледовая арена по ул. Немировича-Данченко в городе Новосибирске» опреде</w:t>
      </w:r>
      <w:r w:rsidR="00584796">
        <w:rPr>
          <w:rFonts w:ascii="Times New Roman" w:hAnsi="Times New Roman" w:cs="Times New Roman"/>
          <w:sz w:val="28"/>
          <w:szCs w:val="28"/>
        </w:rPr>
        <w:t>лена 9 522 519,85 тыс. рублей.</w:t>
      </w:r>
      <w:r w:rsidRPr="002E662C">
        <w:rPr>
          <w:rFonts w:ascii="Times New Roman" w:hAnsi="Times New Roman" w:cs="Times New Roman"/>
          <w:sz w:val="28"/>
          <w:szCs w:val="28"/>
        </w:rPr>
        <w:t xml:space="preserve"> Разница с заявленной стоимость</w:t>
      </w:r>
      <w:r w:rsidR="00584796">
        <w:rPr>
          <w:rFonts w:ascii="Times New Roman" w:hAnsi="Times New Roman" w:cs="Times New Roman"/>
          <w:sz w:val="28"/>
          <w:szCs w:val="28"/>
        </w:rPr>
        <w:t>ю составила 48 269,75 тыс. рублей.</w:t>
      </w:r>
    </w:p>
    <w:p w14:paraId="03CD7B99" w14:textId="77777777" w:rsidR="003F4CFF" w:rsidRDefault="003F4CFF" w:rsidP="003F4CFF">
      <w:pPr>
        <w:pStyle w:val="Default"/>
        <w:ind w:firstLine="567"/>
        <w:jc w:val="both"/>
        <w:rPr>
          <w:sz w:val="28"/>
          <w:szCs w:val="28"/>
        </w:rPr>
      </w:pPr>
      <w:r w:rsidRPr="00E817F4">
        <w:rPr>
          <w:b/>
          <w:sz w:val="28"/>
          <w:szCs w:val="28"/>
        </w:rPr>
        <w:t xml:space="preserve">Публичный </w:t>
      </w:r>
      <w:r w:rsidRPr="00E817F4">
        <w:rPr>
          <w:rFonts w:ascii="Times New Roman" w:eastAsia="Times New Roman" w:hAnsi="Times New Roman" w:cs="Times New Roman"/>
          <w:b/>
          <w:sz w:val="28"/>
          <w:szCs w:val="28"/>
        </w:rPr>
        <w:t xml:space="preserve">технологический и ценовой аудит инвестиционного проекта </w:t>
      </w:r>
      <w:r w:rsidRPr="00E817F4">
        <w:rPr>
          <w:b/>
          <w:sz w:val="28"/>
          <w:szCs w:val="28"/>
        </w:rPr>
        <w:t>«Региональный центр волейбола в г. Новосибирске»</w:t>
      </w:r>
      <w:r>
        <w:rPr>
          <w:sz w:val="28"/>
          <w:szCs w:val="28"/>
        </w:rPr>
        <w:t xml:space="preserve"> проведен АО «Научно-исследовательский центр «Строительство», по результатам которого выдано положительное сводное заключение от 05.07.2019 № 2310-ЕП/47/01/56-2019.</w:t>
      </w:r>
    </w:p>
    <w:p w14:paraId="7D0B45DD" w14:textId="77777777" w:rsidR="003F4CFF" w:rsidRDefault="003F4CFF" w:rsidP="003F4CFF">
      <w:pPr>
        <w:pStyle w:val="Default"/>
        <w:ind w:firstLine="567"/>
        <w:jc w:val="both"/>
        <w:rPr>
          <w:sz w:val="28"/>
          <w:szCs w:val="28"/>
        </w:rPr>
      </w:pPr>
      <w:r>
        <w:rPr>
          <w:sz w:val="28"/>
          <w:szCs w:val="28"/>
        </w:rPr>
        <w:t xml:space="preserve">Проведенный технологический и ценовой аудит показал, что технологические и конструктивные решения, предусмотренные инвестиционным проектом, соответствуют заданию на проектирование, лучшим отечественным и мировым строительным решениям и требованиям технических регламентов, в том числе безопасности, современности и актуальности предлагаемых технологий строительства, с учетом требований современных технологий производства, необходимых для функционирования объекта капитального строительства, и эксплуатационных расходов на реализацию инвестиционного проекта в процессе жизненного цикла. </w:t>
      </w:r>
    </w:p>
    <w:p w14:paraId="348432B6" w14:textId="77777777" w:rsidR="003F4CFF" w:rsidRDefault="003F4CFF" w:rsidP="003F4CFF">
      <w:pPr>
        <w:pStyle w:val="Default"/>
        <w:ind w:firstLine="567"/>
        <w:jc w:val="both"/>
        <w:rPr>
          <w:sz w:val="28"/>
          <w:szCs w:val="28"/>
        </w:rPr>
      </w:pPr>
      <w:r>
        <w:rPr>
          <w:sz w:val="28"/>
          <w:szCs w:val="28"/>
        </w:rPr>
        <w:t>Источником финансирования инвестиционного проекта являются бюджет Новосибирской области и федеральный бюджет. Заявленный объем финанси</w:t>
      </w:r>
      <w:r w:rsidR="00584796">
        <w:rPr>
          <w:sz w:val="28"/>
          <w:szCs w:val="28"/>
        </w:rPr>
        <w:t>рования – 2 947 727,33 тыс. рублей.</w:t>
      </w:r>
    </w:p>
    <w:p w14:paraId="4E9A3AAC" w14:textId="77777777" w:rsidR="003F4CFF" w:rsidRDefault="003F4CFF" w:rsidP="003F4CFF">
      <w:pPr>
        <w:pStyle w:val="Default"/>
        <w:ind w:firstLine="567"/>
        <w:jc w:val="both"/>
        <w:rPr>
          <w:sz w:val="28"/>
          <w:szCs w:val="28"/>
        </w:rPr>
      </w:pPr>
      <w:r>
        <w:rPr>
          <w:sz w:val="28"/>
          <w:szCs w:val="28"/>
        </w:rPr>
        <w:t>По результатам рассмотрения проектной документации определена стоимость реализации инвестиционного проекта в уровне цен 2 кв. 2019 года – 2 943 214,33 тыс</w:t>
      </w:r>
      <w:r w:rsidR="00584796">
        <w:rPr>
          <w:sz w:val="28"/>
          <w:szCs w:val="28"/>
        </w:rPr>
        <w:t>. рублей.</w:t>
      </w:r>
      <w:r>
        <w:rPr>
          <w:sz w:val="28"/>
          <w:szCs w:val="28"/>
        </w:rPr>
        <w:t xml:space="preserve"> </w:t>
      </w:r>
    </w:p>
    <w:p w14:paraId="0DC9A810" w14:textId="77777777" w:rsidR="003F4CFF" w:rsidRDefault="003F4CFF" w:rsidP="003F4CFF">
      <w:pPr>
        <w:pStyle w:val="Default"/>
        <w:ind w:firstLine="567"/>
        <w:jc w:val="both"/>
        <w:rPr>
          <w:sz w:val="28"/>
          <w:szCs w:val="28"/>
        </w:rPr>
      </w:pPr>
      <w:r w:rsidRPr="00E817F4">
        <w:rPr>
          <w:b/>
          <w:sz w:val="28"/>
          <w:szCs w:val="28"/>
        </w:rPr>
        <w:t xml:space="preserve">Публичный </w:t>
      </w:r>
      <w:r w:rsidRPr="00E817F4">
        <w:rPr>
          <w:rFonts w:ascii="Times New Roman" w:eastAsia="Times New Roman" w:hAnsi="Times New Roman" w:cs="Times New Roman"/>
          <w:b/>
          <w:sz w:val="28"/>
          <w:szCs w:val="28"/>
        </w:rPr>
        <w:t xml:space="preserve">технологический и ценовой аудит инвестиционного проекта </w:t>
      </w:r>
      <w:r w:rsidRPr="00E817F4">
        <w:rPr>
          <w:b/>
          <w:sz w:val="28"/>
          <w:szCs w:val="28"/>
        </w:rPr>
        <w:t>«</w:t>
      </w:r>
      <w:r>
        <w:rPr>
          <w:b/>
          <w:sz w:val="28"/>
          <w:szCs w:val="28"/>
        </w:rPr>
        <w:t>Реконструкция и оснащение акушерского корпуса Государственной Новосибирской областной клинической больницы для размещения перинатального центра Новосибирской области</w:t>
      </w:r>
      <w:r w:rsidRPr="00E817F4">
        <w:rPr>
          <w:b/>
          <w:sz w:val="28"/>
          <w:szCs w:val="28"/>
        </w:rPr>
        <w:t>»</w:t>
      </w:r>
      <w:r>
        <w:rPr>
          <w:sz w:val="28"/>
          <w:szCs w:val="28"/>
        </w:rPr>
        <w:t xml:space="preserve"> проведен АО «Научно-исследовательский центр «Строительство», по результатам которого выдано положительное сводное заключение от 23.08.2019 № 678/24-18/ОСКП/01/28-2018.</w:t>
      </w:r>
    </w:p>
    <w:p w14:paraId="0C411D8C" w14:textId="77777777" w:rsidR="003F4CFF" w:rsidRDefault="003F4CFF" w:rsidP="003F4CFF">
      <w:pPr>
        <w:pStyle w:val="Default"/>
        <w:ind w:firstLine="567"/>
        <w:jc w:val="both"/>
        <w:rPr>
          <w:sz w:val="28"/>
          <w:szCs w:val="28"/>
        </w:rPr>
      </w:pPr>
      <w:r>
        <w:rPr>
          <w:sz w:val="28"/>
          <w:szCs w:val="28"/>
        </w:rPr>
        <w:t xml:space="preserve">Проведенный технологический и ценовой аудит показал, что технологические и конструктивные решения, предусмотренные инвестиционным проектом, соответствуют заданию на проектирование, лучшим отечественным и мировым строительным решениям и требованиям технических регламентов, в том числе безопасности, современности и актуальности предлагаемых технологий строительства, с учетом требований современных технологий производства, необходимых для функционирования объекта капитального строительства, и </w:t>
      </w:r>
      <w:r>
        <w:rPr>
          <w:sz w:val="28"/>
          <w:szCs w:val="28"/>
        </w:rPr>
        <w:lastRenderedPageBreak/>
        <w:t xml:space="preserve">эксплуатационных расходов на реализацию инвестиционного проекта в процессе жизненного цикла. </w:t>
      </w:r>
    </w:p>
    <w:p w14:paraId="39172C06" w14:textId="77777777" w:rsidR="003F4CFF" w:rsidRDefault="003F4CFF" w:rsidP="003F4CFF">
      <w:pPr>
        <w:pStyle w:val="Default"/>
        <w:ind w:firstLine="567"/>
        <w:jc w:val="both"/>
        <w:rPr>
          <w:sz w:val="28"/>
          <w:szCs w:val="28"/>
        </w:rPr>
      </w:pPr>
      <w:r>
        <w:rPr>
          <w:sz w:val="28"/>
          <w:szCs w:val="28"/>
        </w:rPr>
        <w:t>Источником финансирования инвестиционного проекта являются бюджет Новосибирской области и федеральный бюджет. Заявленный объем финанс</w:t>
      </w:r>
      <w:r w:rsidR="00584796">
        <w:rPr>
          <w:sz w:val="28"/>
          <w:szCs w:val="28"/>
        </w:rPr>
        <w:t>ирования – 4 941 324,8 тыс. рублей.</w:t>
      </w:r>
    </w:p>
    <w:p w14:paraId="4900A371" w14:textId="77777777" w:rsidR="003F4CFF" w:rsidRDefault="003F4CFF" w:rsidP="003F4CFF">
      <w:pPr>
        <w:pStyle w:val="Default"/>
        <w:ind w:firstLine="567"/>
        <w:jc w:val="both"/>
        <w:rPr>
          <w:sz w:val="28"/>
          <w:szCs w:val="28"/>
        </w:rPr>
      </w:pPr>
      <w:r>
        <w:rPr>
          <w:sz w:val="28"/>
          <w:szCs w:val="28"/>
        </w:rPr>
        <w:t xml:space="preserve">В ходе оценки предполагаемой (предельной) стоимости реализации инвестиционного проекта выполнен расчет стоимости инвестиционного проекта в ценах по состоянию на 15.12.2017. Расчет соответствует сметным нормативам, внесенным в Федеральный реестр сметных нормативов, принятым в задании на разработку проектной документации проектным решениям, а также цели данного проекта, а именно строительство объекта документации </w:t>
      </w:r>
      <w:r w:rsidRPr="00E817F4">
        <w:rPr>
          <w:b/>
          <w:sz w:val="28"/>
          <w:szCs w:val="28"/>
        </w:rPr>
        <w:t>«</w:t>
      </w:r>
      <w:r w:rsidRPr="00A7521F">
        <w:rPr>
          <w:sz w:val="28"/>
          <w:szCs w:val="28"/>
        </w:rPr>
        <w:t>Реконструкция и оснащение акушерского корпуса Государственной Новосибирской областной клинической больницы для размещения перинатального центра Новосибирской области»</w:t>
      </w:r>
      <w:r>
        <w:rPr>
          <w:sz w:val="28"/>
          <w:szCs w:val="28"/>
        </w:rPr>
        <w:t>. Сметная стоимость строительства не превышает предельный объем ассигнова</w:t>
      </w:r>
      <w:r w:rsidR="00584796">
        <w:rPr>
          <w:sz w:val="28"/>
          <w:szCs w:val="28"/>
        </w:rPr>
        <w:t>ний равный 4 941 324,8 тыс. рублей.</w:t>
      </w:r>
      <w:r>
        <w:rPr>
          <w:sz w:val="28"/>
          <w:szCs w:val="28"/>
        </w:rPr>
        <w:t xml:space="preserve"> </w:t>
      </w:r>
    </w:p>
    <w:p w14:paraId="388B07E8" w14:textId="77777777" w:rsidR="003F4CFF" w:rsidRPr="00A7521F" w:rsidRDefault="003F4CFF" w:rsidP="003F4CFF">
      <w:pPr>
        <w:pStyle w:val="Default"/>
        <w:ind w:firstLine="567"/>
        <w:jc w:val="both"/>
        <w:rPr>
          <w:sz w:val="28"/>
          <w:szCs w:val="28"/>
        </w:rPr>
      </w:pPr>
      <w:r w:rsidRPr="007D1F55">
        <w:rPr>
          <w:sz w:val="28"/>
          <w:szCs w:val="28"/>
        </w:rPr>
        <w:t>Положительные сводные заключения о проведении публичного технологического аудита инвестиционных проектов</w:t>
      </w:r>
      <w:r>
        <w:rPr>
          <w:sz w:val="28"/>
          <w:szCs w:val="28"/>
        </w:rPr>
        <w:t xml:space="preserve"> </w:t>
      </w:r>
      <w:r w:rsidRPr="007D1F55">
        <w:rPr>
          <w:sz w:val="28"/>
          <w:szCs w:val="28"/>
        </w:rPr>
        <w:t>размещены на официальном сайте министерства экономического развития Новосибирской области (</w:t>
      </w:r>
      <w:hyperlink r:id="rId172" w:history="1">
        <w:r w:rsidRPr="007D1F55">
          <w:rPr>
            <w:rStyle w:val="a3"/>
            <w:sz w:val="28"/>
            <w:szCs w:val="28"/>
          </w:rPr>
          <w:t>http://www.econom.nso.ru/page/460</w:t>
        </w:r>
      </w:hyperlink>
      <w:r w:rsidRPr="007D1F55">
        <w:rPr>
          <w:sz w:val="28"/>
          <w:szCs w:val="28"/>
        </w:rPr>
        <w:t>) и Инвестиционном портале Новосибирской области (</w:t>
      </w:r>
      <w:hyperlink r:id="rId173" w:history="1">
        <w:r w:rsidRPr="007D1F55">
          <w:rPr>
            <w:rStyle w:val="a3"/>
            <w:sz w:val="28"/>
            <w:szCs w:val="28"/>
          </w:rPr>
          <w:t>http://www.invest.nso.ru/ru/content/normativno-pravovye-akty-3</w:t>
        </w:r>
      </w:hyperlink>
      <w:r w:rsidRPr="007D1F55">
        <w:rPr>
          <w:sz w:val="28"/>
          <w:szCs w:val="28"/>
        </w:rPr>
        <w:t>).</w:t>
      </w:r>
    </w:p>
    <w:p w14:paraId="48BB31A9" w14:textId="77777777" w:rsidR="003F4CFF" w:rsidRPr="00A7521F" w:rsidRDefault="003F4CFF" w:rsidP="003F4CFF">
      <w:pPr>
        <w:autoSpaceDE w:val="0"/>
        <w:autoSpaceDN w:val="0"/>
        <w:adjustRightInd w:val="0"/>
        <w:ind w:firstLine="567"/>
        <w:jc w:val="both"/>
        <w:rPr>
          <w:rFonts w:ascii="Times New Roman" w:eastAsia="Times New Roman" w:hAnsi="Times New Roman" w:cs="Times New Roman"/>
          <w:sz w:val="28"/>
          <w:szCs w:val="28"/>
        </w:rPr>
      </w:pPr>
      <w:r w:rsidRPr="00C53445">
        <w:rPr>
          <w:rFonts w:ascii="Times New Roman" w:eastAsia="Times New Roman" w:hAnsi="Times New Roman" w:cs="Times New Roman"/>
          <w:sz w:val="28"/>
          <w:szCs w:val="28"/>
        </w:rPr>
        <w:t>Постановление Правительства Новосибирс</w:t>
      </w:r>
      <w:r>
        <w:rPr>
          <w:rFonts w:ascii="Times New Roman" w:eastAsia="Times New Roman" w:hAnsi="Times New Roman" w:cs="Times New Roman"/>
          <w:sz w:val="28"/>
          <w:szCs w:val="28"/>
        </w:rPr>
        <w:t>кой области от 22.12.2016 № 432-</w:t>
      </w:r>
      <w:r w:rsidRPr="00C53445">
        <w:rPr>
          <w:rFonts w:ascii="Times New Roman" w:eastAsia="Times New Roman" w:hAnsi="Times New Roman" w:cs="Times New Roman"/>
          <w:sz w:val="28"/>
          <w:szCs w:val="28"/>
        </w:rPr>
        <w:t xml:space="preserve">п размещено на официальном сайте министерства экономического развития Новосибирской области </w:t>
      </w:r>
      <w:r w:rsidRPr="007D1F55">
        <w:rPr>
          <w:rFonts w:ascii="Times New Roman" w:eastAsia="Times New Roman" w:hAnsi="Times New Roman" w:cs="Times New Roman"/>
          <w:sz w:val="28"/>
          <w:szCs w:val="28"/>
        </w:rPr>
        <w:t>(</w:t>
      </w:r>
      <w:hyperlink r:id="rId174" w:history="1">
        <w:r w:rsidRPr="00A16B4B">
          <w:rPr>
            <w:rFonts w:ascii="Times New Roman" w:eastAsia="Times New Roman" w:hAnsi="Times New Roman" w:cs="Times New Roman"/>
            <w:color w:val="0000FF"/>
            <w:sz w:val="28"/>
            <w:szCs w:val="28"/>
            <w:u w:val="single"/>
          </w:rPr>
          <w:t>http://www.econom.nso.ru/page/460</w:t>
        </w:r>
      </w:hyperlink>
      <w:r w:rsidRPr="00C53445">
        <w:rPr>
          <w:rFonts w:ascii="Times New Roman" w:eastAsia="Times New Roman" w:hAnsi="Times New Roman" w:cs="Times New Roman"/>
          <w:sz w:val="28"/>
          <w:szCs w:val="28"/>
        </w:rPr>
        <w:t>) и Инвестиционном портале Новосибирской области (</w:t>
      </w:r>
      <w:hyperlink r:id="rId175" w:history="1">
        <w:r w:rsidRPr="00C53445">
          <w:rPr>
            <w:rFonts w:ascii="Times New Roman" w:eastAsia="Times New Roman" w:hAnsi="Times New Roman" w:cs="Times New Roman"/>
            <w:color w:val="0000FF"/>
            <w:sz w:val="28"/>
            <w:szCs w:val="28"/>
            <w:u w:val="single"/>
          </w:rPr>
          <w:t>http://www.invest.nso.ru/ru/content/normativno-pravovye-akty-3</w:t>
        </w:r>
      </w:hyperlink>
      <w:r w:rsidRPr="00C53445">
        <w:rPr>
          <w:rFonts w:ascii="Times New Roman" w:eastAsia="Times New Roman" w:hAnsi="Times New Roman" w:cs="Times New Roman"/>
          <w:sz w:val="28"/>
          <w:szCs w:val="28"/>
        </w:rPr>
        <w:t>).</w:t>
      </w:r>
    </w:p>
    <w:p w14:paraId="506D0D31" w14:textId="77777777" w:rsidR="003F4CFF" w:rsidRPr="007D4394" w:rsidRDefault="003F4CFF" w:rsidP="003F4CFF">
      <w:pPr>
        <w:rPr>
          <w:rFonts w:ascii="Times New Roman" w:hAnsi="Times New Roman" w:cs="Times New Roman"/>
          <w:sz w:val="28"/>
          <w:szCs w:val="28"/>
        </w:rPr>
      </w:pPr>
    </w:p>
    <w:p w14:paraId="029FE0C1" w14:textId="77777777" w:rsidR="003F4CFF" w:rsidRPr="004F669B" w:rsidRDefault="003F4CFF" w:rsidP="003F4CFF">
      <w:pPr>
        <w:pStyle w:val="ac"/>
        <w:ind w:firstLine="567"/>
        <w:jc w:val="both"/>
        <w:outlineLvl w:val="2"/>
        <w:rPr>
          <w:rFonts w:ascii="Times New Roman" w:hAnsi="Times New Roman"/>
          <w:b/>
        </w:rPr>
      </w:pPr>
      <w:bookmarkStart w:id="148" w:name="_Toc31983993"/>
      <w:bookmarkStart w:id="149" w:name="_Toc32240333"/>
      <w:bookmarkStart w:id="150" w:name="_Toc32421918"/>
      <w:bookmarkStart w:id="151" w:name="_Toc34129198"/>
      <w:r w:rsidRPr="004F669B">
        <w:rPr>
          <w:rFonts w:ascii="Times New Roman" w:hAnsi="Times New Roman"/>
          <w:b/>
        </w:rPr>
        <w:t>2.7.3. Повышение прозрачности деятельности субъектов естественных монополий (далее</w:t>
      </w:r>
      <w:r>
        <w:rPr>
          <w:rFonts w:ascii="Times New Roman" w:hAnsi="Times New Roman"/>
          <w:b/>
        </w:rPr>
        <w:t> – </w:t>
      </w:r>
      <w:r w:rsidRPr="004F669B">
        <w:rPr>
          <w:rFonts w:ascii="Times New Roman" w:hAnsi="Times New Roman"/>
          <w:b/>
        </w:rPr>
        <w:t xml:space="preserve">СЕМ) </w:t>
      </w:r>
      <w:r>
        <w:rPr>
          <w:rFonts w:ascii="Times New Roman" w:hAnsi="Times New Roman"/>
          <w:b/>
        </w:rPr>
        <w:t>в субъекте Российской Федерации</w:t>
      </w:r>
      <w:bookmarkEnd w:id="148"/>
      <w:bookmarkEnd w:id="149"/>
      <w:bookmarkEnd w:id="150"/>
      <w:bookmarkEnd w:id="151"/>
    </w:p>
    <w:p w14:paraId="4A7DF852" w14:textId="77777777" w:rsidR="003F4CFF" w:rsidRDefault="003F4CFF" w:rsidP="003F4CFF">
      <w:pPr>
        <w:autoSpaceDE w:val="0"/>
        <w:autoSpaceDN w:val="0"/>
        <w:adjustRightInd w:val="0"/>
        <w:ind w:firstLine="567"/>
        <w:jc w:val="both"/>
        <w:rPr>
          <w:rFonts w:ascii="Times New Roman" w:eastAsia="Times New Roman" w:hAnsi="Times New Roman" w:cs="Times New Roman"/>
          <w:iCs/>
          <w:sz w:val="28"/>
          <w:szCs w:val="28"/>
        </w:rPr>
      </w:pPr>
      <w:r w:rsidRPr="006E4395">
        <w:rPr>
          <w:rFonts w:ascii="Times New Roman" w:eastAsia="Times New Roman" w:hAnsi="Times New Roman" w:cs="Times New Roman"/>
          <w:iCs/>
          <w:sz w:val="28"/>
          <w:szCs w:val="28"/>
        </w:rPr>
        <w:t>В целях с</w:t>
      </w:r>
      <w:r w:rsidRPr="006E4395">
        <w:rPr>
          <w:rFonts w:ascii="Times New Roman" w:eastAsia="Times New Roman" w:hAnsi="Times New Roman" w:cs="Times New Roman"/>
          <w:sz w:val="28"/>
          <w:szCs w:val="28"/>
        </w:rPr>
        <w:t xml:space="preserve">оздания и реализации механизма общественного контроля за деятельностью субъектов естественных монополий в </w:t>
      </w:r>
      <w:r>
        <w:rPr>
          <w:rFonts w:ascii="Times New Roman" w:hAnsi="Times New Roman" w:cs="Times New Roman"/>
          <w:sz w:val="28"/>
          <w:szCs w:val="28"/>
        </w:rPr>
        <w:t>плане мероприятий («дорожной карте</w:t>
      </w:r>
      <w:r w:rsidRPr="006E4395">
        <w:rPr>
          <w:rFonts w:ascii="Times New Roman" w:hAnsi="Times New Roman" w:cs="Times New Roman"/>
          <w:sz w:val="28"/>
          <w:szCs w:val="28"/>
        </w:rPr>
        <w:t>») по сод</w:t>
      </w:r>
      <w:r>
        <w:rPr>
          <w:rFonts w:ascii="Times New Roman" w:hAnsi="Times New Roman" w:cs="Times New Roman"/>
          <w:sz w:val="28"/>
          <w:szCs w:val="28"/>
        </w:rPr>
        <w:t>ействию развитию конкуренции в Н</w:t>
      </w:r>
      <w:r w:rsidRPr="006E4395">
        <w:rPr>
          <w:rFonts w:ascii="Times New Roman" w:hAnsi="Times New Roman" w:cs="Times New Roman"/>
          <w:sz w:val="28"/>
          <w:szCs w:val="28"/>
        </w:rPr>
        <w:t>овосибирской области</w:t>
      </w:r>
      <w:r w:rsidRPr="006E4395">
        <w:rPr>
          <w:rFonts w:ascii="Times New Roman" w:eastAsia="Times New Roman" w:hAnsi="Times New Roman" w:cs="Times New Roman"/>
          <w:sz w:val="28"/>
          <w:szCs w:val="28"/>
        </w:rPr>
        <w:t xml:space="preserve"> предусмотрены мероприятия по </w:t>
      </w:r>
      <w:r w:rsidRPr="006E4395">
        <w:rPr>
          <w:rFonts w:ascii="Times New Roman" w:eastAsia="Times New Roman" w:hAnsi="Times New Roman" w:cs="Times New Roman"/>
          <w:iCs/>
          <w:sz w:val="28"/>
          <w:szCs w:val="28"/>
        </w:rPr>
        <w:t>раскрытию информации, повышающие прозрачность деятельности субъектов естественных монополий</w:t>
      </w:r>
      <w:r>
        <w:rPr>
          <w:rFonts w:ascii="Times New Roman" w:eastAsia="Times New Roman" w:hAnsi="Times New Roman" w:cs="Times New Roman"/>
          <w:iCs/>
          <w:sz w:val="28"/>
          <w:szCs w:val="28"/>
        </w:rPr>
        <w:t xml:space="preserve"> (мероприятия 29.1-29.7)</w:t>
      </w:r>
      <w:r w:rsidRPr="006E4395">
        <w:rPr>
          <w:rFonts w:ascii="Times New Roman" w:eastAsia="Times New Roman" w:hAnsi="Times New Roman" w:cs="Times New Roman"/>
          <w:iCs/>
          <w:sz w:val="28"/>
          <w:szCs w:val="28"/>
        </w:rPr>
        <w:t xml:space="preserve">, в том числе: </w:t>
      </w:r>
    </w:p>
    <w:p w14:paraId="5DAC4213" w14:textId="77777777"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п</w:t>
      </w:r>
      <w:r w:rsidRPr="00F90B6B">
        <w:rPr>
          <w:rFonts w:ascii="Times New Roman" w:hAnsi="Times New Roman" w:cs="Times New Roman"/>
          <w:sz w:val="28"/>
          <w:szCs w:val="28"/>
        </w:rPr>
        <w:t>роведение заседаний межотраслевого совета потребителей по вопросам деятельности субъектов естественных монополий при Гу</w:t>
      </w:r>
      <w:r>
        <w:rPr>
          <w:rFonts w:ascii="Times New Roman" w:hAnsi="Times New Roman" w:cs="Times New Roman"/>
          <w:sz w:val="28"/>
          <w:szCs w:val="28"/>
        </w:rPr>
        <w:t>бернаторе Новосибирской области (мероприятие 29.1);</w:t>
      </w:r>
    </w:p>
    <w:p w14:paraId="346FAD0B" w14:textId="77777777"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д</w:t>
      </w:r>
      <w:r w:rsidRPr="00F90B6B">
        <w:rPr>
          <w:rFonts w:ascii="Times New Roman" w:hAnsi="Times New Roman" w:cs="Times New Roman"/>
          <w:sz w:val="28"/>
          <w:szCs w:val="28"/>
        </w:rPr>
        <w:t>оработка ГИС НСО «Электронная демократия Новосибирской области» в части разработки нового раздела «Межотраслевой совет потребителей по вопросам деятельности субъектов естественных монополий при Губернаторе Новосибирской области», предназначенного для проведения общественных обсуждений проектов инвестиционных программ и вопросов установления (изменения)тарифов на товары и услуги субъектов естественных монополий</w:t>
      </w:r>
      <w:r>
        <w:rPr>
          <w:rFonts w:ascii="Times New Roman" w:hAnsi="Times New Roman" w:cs="Times New Roman"/>
          <w:sz w:val="28"/>
          <w:szCs w:val="28"/>
        </w:rPr>
        <w:t xml:space="preserve"> (мероприятие 29.2);</w:t>
      </w:r>
    </w:p>
    <w:p w14:paraId="3B4E462E" w14:textId="77777777"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lastRenderedPageBreak/>
        <w:t>о</w:t>
      </w:r>
      <w:r w:rsidRPr="00F90B6B">
        <w:rPr>
          <w:rFonts w:ascii="Times New Roman" w:hAnsi="Times New Roman" w:cs="Times New Roman"/>
          <w:sz w:val="28"/>
          <w:szCs w:val="28"/>
        </w:rPr>
        <w:t>беспечение контроля за раскрытием информации и деятельностью субъектов естественных монополий</w:t>
      </w:r>
      <w:r>
        <w:rPr>
          <w:rFonts w:ascii="Times New Roman" w:hAnsi="Times New Roman" w:cs="Times New Roman"/>
          <w:sz w:val="28"/>
          <w:szCs w:val="28"/>
        </w:rPr>
        <w:t xml:space="preserve"> </w:t>
      </w:r>
      <w:r w:rsidRPr="00F90B6B">
        <w:rPr>
          <w:rFonts w:ascii="Times New Roman" w:hAnsi="Times New Roman" w:cs="Times New Roman"/>
          <w:sz w:val="28"/>
          <w:szCs w:val="28"/>
        </w:rPr>
        <w:t>(в рамках полномочий, закрепленных законодательством Российской Федерации)</w:t>
      </w:r>
      <w:r>
        <w:rPr>
          <w:rFonts w:ascii="Times New Roman" w:hAnsi="Times New Roman" w:cs="Times New Roman"/>
          <w:sz w:val="28"/>
          <w:szCs w:val="28"/>
        </w:rPr>
        <w:t xml:space="preserve"> (мероприятие 29.3);</w:t>
      </w:r>
    </w:p>
    <w:p w14:paraId="44E71B9E" w14:textId="77777777"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о</w:t>
      </w:r>
      <w:r w:rsidRPr="00F90B6B">
        <w:rPr>
          <w:rFonts w:ascii="Times New Roman" w:hAnsi="Times New Roman" w:cs="Times New Roman"/>
          <w:sz w:val="28"/>
          <w:szCs w:val="28"/>
        </w:rPr>
        <w:t>беспечение доступности и наглядности в сети «Интернет» информации о свободных резервах трансформаторной мощности с указанием и отображением на Инвестиционной карте Новосибирской области ориентировочного места подключения (технологического присоединения) к сетям территориальных сетевых организаций 110-35 кВ</w:t>
      </w:r>
      <w:r>
        <w:rPr>
          <w:rFonts w:ascii="Times New Roman" w:hAnsi="Times New Roman" w:cs="Times New Roman"/>
          <w:sz w:val="28"/>
          <w:szCs w:val="28"/>
        </w:rPr>
        <w:t xml:space="preserve"> (мероприятие 29.4);</w:t>
      </w:r>
    </w:p>
    <w:p w14:paraId="711B4C1F" w14:textId="77777777"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о</w:t>
      </w:r>
      <w:r w:rsidRPr="00F90B6B">
        <w:rPr>
          <w:rFonts w:ascii="Times New Roman" w:hAnsi="Times New Roman" w:cs="Times New Roman"/>
          <w:sz w:val="28"/>
          <w:szCs w:val="28"/>
        </w:rPr>
        <w:t>беспечение доступности и наглядности в сети «Интернет» информации, отображающей на Инвестиционной карте Новосибирской области ориентировочное место подключения (технологического присоединения) к сетям газораспределительных станций, включая информацию о проектной мощности (пропускной способности) газораспределительных станций и наличии свободных резервов мощности и размере этих резервов, а также о планируемых сроках строительства и реконструкции газораспределительных станций</w:t>
      </w:r>
      <w:r>
        <w:rPr>
          <w:rFonts w:ascii="Times New Roman" w:hAnsi="Times New Roman" w:cs="Times New Roman"/>
          <w:sz w:val="28"/>
          <w:szCs w:val="28"/>
        </w:rPr>
        <w:t xml:space="preserve"> (мероприятие 29.5);</w:t>
      </w:r>
      <w:r w:rsidRPr="00F90B6B">
        <w:rPr>
          <w:rFonts w:ascii="Times New Roman" w:hAnsi="Times New Roman" w:cs="Times New Roman"/>
          <w:sz w:val="28"/>
          <w:szCs w:val="28"/>
        </w:rPr>
        <w:t xml:space="preserve"> </w:t>
      </w:r>
    </w:p>
    <w:p w14:paraId="3F44254B" w14:textId="77777777" w:rsidR="003F4CFF" w:rsidRPr="00F90B6B" w:rsidRDefault="003F4CFF" w:rsidP="003F4CFF">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о</w:t>
      </w:r>
      <w:r w:rsidRPr="00F90B6B">
        <w:rPr>
          <w:rFonts w:ascii="Times New Roman" w:hAnsi="Times New Roman" w:cs="Times New Roman"/>
          <w:sz w:val="28"/>
          <w:szCs w:val="28"/>
        </w:rPr>
        <w:t>беспечение доступности и наглядности в сети «Интернет»</w:t>
      </w:r>
      <w:r>
        <w:rPr>
          <w:rFonts w:ascii="Times New Roman" w:hAnsi="Times New Roman" w:cs="Times New Roman"/>
          <w:sz w:val="28"/>
          <w:szCs w:val="28"/>
        </w:rPr>
        <w:t xml:space="preserve"> </w:t>
      </w:r>
      <w:r w:rsidRPr="00F90B6B">
        <w:rPr>
          <w:rFonts w:ascii="Times New Roman" w:hAnsi="Times New Roman" w:cs="Times New Roman"/>
          <w:sz w:val="28"/>
          <w:szCs w:val="28"/>
        </w:rPr>
        <w:t>информации об услугах, оказываемых в электронном виде субъектами естественных монополий и ресурсоснабжающими организациями физическим и юридическим лицам</w:t>
      </w:r>
      <w:r>
        <w:rPr>
          <w:rFonts w:ascii="Times New Roman" w:hAnsi="Times New Roman" w:cs="Times New Roman"/>
          <w:sz w:val="28"/>
          <w:szCs w:val="28"/>
        </w:rPr>
        <w:t xml:space="preserve"> (мероприятие 29.6);</w:t>
      </w:r>
    </w:p>
    <w:p w14:paraId="3457749B" w14:textId="77777777" w:rsidR="003F4CFF" w:rsidRDefault="003F4CFF" w:rsidP="003F4CFF">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р</w:t>
      </w:r>
      <w:r w:rsidRPr="00F90B6B">
        <w:rPr>
          <w:rFonts w:ascii="Times New Roman" w:hAnsi="Times New Roman" w:cs="Times New Roman"/>
          <w:sz w:val="28"/>
          <w:szCs w:val="28"/>
        </w:rPr>
        <w:t>азмещение на официальных сайтах ОИОГВ НСО и Инвестиционном портале Новосибирской области информации о деятельности субъектов естественных монополий, осуществляющих деятельность на территории Новосибирской области, в том числе с помощью ссылок на информацию, размещенную на официальных сайтах с</w:t>
      </w:r>
      <w:r>
        <w:rPr>
          <w:rFonts w:ascii="Times New Roman" w:hAnsi="Times New Roman" w:cs="Times New Roman"/>
          <w:sz w:val="28"/>
          <w:szCs w:val="28"/>
        </w:rPr>
        <w:t>убъектов естественных монополий (мероприятие 29.7).</w:t>
      </w:r>
    </w:p>
    <w:p w14:paraId="1A21274B" w14:textId="77777777" w:rsidR="003F4CFF" w:rsidRPr="00B01E34" w:rsidRDefault="003F4CFF" w:rsidP="003F4CFF">
      <w:pPr>
        <w:autoSpaceDE w:val="0"/>
        <w:autoSpaceDN w:val="0"/>
        <w:adjustRightInd w:val="0"/>
        <w:ind w:firstLine="567"/>
        <w:jc w:val="both"/>
        <w:rPr>
          <w:rFonts w:ascii="Times New Roman" w:hAnsi="Times New Roman" w:cs="Times New Roman"/>
          <w:sz w:val="28"/>
          <w:szCs w:val="28"/>
        </w:rPr>
      </w:pPr>
      <w:r w:rsidRPr="00800E6E">
        <w:rPr>
          <w:rFonts w:ascii="Times New Roman" w:eastAsia="Times New Roman" w:hAnsi="Times New Roman" w:cs="Times New Roman"/>
          <w:sz w:val="28"/>
          <w:szCs w:val="28"/>
        </w:rPr>
        <w:t>При взаимодействии с областными исполнительными органами государственной власти Новосибирской области субъекты естественных монополий, осуществляющие деятельность на территории Новосибирской области, обеспечивают доступность и наглядность в сети «Интернет» информации о свободных резервах трансформаторной мощности с указанием</w:t>
      </w:r>
      <w:r w:rsidRPr="00F91FA0">
        <w:rPr>
          <w:rFonts w:ascii="Times New Roman" w:hAnsi="Times New Roman" w:cs="Times New Roman"/>
          <w:sz w:val="28"/>
          <w:szCs w:val="28"/>
        </w:rPr>
        <w:t xml:space="preserve"> и отображением на географической карте Новосибирской области ориентировочного места подключения (технологического присоединения) к сетям территориальных сетевых организаций 110-35 кВ; информации, отображающей на географической карте Новосибирской области ориентировочное место подключения (технологического присоединения) к сетям газораспределительных станций; информации об услугах (подача заявки на технологическое присоединение, подача правоустанавливающих документов (по объекту, юридическому и физическому лицу, участку), подача заявки на заключение договора, расчет предположительной стоимости технологического присоединения</w:t>
      </w:r>
      <w:r>
        <w:rPr>
          <w:rFonts w:ascii="Times New Roman" w:hAnsi="Times New Roman" w:cs="Times New Roman"/>
          <w:sz w:val="28"/>
          <w:szCs w:val="28"/>
        </w:rPr>
        <w:t xml:space="preserve"> и др.</w:t>
      </w:r>
      <w:r w:rsidRPr="00F91FA0">
        <w:rPr>
          <w:rFonts w:ascii="Times New Roman" w:hAnsi="Times New Roman" w:cs="Times New Roman"/>
          <w:sz w:val="28"/>
          <w:szCs w:val="28"/>
        </w:rPr>
        <w:t xml:space="preserve"> (табли</w:t>
      </w:r>
      <w:r>
        <w:rPr>
          <w:rFonts w:ascii="Times New Roman" w:hAnsi="Times New Roman" w:cs="Times New Roman"/>
          <w:sz w:val="28"/>
          <w:szCs w:val="28"/>
        </w:rPr>
        <w:t>ца </w:t>
      </w:r>
      <w:r w:rsidR="0044228C">
        <w:rPr>
          <w:rFonts w:ascii="Times New Roman" w:hAnsi="Times New Roman" w:cs="Times New Roman"/>
          <w:sz w:val="28"/>
          <w:szCs w:val="28"/>
        </w:rPr>
        <w:t>30</w:t>
      </w:r>
      <w:r>
        <w:rPr>
          <w:rFonts w:ascii="Times New Roman" w:hAnsi="Times New Roman" w:cs="Times New Roman"/>
          <w:sz w:val="28"/>
          <w:szCs w:val="28"/>
        </w:rPr>
        <w:t>).</w:t>
      </w:r>
    </w:p>
    <w:p w14:paraId="04ED1894" w14:textId="77777777" w:rsidR="003F4CFF" w:rsidRDefault="003F4CFF" w:rsidP="003F4CFF">
      <w:pPr>
        <w:autoSpaceDE w:val="0"/>
        <w:autoSpaceDN w:val="0"/>
        <w:adjustRightInd w:val="0"/>
        <w:jc w:val="both"/>
        <w:rPr>
          <w:rFonts w:ascii="Times New Roman" w:hAnsi="Times New Roman" w:cs="Times New Roman"/>
          <w:sz w:val="28"/>
          <w:szCs w:val="28"/>
        </w:rPr>
      </w:pPr>
    </w:p>
    <w:p w14:paraId="16D49F50" w14:textId="77777777" w:rsidR="00647D59" w:rsidRDefault="00647D59" w:rsidP="003F4CFF">
      <w:pPr>
        <w:autoSpaceDE w:val="0"/>
        <w:autoSpaceDN w:val="0"/>
        <w:adjustRightInd w:val="0"/>
        <w:jc w:val="both"/>
        <w:rPr>
          <w:rFonts w:ascii="Times New Roman" w:hAnsi="Times New Roman" w:cs="Times New Roman"/>
          <w:sz w:val="28"/>
          <w:szCs w:val="28"/>
        </w:rPr>
        <w:sectPr w:rsidR="00647D59" w:rsidSect="004D3A67">
          <w:pgSz w:w="11906" w:h="16838" w:code="9"/>
          <w:pgMar w:top="1134" w:right="567" w:bottom="1134" w:left="1418" w:header="708" w:footer="708" w:gutter="0"/>
          <w:cols w:space="708"/>
          <w:docGrid w:linePitch="360"/>
        </w:sectPr>
      </w:pPr>
    </w:p>
    <w:p w14:paraId="75F086B8" w14:textId="77777777" w:rsidR="003F4CFF" w:rsidRPr="00DB0D5C" w:rsidRDefault="003F4CFF" w:rsidP="003F4CFF">
      <w:pPr>
        <w:autoSpaceDE w:val="0"/>
        <w:autoSpaceDN w:val="0"/>
        <w:adjustRightInd w:val="0"/>
        <w:jc w:val="both"/>
        <w:rPr>
          <w:rFonts w:ascii="Times New Roman" w:hAnsi="Times New Roman" w:cs="Times New Roman"/>
          <w:sz w:val="28"/>
          <w:szCs w:val="28"/>
        </w:rPr>
      </w:pPr>
      <w:r w:rsidRPr="00B66EBE">
        <w:rPr>
          <w:rFonts w:ascii="Times New Roman" w:hAnsi="Times New Roman" w:cs="Times New Roman"/>
          <w:sz w:val="28"/>
          <w:szCs w:val="28"/>
        </w:rPr>
        <w:lastRenderedPageBreak/>
        <w:t>Таблица </w:t>
      </w:r>
      <w:r w:rsidR="0044228C">
        <w:rPr>
          <w:rFonts w:ascii="Times New Roman" w:hAnsi="Times New Roman" w:cs="Times New Roman"/>
          <w:sz w:val="28"/>
          <w:szCs w:val="28"/>
        </w:rPr>
        <w:t>30</w:t>
      </w:r>
      <w:r w:rsidRPr="00B66EBE">
        <w:rPr>
          <w:rFonts w:ascii="Times New Roman" w:hAnsi="Times New Roman" w:cs="Times New Roman"/>
          <w:sz w:val="28"/>
          <w:szCs w:val="28"/>
        </w:rPr>
        <w:t> – </w:t>
      </w:r>
      <w:r w:rsidRPr="00B66EBE">
        <w:rPr>
          <w:rFonts w:ascii="Times New Roman" w:hAnsi="Times New Roman" w:cs="Times New Roman"/>
          <w:color w:val="000000"/>
          <w:sz w:val="28"/>
          <w:szCs w:val="28"/>
        </w:rPr>
        <w:t>Повышение прозрачности деятельности субъектов естественных монополий в Новосибирской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2148"/>
        <w:gridCol w:w="7404"/>
      </w:tblGrid>
      <w:tr w:rsidR="003F4CFF" w:rsidRPr="00BE3F13" w14:paraId="7D3740F1" w14:textId="77777777" w:rsidTr="00B42DF0">
        <w:trPr>
          <w:trHeight w:val="20"/>
        </w:trPr>
        <w:tc>
          <w:tcPr>
            <w:tcW w:w="195" w:type="pct"/>
            <w:shd w:val="clear" w:color="auto" w:fill="auto"/>
          </w:tcPr>
          <w:p w14:paraId="276D25B3" w14:textId="77777777" w:rsidR="003F4CFF" w:rsidRPr="00F85281" w:rsidRDefault="003F4CFF" w:rsidP="00B42DF0">
            <w:pPr>
              <w:ind w:right="-146"/>
              <w:contextualSpacing/>
              <w:rPr>
                <w:rFonts w:ascii="Times New Roman" w:hAnsi="Times New Roman" w:cs="Times New Roman"/>
                <w:b/>
                <w:color w:val="000000"/>
                <w:sz w:val="24"/>
                <w:szCs w:val="24"/>
              </w:rPr>
            </w:pPr>
            <w:r w:rsidRPr="00F85281">
              <w:rPr>
                <w:rFonts w:ascii="Times New Roman" w:hAnsi="Times New Roman" w:cs="Times New Roman"/>
                <w:b/>
                <w:color w:val="000000"/>
                <w:sz w:val="24"/>
                <w:szCs w:val="24"/>
              </w:rPr>
              <w:t>1.</w:t>
            </w:r>
          </w:p>
        </w:tc>
        <w:tc>
          <w:tcPr>
            <w:tcW w:w="4805" w:type="pct"/>
            <w:gridSpan w:val="2"/>
            <w:shd w:val="clear" w:color="auto" w:fill="auto"/>
          </w:tcPr>
          <w:p w14:paraId="214C0A63" w14:textId="77777777" w:rsidR="003F4CFF" w:rsidRPr="00F85281" w:rsidRDefault="003F4CFF" w:rsidP="003F4CFF">
            <w:pPr>
              <w:contextualSpacing/>
              <w:rPr>
                <w:rFonts w:ascii="Times New Roman" w:hAnsi="Times New Roman" w:cs="Times New Roman"/>
                <w:i/>
                <w:color w:val="000000"/>
                <w:sz w:val="24"/>
                <w:szCs w:val="24"/>
              </w:rPr>
            </w:pPr>
            <w:r w:rsidRPr="00F85281">
              <w:rPr>
                <w:rFonts w:ascii="Times New Roman" w:hAnsi="Times New Roman" w:cs="Times New Roman"/>
                <w:b/>
                <w:color w:val="000000"/>
                <w:sz w:val="24"/>
                <w:szCs w:val="24"/>
              </w:rPr>
              <w:t>Ссылки на страницы сети «Интернет», содержащие информацию:</w:t>
            </w:r>
          </w:p>
        </w:tc>
      </w:tr>
      <w:tr w:rsidR="003F4CFF" w:rsidRPr="00BE3F13" w14:paraId="4EE7CE9F" w14:textId="77777777" w:rsidTr="00B42DF0">
        <w:trPr>
          <w:trHeight w:val="20"/>
        </w:trPr>
        <w:tc>
          <w:tcPr>
            <w:tcW w:w="195" w:type="pct"/>
            <w:shd w:val="clear" w:color="auto" w:fill="auto"/>
          </w:tcPr>
          <w:p w14:paraId="4BC35A9B" w14:textId="77777777" w:rsidR="003F4CFF" w:rsidRPr="00F85281" w:rsidRDefault="003F4CFF" w:rsidP="00B42DF0">
            <w:pPr>
              <w:ind w:right="-146" w:hanging="108"/>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а)</w:t>
            </w:r>
          </w:p>
        </w:tc>
        <w:tc>
          <w:tcPr>
            <w:tcW w:w="1081" w:type="pct"/>
            <w:shd w:val="clear" w:color="auto" w:fill="auto"/>
          </w:tcPr>
          <w:p w14:paraId="2077CC4B" w14:textId="77777777" w:rsidR="003F4CFF" w:rsidRPr="00F85281" w:rsidRDefault="003F4CFF" w:rsidP="003F4CFF">
            <w:pPr>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о свободных резервах трансформаторной мощности;</w:t>
            </w:r>
          </w:p>
        </w:tc>
        <w:tc>
          <w:tcPr>
            <w:tcW w:w="3725" w:type="pct"/>
            <w:shd w:val="clear" w:color="auto" w:fill="auto"/>
          </w:tcPr>
          <w:p w14:paraId="2EE526E0"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lang w:eastAsia="en-US"/>
              </w:rPr>
              <w:t>Акционерное общество «Региональные электрические сети»</w:t>
            </w:r>
            <w:r w:rsidRPr="00F85281">
              <w:rPr>
                <w:rFonts w:ascii="Times New Roman" w:hAnsi="Times New Roman" w:cs="Times New Roman"/>
                <w:sz w:val="24"/>
                <w:szCs w:val="24"/>
              </w:rPr>
              <w:t>:</w:t>
            </w:r>
          </w:p>
          <w:p w14:paraId="281119BF" w14:textId="77777777" w:rsidR="003F4CFF" w:rsidRPr="00F85281" w:rsidRDefault="00E3307E" w:rsidP="00647D59">
            <w:pPr>
              <w:contextualSpacing/>
              <w:jc w:val="left"/>
              <w:rPr>
                <w:rStyle w:val="a3"/>
                <w:rFonts w:ascii="Times New Roman" w:hAnsi="Times New Roman" w:cs="Times New Roman"/>
                <w:color w:val="auto"/>
                <w:sz w:val="24"/>
                <w:szCs w:val="24"/>
              </w:rPr>
            </w:pPr>
            <w:hyperlink r:id="rId176" w:history="1">
              <w:r w:rsidR="003F4CFF" w:rsidRPr="00F85281">
                <w:rPr>
                  <w:rStyle w:val="a3"/>
                  <w:rFonts w:ascii="Times New Roman" w:hAnsi="Times New Roman" w:cs="Times New Roman"/>
                  <w:color w:val="auto"/>
                  <w:sz w:val="24"/>
                  <w:szCs w:val="24"/>
                </w:rPr>
                <w:t>http://www.eseti.ru/clients/PowerGridJoining/NetOrgDisclosure/summarytranscapability.aspx</w:t>
              </w:r>
            </w:hyperlink>
          </w:p>
          <w:p w14:paraId="33157AF8" w14:textId="77777777" w:rsidR="003F4CFF" w:rsidRPr="00F85281" w:rsidRDefault="00E3307E" w:rsidP="00647D59">
            <w:pPr>
              <w:contextualSpacing/>
              <w:jc w:val="left"/>
              <w:rPr>
                <w:rFonts w:ascii="Times New Roman" w:hAnsi="Times New Roman" w:cs="Times New Roman"/>
                <w:color w:val="000000"/>
                <w:sz w:val="24"/>
                <w:szCs w:val="24"/>
                <w:lang w:eastAsia="en-US"/>
              </w:rPr>
            </w:pPr>
            <w:hyperlink r:id="rId177" w:history="1">
              <w:r w:rsidR="003F4CFF" w:rsidRPr="00F85281">
                <w:rPr>
                  <w:rFonts w:ascii="Times New Roman" w:hAnsi="Times New Roman" w:cs="Times New Roman"/>
                  <w:color w:val="0000FF"/>
                  <w:sz w:val="24"/>
                  <w:szCs w:val="24"/>
                  <w:u w:val="single"/>
                  <w:lang w:eastAsia="en-US"/>
                </w:rPr>
                <w:t>http://www.eseti.ru/clients/PowerGridJoining/MapPowerCenters.aspx</w:t>
              </w:r>
            </w:hyperlink>
          </w:p>
          <w:p w14:paraId="5A1B59FA"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rPr>
              <w:t>Министерство жилищно-коммунального хозяйства и энергетики Новосибирской области:</w:t>
            </w:r>
          </w:p>
          <w:p w14:paraId="6657BC83" w14:textId="77777777" w:rsidR="003F4CFF" w:rsidRPr="00F85281" w:rsidRDefault="00E3307E" w:rsidP="00647D59">
            <w:pPr>
              <w:contextualSpacing/>
              <w:jc w:val="left"/>
              <w:rPr>
                <w:rFonts w:ascii="Times New Roman" w:hAnsi="Times New Roman" w:cs="Times New Roman"/>
                <w:sz w:val="24"/>
                <w:szCs w:val="24"/>
                <w:u w:val="single"/>
              </w:rPr>
            </w:pPr>
            <w:hyperlink r:id="rId178" w:history="1">
              <w:r w:rsidR="003F4CFF" w:rsidRPr="00F85281">
                <w:rPr>
                  <w:rStyle w:val="a3"/>
                  <w:rFonts w:ascii="Times New Roman" w:hAnsi="Times New Roman" w:cs="Times New Roman"/>
                  <w:color w:val="auto"/>
                  <w:sz w:val="24"/>
                  <w:szCs w:val="24"/>
                </w:rPr>
                <w:t>http://mjkh.nso.ru/page/2280</w:t>
              </w:r>
            </w:hyperlink>
          </w:p>
        </w:tc>
      </w:tr>
      <w:tr w:rsidR="003F4CFF" w:rsidRPr="00BE3F13" w14:paraId="68282D32" w14:textId="77777777" w:rsidTr="00B42DF0">
        <w:trPr>
          <w:trHeight w:val="20"/>
        </w:trPr>
        <w:tc>
          <w:tcPr>
            <w:tcW w:w="195" w:type="pct"/>
            <w:shd w:val="clear" w:color="auto" w:fill="auto"/>
          </w:tcPr>
          <w:p w14:paraId="2DEE8C38" w14:textId="77777777" w:rsidR="003F4CFF" w:rsidRPr="00F85281" w:rsidRDefault="003F4CFF" w:rsidP="00647D59">
            <w:pPr>
              <w:ind w:hanging="108"/>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б)</w:t>
            </w:r>
          </w:p>
        </w:tc>
        <w:tc>
          <w:tcPr>
            <w:tcW w:w="1081" w:type="pct"/>
            <w:shd w:val="clear" w:color="auto" w:fill="auto"/>
          </w:tcPr>
          <w:p w14:paraId="33860DBF" w14:textId="77777777" w:rsidR="003F4CFF" w:rsidRPr="00F85281" w:rsidRDefault="003F4CFF" w:rsidP="003F4CFF">
            <w:pPr>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отображение на географической карте субъекта РФ ориентировочных мест подключения (технологического присоединения) к сетям территориальных сетевых организаций 110-35 кВт;</w:t>
            </w:r>
          </w:p>
        </w:tc>
        <w:tc>
          <w:tcPr>
            <w:tcW w:w="3725" w:type="pct"/>
            <w:shd w:val="clear" w:color="auto" w:fill="auto"/>
          </w:tcPr>
          <w:p w14:paraId="38CA2437"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lang w:eastAsia="en-US"/>
              </w:rPr>
              <w:t>Акционерное общество «Региональные электрические сети»</w:t>
            </w:r>
            <w:r w:rsidRPr="00F85281">
              <w:rPr>
                <w:rFonts w:ascii="Times New Roman" w:hAnsi="Times New Roman" w:cs="Times New Roman"/>
                <w:sz w:val="24"/>
                <w:szCs w:val="24"/>
              </w:rPr>
              <w:t>:</w:t>
            </w:r>
          </w:p>
          <w:p w14:paraId="3DDC24ED" w14:textId="77777777" w:rsidR="003F4CFF" w:rsidRPr="00F85281" w:rsidRDefault="00E3307E" w:rsidP="00647D59">
            <w:pPr>
              <w:contextualSpacing/>
              <w:jc w:val="left"/>
              <w:rPr>
                <w:rFonts w:ascii="Times New Roman" w:hAnsi="Times New Roman" w:cs="Times New Roman"/>
                <w:sz w:val="24"/>
                <w:szCs w:val="24"/>
                <w:u w:val="single"/>
              </w:rPr>
            </w:pPr>
            <w:hyperlink r:id="rId179" w:history="1">
              <w:r w:rsidR="003F4CFF" w:rsidRPr="00F85281">
                <w:rPr>
                  <w:rStyle w:val="a3"/>
                  <w:rFonts w:ascii="Times New Roman" w:hAnsi="Times New Roman" w:cs="Times New Roman"/>
                  <w:color w:val="auto"/>
                  <w:sz w:val="24"/>
                  <w:szCs w:val="24"/>
                </w:rPr>
                <w:t>http://www.eseti.ru/clients/PowerGridJoining/MapPowerCenters.aspx</w:t>
              </w:r>
            </w:hyperlink>
          </w:p>
          <w:p w14:paraId="418174DC"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rPr>
              <w:t>Инвестиционная карта Новосибирской области:</w:t>
            </w:r>
          </w:p>
          <w:p w14:paraId="1E6CF0D1" w14:textId="77777777" w:rsidR="003F4CFF" w:rsidRPr="00F85281" w:rsidRDefault="00E3307E" w:rsidP="00647D59">
            <w:pPr>
              <w:contextualSpacing/>
              <w:jc w:val="left"/>
              <w:rPr>
                <w:rFonts w:ascii="Times New Roman" w:hAnsi="Times New Roman" w:cs="Times New Roman"/>
                <w:sz w:val="24"/>
                <w:szCs w:val="24"/>
                <w:u w:val="single"/>
              </w:rPr>
            </w:pPr>
            <w:hyperlink r:id="rId180" w:history="1">
              <w:r w:rsidR="003F4CFF" w:rsidRPr="00F85281">
                <w:rPr>
                  <w:rStyle w:val="a3"/>
                  <w:rFonts w:ascii="Times New Roman" w:hAnsi="Times New Roman" w:cs="Times New Roman"/>
                  <w:color w:val="auto"/>
                  <w:sz w:val="24"/>
                  <w:szCs w:val="24"/>
                </w:rPr>
                <w:t>https://maps.nso.ru/CoGIS/Investment</w:t>
              </w:r>
            </w:hyperlink>
          </w:p>
          <w:p w14:paraId="545F540C" w14:textId="77777777" w:rsidR="003F4CFF" w:rsidRPr="00F85281" w:rsidRDefault="003F4CFF" w:rsidP="00647D59">
            <w:pPr>
              <w:contextualSpacing/>
              <w:jc w:val="left"/>
              <w:rPr>
                <w:rFonts w:ascii="Times New Roman" w:hAnsi="Times New Roman" w:cs="Times New Roman"/>
                <w:sz w:val="24"/>
                <w:szCs w:val="24"/>
                <w:u w:val="single"/>
              </w:rPr>
            </w:pPr>
          </w:p>
        </w:tc>
      </w:tr>
      <w:tr w:rsidR="003F4CFF" w:rsidRPr="00BE3F13" w14:paraId="45C87D47" w14:textId="77777777" w:rsidTr="00B42DF0">
        <w:trPr>
          <w:trHeight w:val="20"/>
        </w:trPr>
        <w:tc>
          <w:tcPr>
            <w:tcW w:w="195" w:type="pct"/>
            <w:shd w:val="clear" w:color="auto" w:fill="auto"/>
          </w:tcPr>
          <w:p w14:paraId="685AB306" w14:textId="77777777" w:rsidR="003F4CFF" w:rsidRPr="00F85281" w:rsidRDefault="003F4CFF" w:rsidP="00647D59">
            <w:pPr>
              <w:ind w:hanging="108"/>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в)</w:t>
            </w:r>
          </w:p>
        </w:tc>
        <w:tc>
          <w:tcPr>
            <w:tcW w:w="1081" w:type="pct"/>
            <w:shd w:val="clear" w:color="auto" w:fill="auto"/>
          </w:tcPr>
          <w:p w14:paraId="7A92E18A" w14:textId="77777777" w:rsidR="003F4CFF" w:rsidRPr="00F85281" w:rsidRDefault="003F4CFF" w:rsidP="003F4CFF">
            <w:pPr>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о количестве поданных заявок на технологическое присоединение;</w:t>
            </w:r>
          </w:p>
        </w:tc>
        <w:tc>
          <w:tcPr>
            <w:tcW w:w="3725" w:type="pct"/>
            <w:shd w:val="clear" w:color="auto" w:fill="auto"/>
          </w:tcPr>
          <w:p w14:paraId="6FE36EB4"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lang w:eastAsia="en-US"/>
              </w:rPr>
              <w:t>Акционерное общество «Региональные электрические сети»</w:t>
            </w:r>
            <w:r w:rsidRPr="00F85281">
              <w:rPr>
                <w:rFonts w:ascii="Times New Roman" w:hAnsi="Times New Roman" w:cs="Times New Roman"/>
                <w:sz w:val="24"/>
                <w:szCs w:val="24"/>
              </w:rPr>
              <w:t>:</w:t>
            </w:r>
          </w:p>
          <w:p w14:paraId="031AEE19" w14:textId="77777777" w:rsidR="003F4CFF" w:rsidRPr="00F85281" w:rsidRDefault="00E3307E" w:rsidP="00647D59">
            <w:pPr>
              <w:contextualSpacing/>
              <w:jc w:val="left"/>
              <w:rPr>
                <w:rFonts w:ascii="Times New Roman" w:hAnsi="Times New Roman" w:cs="Times New Roman"/>
                <w:sz w:val="24"/>
                <w:szCs w:val="24"/>
                <w:u w:val="single"/>
              </w:rPr>
            </w:pPr>
            <w:hyperlink r:id="rId181" w:history="1">
              <w:r w:rsidR="003F4CFF" w:rsidRPr="00F85281">
                <w:rPr>
                  <w:rStyle w:val="a3"/>
                  <w:rFonts w:ascii="Times New Roman" w:hAnsi="Times New Roman" w:cs="Times New Roman"/>
                  <w:color w:val="auto"/>
                  <w:sz w:val="24"/>
                  <w:szCs w:val="24"/>
                </w:rPr>
                <w:t>http://www.eseti.ru/clients/PowerGridJoining/NetOrgDisclosure/applicationcontracts.aspx</w:t>
              </w:r>
            </w:hyperlink>
          </w:p>
          <w:p w14:paraId="3B2CEE8D" w14:textId="77777777" w:rsidR="003F4CFF" w:rsidRPr="00F85281" w:rsidRDefault="003F4CFF" w:rsidP="00647D59">
            <w:pPr>
              <w:contextualSpacing/>
              <w:jc w:val="left"/>
              <w:rPr>
                <w:rFonts w:ascii="Times New Roman" w:hAnsi="Times New Roman" w:cs="Times New Roman"/>
                <w:sz w:val="24"/>
                <w:szCs w:val="24"/>
                <w:u w:val="single"/>
              </w:rPr>
            </w:pPr>
          </w:p>
        </w:tc>
      </w:tr>
      <w:tr w:rsidR="003F4CFF" w:rsidRPr="00BE3F13" w14:paraId="1FD34C5A" w14:textId="77777777" w:rsidTr="00B42DF0">
        <w:trPr>
          <w:trHeight w:val="20"/>
        </w:trPr>
        <w:tc>
          <w:tcPr>
            <w:tcW w:w="195" w:type="pct"/>
            <w:shd w:val="clear" w:color="auto" w:fill="auto"/>
          </w:tcPr>
          <w:p w14:paraId="377AE668" w14:textId="77777777" w:rsidR="003F4CFF" w:rsidRPr="00F85281" w:rsidRDefault="003F4CFF" w:rsidP="00647D59">
            <w:pPr>
              <w:ind w:hanging="108"/>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г)</w:t>
            </w:r>
          </w:p>
        </w:tc>
        <w:tc>
          <w:tcPr>
            <w:tcW w:w="1081" w:type="pct"/>
            <w:shd w:val="clear" w:color="auto" w:fill="auto"/>
          </w:tcPr>
          <w:p w14:paraId="00E606EA" w14:textId="77777777" w:rsidR="003F4CFF" w:rsidRPr="00F85281" w:rsidRDefault="003F4CFF" w:rsidP="003F4CFF">
            <w:pPr>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о количестве заключенных договоров на технологическое присоединение;</w:t>
            </w:r>
          </w:p>
        </w:tc>
        <w:tc>
          <w:tcPr>
            <w:tcW w:w="3725" w:type="pct"/>
            <w:shd w:val="clear" w:color="auto" w:fill="auto"/>
          </w:tcPr>
          <w:p w14:paraId="13A3FE66"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lang w:eastAsia="en-US"/>
              </w:rPr>
              <w:t>Акционерное общество «Региональные электрические сети»</w:t>
            </w:r>
            <w:r w:rsidRPr="00F85281">
              <w:rPr>
                <w:rFonts w:ascii="Times New Roman" w:hAnsi="Times New Roman" w:cs="Times New Roman"/>
                <w:sz w:val="24"/>
                <w:szCs w:val="24"/>
              </w:rPr>
              <w:t>:</w:t>
            </w:r>
          </w:p>
          <w:p w14:paraId="15635C29" w14:textId="77777777" w:rsidR="003F4CFF" w:rsidRPr="00F85281" w:rsidRDefault="00E3307E" w:rsidP="00647D59">
            <w:pPr>
              <w:contextualSpacing/>
              <w:jc w:val="left"/>
              <w:rPr>
                <w:rFonts w:ascii="Times New Roman" w:hAnsi="Times New Roman" w:cs="Times New Roman"/>
                <w:sz w:val="24"/>
                <w:szCs w:val="24"/>
                <w:u w:val="single"/>
              </w:rPr>
            </w:pPr>
            <w:hyperlink r:id="rId182" w:history="1">
              <w:r w:rsidR="003F4CFF" w:rsidRPr="00F85281">
                <w:rPr>
                  <w:rStyle w:val="a3"/>
                  <w:rFonts w:ascii="Times New Roman" w:hAnsi="Times New Roman" w:cs="Times New Roman"/>
                  <w:color w:val="auto"/>
                  <w:sz w:val="24"/>
                  <w:szCs w:val="24"/>
                </w:rPr>
                <w:t>http://www.eseti.ru/clients/PowerGridJoining/NetOrgDisclosure/executedjoins.aspx</w:t>
              </w:r>
            </w:hyperlink>
          </w:p>
        </w:tc>
      </w:tr>
      <w:tr w:rsidR="003F4CFF" w:rsidRPr="00BE3F13" w14:paraId="5FA4E9ED" w14:textId="77777777" w:rsidTr="00B42DF0">
        <w:trPr>
          <w:trHeight w:val="20"/>
        </w:trPr>
        <w:tc>
          <w:tcPr>
            <w:tcW w:w="195" w:type="pct"/>
            <w:shd w:val="clear" w:color="auto" w:fill="auto"/>
          </w:tcPr>
          <w:p w14:paraId="0824E46A" w14:textId="77777777" w:rsidR="003F4CFF" w:rsidRPr="00F85281" w:rsidRDefault="003F4CFF" w:rsidP="00647D59">
            <w:pPr>
              <w:ind w:hanging="108"/>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д)</w:t>
            </w:r>
          </w:p>
        </w:tc>
        <w:tc>
          <w:tcPr>
            <w:tcW w:w="1081" w:type="pct"/>
            <w:shd w:val="clear" w:color="auto" w:fill="auto"/>
          </w:tcPr>
          <w:p w14:paraId="0A5B6BD3" w14:textId="77777777" w:rsidR="003F4CFF" w:rsidRPr="00F85281" w:rsidRDefault="003F4CFF" w:rsidP="003F4CFF">
            <w:pPr>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о планируемых сроках строительства и реконструкции сетей территориальных сетевых организаций 110-35 кВт в соответствии с утвержденной инвестиционной программой</w:t>
            </w:r>
          </w:p>
        </w:tc>
        <w:tc>
          <w:tcPr>
            <w:tcW w:w="3725" w:type="pct"/>
            <w:shd w:val="clear" w:color="auto" w:fill="auto"/>
          </w:tcPr>
          <w:p w14:paraId="7044270C"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lang w:eastAsia="en-US"/>
              </w:rPr>
              <w:t>Акционерное общество «Региональные электрические сети»</w:t>
            </w:r>
            <w:r w:rsidRPr="00F85281">
              <w:rPr>
                <w:rFonts w:ascii="Times New Roman" w:hAnsi="Times New Roman" w:cs="Times New Roman"/>
                <w:sz w:val="24"/>
                <w:szCs w:val="24"/>
              </w:rPr>
              <w:t>:</w:t>
            </w:r>
          </w:p>
          <w:p w14:paraId="019AF20F" w14:textId="77777777" w:rsidR="003F4CFF" w:rsidRPr="00F85281" w:rsidRDefault="00E3307E" w:rsidP="00647D59">
            <w:pPr>
              <w:contextualSpacing/>
              <w:jc w:val="left"/>
              <w:rPr>
                <w:rFonts w:ascii="Times New Roman" w:hAnsi="Times New Roman" w:cs="Times New Roman"/>
                <w:sz w:val="24"/>
                <w:szCs w:val="24"/>
                <w:u w:val="single"/>
              </w:rPr>
            </w:pPr>
            <w:hyperlink r:id="rId183" w:history="1">
              <w:r w:rsidR="003F4CFF" w:rsidRPr="00F85281">
                <w:rPr>
                  <w:rStyle w:val="a3"/>
                  <w:rFonts w:ascii="Times New Roman" w:hAnsi="Times New Roman" w:cs="Times New Roman"/>
                  <w:color w:val="auto"/>
                  <w:sz w:val="24"/>
                  <w:szCs w:val="24"/>
                </w:rPr>
                <w:t>http://www.eseti.ru/about/technicalpolicy/technicalpolicy.aspx</w:t>
              </w:r>
            </w:hyperlink>
          </w:p>
          <w:p w14:paraId="3044DA87"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rPr>
              <w:t>Министерство жилищно-коммунального хозяйства и энергетики Новосибирской области:</w:t>
            </w:r>
          </w:p>
          <w:p w14:paraId="5C8045E8" w14:textId="77777777" w:rsidR="003F4CFF" w:rsidRPr="00F85281" w:rsidRDefault="00E3307E" w:rsidP="00647D59">
            <w:pPr>
              <w:contextualSpacing/>
              <w:jc w:val="left"/>
              <w:rPr>
                <w:rFonts w:ascii="Times New Roman" w:hAnsi="Times New Roman" w:cs="Times New Roman"/>
                <w:sz w:val="24"/>
                <w:szCs w:val="24"/>
                <w:u w:val="single"/>
              </w:rPr>
            </w:pPr>
            <w:hyperlink r:id="rId184" w:history="1">
              <w:r w:rsidR="003F4CFF" w:rsidRPr="00F85281">
                <w:rPr>
                  <w:rStyle w:val="a3"/>
                  <w:rFonts w:ascii="Times New Roman" w:hAnsi="Times New Roman" w:cs="Times New Roman"/>
                  <w:color w:val="auto"/>
                  <w:sz w:val="24"/>
                  <w:szCs w:val="24"/>
                </w:rPr>
                <w:t>https://mjkh.nso.ru/page/1040</w:t>
              </w:r>
            </w:hyperlink>
          </w:p>
          <w:p w14:paraId="4006CAF5" w14:textId="77777777" w:rsidR="003F4CFF" w:rsidRPr="00F85281" w:rsidRDefault="003F4CFF" w:rsidP="00647D59">
            <w:pPr>
              <w:contextualSpacing/>
              <w:jc w:val="left"/>
              <w:rPr>
                <w:rFonts w:ascii="Times New Roman" w:hAnsi="Times New Roman" w:cs="Times New Roman"/>
                <w:sz w:val="24"/>
                <w:szCs w:val="24"/>
                <w:u w:val="single"/>
              </w:rPr>
            </w:pPr>
          </w:p>
        </w:tc>
      </w:tr>
      <w:tr w:rsidR="003F4CFF" w:rsidRPr="00BE3F13" w14:paraId="51AD71B0" w14:textId="77777777" w:rsidTr="00B42DF0">
        <w:trPr>
          <w:trHeight w:val="20"/>
        </w:trPr>
        <w:tc>
          <w:tcPr>
            <w:tcW w:w="195" w:type="pct"/>
            <w:shd w:val="clear" w:color="auto" w:fill="auto"/>
          </w:tcPr>
          <w:p w14:paraId="54AF0988" w14:textId="77777777" w:rsidR="003F4CFF" w:rsidRPr="00F85281" w:rsidRDefault="003F4CFF" w:rsidP="00B42DF0">
            <w:pPr>
              <w:ind w:right="-146"/>
              <w:contextualSpacing/>
              <w:rPr>
                <w:rFonts w:ascii="Times New Roman" w:hAnsi="Times New Roman" w:cs="Times New Roman"/>
                <w:b/>
                <w:color w:val="000000"/>
                <w:sz w:val="24"/>
                <w:szCs w:val="24"/>
              </w:rPr>
            </w:pPr>
            <w:r w:rsidRPr="00F85281">
              <w:rPr>
                <w:rFonts w:ascii="Times New Roman" w:hAnsi="Times New Roman" w:cs="Times New Roman"/>
                <w:b/>
                <w:color w:val="000000"/>
                <w:sz w:val="24"/>
                <w:szCs w:val="24"/>
              </w:rPr>
              <w:t>2.</w:t>
            </w:r>
          </w:p>
        </w:tc>
        <w:tc>
          <w:tcPr>
            <w:tcW w:w="4805" w:type="pct"/>
            <w:gridSpan w:val="2"/>
            <w:shd w:val="clear" w:color="auto" w:fill="auto"/>
          </w:tcPr>
          <w:p w14:paraId="5A0D777A" w14:textId="77777777" w:rsidR="003F4CFF" w:rsidRPr="00F85281" w:rsidRDefault="003F4CFF" w:rsidP="003F4CFF">
            <w:pPr>
              <w:contextualSpacing/>
              <w:rPr>
                <w:rFonts w:ascii="Times New Roman" w:hAnsi="Times New Roman" w:cs="Times New Roman"/>
                <w:b/>
                <w:color w:val="FF0000"/>
                <w:sz w:val="24"/>
                <w:szCs w:val="24"/>
              </w:rPr>
            </w:pPr>
            <w:r w:rsidRPr="00F85281">
              <w:rPr>
                <w:rFonts w:ascii="Times New Roman" w:hAnsi="Times New Roman" w:cs="Times New Roman"/>
                <w:b/>
                <w:color w:val="000000"/>
                <w:sz w:val="24"/>
                <w:szCs w:val="24"/>
              </w:rPr>
              <w:t>Ссылки на страницы сети «Интернет», содержащие информацию:</w:t>
            </w:r>
          </w:p>
        </w:tc>
      </w:tr>
      <w:tr w:rsidR="003F4CFF" w:rsidRPr="00BE3F13" w14:paraId="005BE7D2" w14:textId="77777777" w:rsidTr="00B42DF0">
        <w:trPr>
          <w:trHeight w:val="20"/>
        </w:trPr>
        <w:tc>
          <w:tcPr>
            <w:tcW w:w="195" w:type="pct"/>
            <w:shd w:val="clear" w:color="auto" w:fill="auto"/>
          </w:tcPr>
          <w:p w14:paraId="05EF5C23" w14:textId="77777777" w:rsidR="003F4CFF" w:rsidRPr="00F85281" w:rsidRDefault="003F4CFF" w:rsidP="00647D59">
            <w:pPr>
              <w:ind w:hanging="108"/>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а)</w:t>
            </w:r>
          </w:p>
        </w:tc>
        <w:tc>
          <w:tcPr>
            <w:tcW w:w="1081" w:type="pct"/>
            <w:shd w:val="clear" w:color="auto" w:fill="auto"/>
          </w:tcPr>
          <w:p w14:paraId="4AAE4D1B" w14:textId="77777777" w:rsidR="003F4CFF" w:rsidRPr="00F85281" w:rsidRDefault="003F4CFF" w:rsidP="003F4CFF">
            <w:pPr>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 xml:space="preserve">отображение на географической карте субъекта РФ ориентировочных </w:t>
            </w:r>
            <w:r w:rsidRPr="00F85281">
              <w:rPr>
                <w:rFonts w:ascii="Times New Roman" w:hAnsi="Times New Roman" w:cs="Times New Roman"/>
                <w:color w:val="000000"/>
                <w:sz w:val="24"/>
                <w:szCs w:val="24"/>
              </w:rPr>
              <w:lastRenderedPageBreak/>
              <w:t>мест подключения (технологического присоединения) к сетям газораспределительных станций;</w:t>
            </w:r>
          </w:p>
        </w:tc>
        <w:tc>
          <w:tcPr>
            <w:tcW w:w="3725" w:type="pct"/>
            <w:shd w:val="clear" w:color="auto" w:fill="auto"/>
          </w:tcPr>
          <w:p w14:paraId="1BD0ECF6"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lang w:eastAsia="en-US"/>
              </w:rPr>
              <w:lastRenderedPageBreak/>
              <w:t>Инвестиционная карта Новосибирской области:</w:t>
            </w:r>
          </w:p>
          <w:p w14:paraId="391F5F47" w14:textId="77777777" w:rsidR="003F4CFF" w:rsidRPr="00F85281" w:rsidRDefault="00E3307E" w:rsidP="00647D59">
            <w:pPr>
              <w:contextualSpacing/>
              <w:jc w:val="left"/>
              <w:rPr>
                <w:rFonts w:ascii="Times New Roman" w:hAnsi="Times New Roman" w:cs="Times New Roman"/>
                <w:color w:val="000000"/>
                <w:sz w:val="24"/>
                <w:szCs w:val="24"/>
              </w:rPr>
            </w:pPr>
            <w:hyperlink r:id="rId185" w:history="1">
              <w:r w:rsidR="003F4CFF" w:rsidRPr="00F85281">
                <w:rPr>
                  <w:rStyle w:val="a3"/>
                  <w:rFonts w:ascii="Times New Roman" w:hAnsi="Times New Roman" w:cs="Times New Roman"/>
                  <w:color w:val="000000"/>
                  <w:sz w:val="24"/>
                  <w:szCs w:val="24"/>
                </w:rPr>
                <w:t>https://maps.nso.ru/CoGIS/GRS#</w:t>
              </w:r>
            </w:hyperlink>
          </w:p>
          <w:p w14:paraId="0396EC55" w14:textId="77777777" w:rsidR="003F4CFF" w:rsidRPr="00F85281" w:rsidRDefault="003F4CFF" w:rsidP="00647D59">
            <w:pPr>
              <w:contextualSpacing/>
              <w:jc w:val="left"/>
              <w:rPr>
                <w:rFonts w:ascii="Times New Roman" w:hAnsi="Times New Roman" w:cs="Times New Roman"/>
                <w:color w:val="000000"/>
                <w:sz w:val="24"/>
                <w:szCs w:val="24"/>
              </w:rPr>
            </w:pPr>
            <w:r w:rsidRPr="00F85281">
              <w:rPr>
                <w:rFonts w:ascii="Times New Roman" w:hAnsi="Times New Roman" w:cs="Times New Roman"/>
                <w:sz w:val="24"/>
                <w:szCs w:val="24"/>
                <w:lang w:eastAsia="en-US"/>
              </w:rPr>
              <w:t>ООО «Газпром трансгаз Томск»:</w:t>
            </w:r>
          </w:p>
          <w:p w14:paraId="4FF51B92" w14:textId="77777777" w:rsidR="003F4CFF" w:rsidRPr="00F85281" w:rsidRDefault="00E3307E" w:rsidP="00647D59">
            <w:pPr>
              <w:contextualSpacing/>
              <w:jc w:val="left"/>
              <w:rPr>
                <w:rFonts w:ascii="Times New Roman" w:hAnsi="Times New Roman" w:cs="Times New Roman"/>
                <w:color w:val="000000"/>
                <w:sz w:val="24"/>
                <w:szCs w:val="24"/>
              </w:rPr>
            </w:pPr>
            <w:hyperlink r:id="rId186" w:history="1">
              <w:r w:rsidR="003F4CFF" w:rsidRPr="00F85281">
                <w:rPr>
                  <w:rStyle w:val="a3"/>
                  <w:rFonts w:ascii="Times New Roman" w:hAnsi="Times New Roman" w:cs="Times New Roman"/>
                  <w:color w:val="000000"/>
                  <w:sz w:val="24"/>
                  <w:szCs w:val="24"/>
                </w:rPr>
                <w:t>https://tomsk-tr.gazprom.ru/about/documents/raskrytie-informatsii/</w:t>
              </w:r>
            </w:hyperlink>
          </w:p>
          <w:p w14:paraId="092F8DB4" w14:textId="77777777" w:rsidR="003F4CFF" w:rsidRPr="00F85281" w:rsidRDefault="003F4CFF" w:rsidP="00647D59">
            <w:pPr>
              <w:contextualSpacing/>
              <w:jc w:val="left"/>
              <w:rPr>
                <w:rFonts w:ascii="Times New Roman" w:hAnsi="Times New Roman" w:cs="Times New Roman"/>
                <w:color w:val="000000"/>
                <w:sz w:val="24"/>
                <w:szCs w:val="24"/>
              </w:rPr>
            </w:pPr>
          </w:p>
        </w:tc>
      </w:tr>
      <w:tr w:rsidR="003F4CFF" w:rsidRPr="00BE3F13" w14:paraId="3CB518D8" w14:textId="77777777" w:rsidTr="00B42DF0">
        <w:trPr>
          <w:trHeight w:val="20"/>
        </w:trPr>
        <w:tc>
          <w:tcPr>
            <w:tcW w:w="195" w:type="pct"/>
            <w:shd w:val="clear" w:color="auto" w:fill="auto"/>
          </w:tcPr>
          <w:p w14:paraId="60D903F5" w14:textId="77777777" w:rsidR="003F4CFF" w:rsidRPr="00F85281" w:rsidRDefault="003F4CFF" w:rsidP="00647D59">
            <w:pPr>
              <w:ind w:hanging="108"/>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lastRenderedPageBreak/>
              <w:t>б)</w:t>
            </w:r>
          </w:p>
        </w:tc>
        <w:tc>
          <w:tcPr>
            <w:tcW w:w="1081" w:type="pct"/>
            <w:shd w:val="clear" w:color="auto" w:fill="auto"/>
          </w:tcPr>
          <w:p w14:paraId="0079AF57" w14:textId="77777777" w:rsidR="003F4CFF" w:rsidRPr="00F85281" w:rsidRDefault="003F4CFF" w:rsidP="003F4CFF">
            <w:pPr>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о проектной мощности (пропускной способности) газораспределительных станций;</w:t>
            </w:r>
          </w:p>
        </w:tc>
        <w:tc>
          <w:tcPr>
            <w:tcW w:w="3725" w:type="pct"/>
            <w:shd w:val="clear" w:color="auto" w:fill="auto"/>
          </w:tcPr>
          <w:p w14:paraId="57485C98"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lang w:eastAsia="en-US"/>
              </w:rPr>
              <w:t>Инвестиционная карта Новосибирской области:</w:t>
            </w:r>
          </w:p>
          <w:p w14:paraId="0E1511B5" w14:textId="77777777" w:rsidR="003F4CFF" w:rsidRPr="00F85281" w:rsidRDefault="00E3307E" w:rsidP="00647D59">
            <w:pPr>
              <w:contextualSpacing/>
              <w:jc w:val="left"/>
              <w:rPr>
                <w:rFonts w:ascii="Times New Roman" w:hAnsi="Times New Roman" w:cs="Times New Roman"/>
                <w:color w:val="000000"/>
                <w:sz w:val="24"/>
                <w:szCs w:val="24"/>
              </w:rPr>
            </w:pPr>
            <w:hyperlink r:id="rId187" w:history="1">
              <w:r w:rsidR="003F4CFF" w:rsidRPr="00F85281">
                <w:rPr>
                  <w:rStyle w:val="a3"/>
                  <w:rFonts w:ascii="Times New Roman" w:hAnsi="Times New Roman" w:cs="Times New Roman"/>
                  <w:color w:val="000000"/>
                  <w:sz w:val="24"/>
                  <w:szCs w:val="24"/>
                </w:rPr>
                <w:t>https://maps.nso.ru/CoGIS/GRS#</w:t>
              </w:r>
            </w:hyperlink>
          </w:p>
          <w:p w14:paraId="59550D91" w14:textId="77777777" w:rsidR="003F4CFF" w:rsidRPr="00F85281" w:rsidRDefault="003F4CFF" w:rsidP="00647D59">
            <w:pPr>
              <w:contextualSpacing/>
              <w:jc w:val="left"/>
              <w:rPr>
                <w:rFonts w:ascii="Times New Roman" w:hAnsi="Times New Roman" w:cs="Times New Roman"/>
                <w:color w:val="000000"/>
                <w:sz w:val="24"/>
                <w:szCs w:val="24"/>
              </w:rPr>
            </w:pPr>
            <w:r w:rsidRPr="00F85281">
              <w:rPr>
                <w:rFonts w:ascii="Times New Roman" w:hAnsi="Times New Roman" w:cs="Times New Roman"/>
                <w:sz w:val="24"/>
                <w:szCs w:val="24"/>
                <w:lang w:eastAsia="en-US"/>
              </w:rPr>
              <w:t>ООО «Газпром трансгаз Томск»:</w:t>
            </w:r>
          </w:p>
          <w:p w14:paraId="2EF65216" w14:textId="77777777" w:rsidR="003F4CFF" w:rsidRPr="00F85281" w:rsidRDefault="00E3307E" w:rsidP="00647D59">
            <w:pPr>
              <w:contextualSpacing/>
              <w:jc w:val="left"/>
              <w:rPr>
                <w:rFonts w:ascii="Times New Roman" w:hAnsi="Times New Roman" w:cs="Times New Roman"/>
                <w:color w:val="000000"/>
                <w:sz w:val="24"/>
                <w:szCs w:val="24"/>
              </w:rPr>
            </w:pPr>
            <w:hyperlink r:id="rId188" w:history="1">
              <w:r w:rsidR="003F4CFF" w:rsidRPr="00F85281">
                <w:rPr>
                  <w:rStyle w:val="a3"/>
                  <w:rFonts w:ascii="Times New Roman" w:hAnsi="Times New Roman" w:cs="Times New Roman"/>
                  <w:color w:val="000000"/>
                  <w:sz w:val="24"/>
                  <w:szCs w:val="24"/>
                </w:rPr>
                <w:t>https://tomsk-tr.gazprom.ru/about/documents/raskrytie-informatsii/</w:t>
              </w:r>
            </w:hyperlink>
          </w:p>
          <w:p w14:paraId="3AB7EABD" w14:textId="77777777" w:rsidR="003F4CFF" w:rsidRPr="00F85281" w:rsidRDefault="003F4CFF" w:rsidP="00647D59">
            <w:pPr>
              <w:contextualSpacing/>
              <w:jc w:val="left"/>
              <w:rPr>
                <w:rFonts w:ascii="Times New Roman" w:hAnsi="Times New Roman" w:cs="Times New Roman"/>
                <w:color w:val="000000"/>
                <w:sz w:val="24"/>
                <w:szCs w:val="24"/>
              </w:rPr>
            </w:pPr>
          </w:p>
        </w:tc>
      </w:tr>
      <w:tr w:rsidR="003F4CFF" w:rsidRPr="00BE3F13" w14:paraId="2B7D4EAB" w14:textId="77777777" w:rsidTr="00B42DF0">
        <w:trPr>
          <w:trHeight w:val="20"/>
        </w:trPr>
        <w:tc>
          <w:tcPr>
            <w:tcW w:w="195" w:type="pct"/>
            <w:shd w:val="clear" w:color="auto" w:fill="auto"/>
          </w:tcPr>
          <w:p w14:paraId="0A86FB8D" w14:textId="77777777" w:rsidR="003F4CFF" w:rsidRPr="00F85281" w:rsidRDefault="003F4CFF" w:rsidP="00647D59">
            <w:pPr>
              <w:ind w:hanging="108"/>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в)</w:t>
            </w:r>
          </w:p>
        </w:tc>
        <w:tc>
          <w:tcPr>
            <w:tcW w:w="1081" w:type="pct"/>
            <w:shd w:val="clear" w:color="auto" w:fill="auto"/>
          </w:tcPr>
          <w:p w14:paraId="776D04F8" w14:textId="77777777" w:rsidR="003F4CFF" w:rsidRPr="00F85281" w:rsidRDefault="003F4CFF" w:rsidP="003F4CFF">
            <w:pPr>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о наличии свободных резервов мощности газораспределительных станций и размере этих резервов;</w:t>
            </w:r>
          </w:p>
        </w:tc>
        <w:tc>
          <w:tcPr>
            <w:tcW w:w="3725" w:type="pct"/>
            <w:shd w:val="clear" w:color="auto" w:fill="auto"/>
          </w:tcPr>
          <w:p w14:paraId="2C649981"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lang w:eastAsia="en-US"/>
              </w:rPr>
              <w:t>Инвестиционная карта Новосибирской области:</w:t>
            </w:r>
          </w:p>
          <w:p w14:paraId="2A61A3A2" w14:textId="77777777" w:rsidR="003F4CFF" w:rsidRPr="00F85281" w:rsidRDefault="00E3307E" w:rsidP="00647D59">
            <w:pPr>
              <w:contextualSpacing/>
              <w:jc w:val="left"/>
              <w:rPr>
                <w:rFonts w:ascii="Times New Roman" w:hAnsi="Times New Roman" w:cs="Times New Roman"/>
                <w:color w:val="000000"/>
                <w:sz w:val="24"/>
                <w:szCs w:val="24"/>
              </w:rPr>
            </w:pPr>
            <w:hyperlink r:id="rId189" w:history="1">
              <w:r w:rsidR="003F4CFF" w:rsidRPr="00F85281">
                <w:rPr>
                  <w:rStyle w:val="a3"/>
                  <w:rFonts w:ascii="Times New Roman" w:hAnsi="Times New Roman" w:cs="Times New Roman"/>
                  <w:color w:val="000000"/>
                  <w:sz w:val="24"/>
                  <w:szCs w:val="24"/>
                </w:rPr>
                <w:t>https://maps.nso.ru/CoGIS/GRS#</w:t>
              </w:r>
            </w:hyperlink>
          </w:p>
          <w:p w14:paraId="7ECF5969" w14:textId="77777777" w:rsidR="003F4CFF" w:rsidRPr="00F85281" w:rsidRDefault="003F4CFF" w:rsidP="00647D59">
            <w:pPr>
              <w:contextualSpacing/>
              <w:jc w:val="left"/>
              <w:rPr>
                <w:rFonts w:ascii="Times New Roman" w:hAnsi="Times New Roman" w:cs="Times New Roman"/>
                <w:color w:val="000000"/>
                <w:sz w:val="24"/>
                <w:szCs w:val="24"/>
              </w:rPr>
            </w:pPr>
            <w:r w:rsidRPr="00F85281">
              <w:rPr>
                <w:rFonts w:ascii="Times New Roman" w:hAnsi="Times New Roman" w:cs="Times New Roman"/>
                <w:sz w:val="24"/>
                <w:szCs w:val="24"/>
                <w:lang w:eastAsia="en-US"/>
              </w:rPr>
              <w:t>ООО «Газпром трансгаз Томск»:</w:t>
            </w:r>
          </w:p>
          <w:p w14:paraId="73A60FFF" w14:textId="77777777" w:rsidR="003F4CFF" w:rsidRPr="00F85281" w:rsidRDefault="00E3307E" w:rsidP="00647D59">
            <w:pPr>
              <w:contextualSpacing/>
              <w:jc w:val="left"/>
              <w:rPr>
                <w:rFonts w:ascii="Times New Roman" w:hAnsi="Times New Roman" w:cs="Times New Roman"/>
                <w:color w:val="000000"/>
                <w:sz w:val="24"/>
                <w:szCs w:val="24"/>
              </w:rPr>
            </w:pPr>
            <w:hyperlink r:id="rId190" w:history="1">
              <w:r w:rsidR="003F4CFF" w:rsidRPr="00F85281">
                <w:rPr>
                  <w:rStyle w:val="a3"/>
                  <w:rFonts w:ascii="Times New Roman" w:hAnsi="Times New Roman" w:cs="Times New Roman"/>
                  <w:color w:val="000000"/>
                  <w:sz w:val="24"/>
                  <w:szCs w:val="24"/>
                </w:rPr>
                <w:t>https://tomsk-tr.gazprom.ru/about/documents/raskrytie-informatsii/</w:t>
              </w:r>
            </w:hyperlink>
          </w:p>
          <w:p w14:paraId="44C09768" w14:textId="77777777" w:rsidR="003F4CFF" w:rsidRPr="00F85281" w:rsidRDefault="003F4CFF" w:rsidP="00647D59">
            <w:pPr>
              <w:contextualSpacing/>
              <w:jc w:val="left"/>
              <w:rPr>
                <w:rFonts w:ascii="Times New Roman" w:hAnsi="Times New Roman" w:cs="Times New Roman"/>
                <w:color w:val="000000"/>
                <w:sz w:val="24"/>
                <w:szCs w:val="24"/>
              </w:rPr>
            </w:pPr>
          </w:p>
        </w:tc>
      </w:tr>
      <w:tr w:rsidR="003F4CFF" w:rsidRPr="00BE3F13" w14:paraId="0348217F" w14:textId="77777777" w:rsidTr="00B42DF0">
        <w:trPr>
          <w:trHeight w:val="20"/>
        </w:trPr>
        <w:tc>
          <w:tcPr>
            <w:tcW w:w="195" w:type="pct"/>
            <w:shd w:val="clear" w:color="auto" w:fill="auto"/>
          </w:tcPr>
          <w:p w14:paraId="013FC074" w14:textId="77777777" w:rsidR="003F4CFF" w:rsidRPr="00F85281" w:rsidRDefault="003F4CFF" w:rsidP="00647D59">
            <w:pPr>
              <w:ind w:hanging="108"/>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г)</w:t>
            </w:r>
          </w:p>
        </w:tc>
        <w:tc>
          <w:tcPr>
            <w:tcW w:w="1081" w:type="pct"/>
            <w:shd w:val="clear" w:color="auto" w:fill="auto"/>
          </w:tcPr>
          <w:p w14:paraId="05C6DCD0" w14:textId="77777777" w:rsidR="003F4CFF" w:rsidRPr="00F85281" w:rsidRDefault="003F4CFF" w:rsidP="003F4CFF">
            <w:pPr>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их строительства, реконструкции)</w:t>
            </w:r>
          </w:p>
        </w:tc>
        <w:tc>
          <w:tcPr>
            <w:tcW w:w="3725" w:type="pct"/>
            <w:shd w:val="clear" w:color="auto" w:fill="auto"/>
          </w:tcPr>
          <w:p w14:paraId="3911D3A8"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lang w:eastAsia="en-US"/>
              </w:rPr>
              <w:t>Инвестиционная карта Новосибирской области:</w:t>
            </w:r>
          </w:p>
          <w:p w14:paraId="7BF1ACED" w14:textId="77777777" w:rsidR="003F4CFF" w:rsidRPr="00F85281" w:rsidRDefault="00E3307E" w:rsidP="00647D59">
            <w:pPr>
              <w:contextualSpacing/>
              <w:jc w:val="left"/>
              <w:rPr>
                <w:rFonts w:ascii="Times New Roman" w:hAnsi="Times New Roman" w:cs="Times New Roman"/>
                <w:color w:val="000000"/>
                <w:sz w:val="24"/>
                <w:szCs w:val="24"/>
              </w:rPr>
            </w:pPr>
            <w:hyperlink r:id="rId191" w:history="1">
              <w:r w:rsidR="003F4CFF" w:rsidRPr="00F85281">
                <w:rPr>
                  <w:rStyle w:val="a3"/>
                  <w:rFonts w:ascii="Times New Roman" w:hAnsi="Times New Roman" w:cs="Times New Roman"/>
                  <w:color w:val="000000"/>
                  <w:sz w:val="24"/>
                  <w:szCs w:val="24"/>
                </w:rPr>
                <w:t>https://maps.nso.ru/CoGIS/GRS#</w:t>
              </w:r>
            </w:hyperlink>
          </w:p>
          <w:p w14:paraId="0183F956" w14:textId="77777777" w:rsidR="003F4CFF" w:rsidRPr="00F85281" w:rsidRDefault="003F4CFF" w:rsidP="00647D59">
            <w:pPr>
              <w:contextualSpacing/>
              <w:jc w:val="left"/>
              <w:rPr>
                <w:rFonts w:ascii="Times New Roman" w:hAnsi="Times New Roman" w:cs="Times New Roman"/>
                <w:color w:val="000000"/>
                <w:sz w:val="24"/>
                <w:szCs w:val="24"/>
              </w:rPr>
            </w:pPr>
            <w:r w:rsidRPr="00F85281">
              <w:rPr>
                <w:rFonts w:ascii="Times New Roman" w:hAnsi="Times New Roman" w:cs="Times New Roman"/>
                <w:sz w:val="24"/>
                <w:szCs w:val="24"/>
                <w:lang w:eastAsia="en-US"/>
              </w:rPr>
              <w:t>ООО «Газпром трансгаз Томск»:</w:t>
            </w:r>
          </w:p>
          <w:p w14:paraId="3F0107D2" w14:textId="77777777" w:rsidR="003F4CFF" w:rsidRPr="00F85281" w:rsidRDefault="00E3307E" w:rsidP="00647D59">
            <w:pPr>
              <w:contextualSpacing/>
              <w:jc w:val="left"/>
              <w:rPr>
                <w:rFonts w:ascii="Times New Roman" w:hAnsi="Times New Roman" w:cs="Times New Roman"/>
                <w:color w:val="000000"/>
                <w:sz w:val="24"/>
                <w:szCs w:val="24"/>
              </w:rPr>
            </w:pPr>
            <w:hyperlink r:id="rId192" w:history="1">
              <w:r w:rsidR="003F4CFF" w:rsidRPr="00F85281">
                <w:rPr>
                  <w:rStyle w:val="a3"/>
                  <w:rFonts w:ascii="Times New Roman" w:hAnsi="Times New Roman" w:cs="Times New Roman"/>
                  <w:color w:val="000000"/>
                  <w:sz w:val="24"/>
                  <w:szCs w:val="24"/>
                </w:rPr>
                <w:t>https://tomsk-tr.gazprom.ru/about/documents/raskrytie-informatsii/</w:t>
              </w:r>
            </w:hyperlink>
          </w:p>
          <w:p w14:paraId="2595EA3E" w14:textId="77777777" w:rsidR="003F4CFF" w:rsidRPr="00F85281" w:rsidRDefault="003F4CFF" w:rsidP="00647D59">
            <w:pPr>
              <w:contextualSpacing/>
              <w:jc w:val="left"/>
              <w:rPr>
                <w:rFonts w:ascii="Times New Roman" w:hAnsi="Times New Roman" w:cs="Times New Roman"/>
                <w:color w:val="000000"/>
                <w:sz w:val="24"/>
                <w:szCs w:val="24"/>
              </w:rPr>
            </w:pPr>
          </w:p>
        </w:tc>
      </w:tr>
      <w:tr w:rsidR="003F4CFF" w:rsidRPr="00BE3F13" w14:paraId="68D55D3B" w14:textId="77777777" w:rsidTr="00B42DF0">
        <w:trPr>
          <w:trHeight w:val="20"/>
        </w:trPr>
        <w:tc>
          <w:tcPr>
            <w:tcW w:w="195" w:type="pct"/>
            <w:shd w:val="clear" w:color="auto" w:fill="auto"/>
          </w:tcPr>
          <w:p w14:paraId="0139B7DE" w14:textId="77777777" w:rsidR="003F4CFF" w:rsidRPr="00B42DF0" w:rsidRDefault="003F4CFF" w:rsidP="00B42DF0">
            <w:pPr>
              <w:ind w:right="-146"/>
              <w:contextualSpacing/>
              <w:rPr>
                <w:rFonts w:ascii="Times New Roman" w:hAnsi="Times New Roman" w:cs="Times New Roman"/>
                <w:b/>
                <w:color w:val="000000"/>
                <w:sz w:val="24"/>
                <w:szCs w:val="24"/>
              </w:rPr>
            </w:pPr>
            <w:r w:rsidRPr="00F85281">
              <w:rPr>
                <w:rFonts w:ascii="Times New Roman" w:hAnsi="Times New Roman" w:cs="Times New Roman"/>
                <w:b/>
                <w:color w:val="000000"/>
                <w:sz w:val="24"/>
                <w:szCs w:val="24"/>
              </w:rPr>
              <w:t>3.</w:t>
            </w:r>
          </w:p>
        </w:tc>
        <w:tc>
          <w:tcPr>
            <w:tcW w:w="4805" w:type="pct"/>
            <w:gridSpan w:val="2"/>
            <w:shd w:val="clear" w:color="auto" w:fill="auto"/>
          </w:tcPr>
          <w:p w14:paraId="1E4F7201" w14:textId="77777777" w:rsidR="003F4CFF" w:rsidRPr="00F85281" w:rsidRDefault="003F4CFF" w:rsidP="003F4CFF">
            <w:pPr>
              <w:contextualSpacing/>
              <w:rPr>
                <w:rFonts w:ascii="Times New Roman" w:hAnsi="Times New Roman" w:cs="Times New Roman"/>
                <w:i/>
                <w:color w:val="FF0000"/>
                <w:sz w:val="24"/>
                <w:szCs w:val="24"/>
              </w:rPr>
            </w:pPr>
            <w:r w:rsidRPr="00F85281">
              <w:rPr>
                <w:rFonts w:ascii="Times New Roman" w:hAnsi="Times New Roman" w:cs="Times New Roman"/>
                <w:b/>
                <w:sz w:val="24"/>
                <w:szCs w:val="24"/>
              </w:rPr>
              <w:t>Ссылки на страницы сети «Интернет», содержащие информацию 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w:t>
            </w:r>
          </w:p>
        </w:tc>
      </w:tr>
      <w:tr w:rsidR="003F4CFF" w:rsidRPr="00622CF9" w14:paraId="7A4E6886" w14:textId="77777777" w:rsidTr="00B42DF0">
        <w:trPr>
          <w:trHeight w:val="20"/>
        </w:trPr>
        <w:tc>
          <w:tcPr>
            <w:tcW w:w="195" w:type="pct"/>
            <w:shd w:val="clear" w:color="auto" w:fill="auto"/>
          </w:tcPr>
          <w:p w14:paraId="5C669B6D" w14:textId="77777777" w:rsidR="003F4CFF" w:rsidRPr="00647D59" w:rsidRDefault="003F4CFF" w:rsidP="00647D59">
            <w:pPr>
              <w:ind w:hanging="108"/>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а)</w:t>
            </w:r>
          </w:p>
        </w:tc>
        <w:tc>
          <w:tcPr>
            <w:tcW w:w="1081" w:type="pct"/>
            <w:shd w:val="clear" w:color="auto" w:fill="auto"/>
          </w:tcPr>
          <w:p w14:paraId="676597D6" w14:textId="77777777" w:rsidR="003F4CFF" w:rsidRPr="00F85281" w:rsidRDefault="003F4CFF" w:rsidP="003F4CFF">
            <w:pPr>
              <w:contextualSpacing/>
              <w:rPr>
                <w:rFonts w:ascii="Times New Roman" w:hAnsi="Times New Roman" w:cs="Times New Roman"/>
                <w:color w:val="000000"/>
                <w:sz w:val="24"/>
                <w:szCs w:val="24"/>
              </w:rPr>
            </w:pPr>
            <w:r w:rsidRPr="00F85281">
              <w:rPr>
                <w:rFonts w:ascii="Times New Roman" w:hAnsi="Times New Roman" w:cs="Times New Roman"/>
                <w:color w:val="000000"/>
                <w:sz w:val="24"/>
                <w:szCs w:val="24"/>
              </w:rPr>
              <w:t>к сетям газораспределения</w:t>
            </w:r>
          </w:p>
        </w:tc>
        <w:tc>
          <w:tcPr>
            <w:tcW w:w="3725" w:type="pct"/>
            <w:shd w:val="clear" w:color="auto" w:fill="auto"/>
          </w:tcPr>
          <w:p w14:paraId="3F7ED485"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rPr>
              <w:t>Министерство жилищно-коммунального хозяйства Новосибирской области:</w:t>
            </w:r>
          </w:p>
          <w:p w14:paraId="7FABBBBE" w14:textId="77777777" w:rsidR="003F4CFF" w:rsidRPr="00F85281" w:rsidRDefault="00E3307E" w:rsidP="00647D59">
            <w:pPr>
              <w:contextualSpacing/>
              <w:jc w:val="left"/>
              <w:rPr>
                <w:rFonts w:ascii="Times New Roman" w:hAnsi="Times New Roman" w:cs="Times New Roman"/>
                <w:color w:val="000000"/>
                <w:sz w:val="24"/>
                <w:szCs w:val="24"/>
              </w:rPr>
            </w:pPr>
            <w:hyperlink r:id="rId193" w:history="1">
              <w:r w:rsidR="003F4CFF" w:rsidRPr="00F85281">
                <w:rPr>
                  <w:rStyle w:val="a3"/>
                  <w:rFonts w:ascii="Times New Roman" w:hAnsi="Times New Roman" w:cs="Times New Roman"/>
                  <w:color w:val="000000"/>
                  <w:sz w:val="24"/>
                  <w:szCs w:val="24"/>
                </w:rPr>
                <w:t>http://mjkh.nso.ru/page/902</w:t>
              </w:r>
            </w:hyperlink>
          </w:p>
        </w:tc>
      </w:tr>
      <w:tr w:rsidR="003F4CFF" w:rsidRPr="00BE3F13" w14:paraId="6B4256EA" w14:textId="77777777" w:rsidTr="00B42DF0">
        <w:trPr>
          <w:trHeight w:val="20"/>
        </w:trPr>
        <w:tc>
          <w:tcPr>
            <w:tcW w:w="195" w:type="pct"/>
            <w:shd w:val="clear" w:color="auto" w:fill="auto"/>
          </w:tcPr>
          <w:p w14:paraId="2D0CCA4D" w14:textId="77777777" w:rsidR="003F4CFF" w:rsidRPr="00647D59" w:rsidRDefault="003F4CFF" w:rsidP="00647D59">
            <w:pPr>
              <w:ind w:hanging="108"/>
              <w:contextualSpacing/>
              <w:rPr>
                <w:rFonts w:ascii="Times New Roman" w:hAnsi="Times New Roman" w:cs="Times New Roman"/>
                <w:color w:val="000000"/>
                <w:sz w:val="24"/>
                <w:szCs w:val="24"/>
              </w:rPr>
            </w:pPr>
            <w:r w:rsidRPr="00647D59">
              <w:rPr>
                <w:rFonts w:ascii="Times New Roman" w:hAnsi="Times New Roman" w:cs="Times New Roman"/>
                <w:color w:val="000000"/>
                <w:sz w:val="24"/>
                <w:szCs w:val="24"/>
              </w:rPr>
              <w:lastRenderedPageBreak/>
              <w:t>б)</w:t>
            </w:r>
          </w:p>
        </w:tc>
        <w:tc>
          <w:tcPr>
            <w:tcW w:w="1081" w:type="pct"/>
            <w:shd w:val="clear" w:color="auto" w:fill="auto"/>
          </w:tcPr>
          <w:p w14:paraId="5EB9BBEB" w14:textId="77777777" w:rsidR="003F4CFF" w:rsidRPr="00F85281" w:rsidRDefault="003F4CFF" w:rsidP="003F4CFF">
            <w:pPr>
              <w:contextualSpacing/>
              <w:rPr>
                <w:rFonts w:ascii="Times New Roman" w:hAnsi="Times New Roman" w:cs="Times New Roman"/>
                <w:sz w:val="24"/>
                <w:szCs w:val="24"/>
              </w:rPr>
            </w:pPr>
            <w:r w:rsidRPr="00F85281">
              <w:rPr>
                <w:rFonts w:ascii="Times New Roman" w:hAnsi="Times New Roman" w:cs="Times New Roman"/>
                <w:sz w:val="24"/>
                <w:szCs w:val="24"/>
              </w:rPr>
              <w:t>к электрическим сетям</w:t>
            </w:r>
          </w:p>
        </w:tc>
        <w:tc>
          <w:tcPr>
            <w:tcW w:w="3725" w:type="pct"/>
            <w:shd w:val="clear" w:color="auto" w:fill="auto"/>
          </w:tcPr>
          <w:p w14:paraId="166B1F4F"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lang w:eastAsia="en-US"/>
              </w:rPr>
              <w:t>Акционерное общество «Региональные электрические сети»</w:t>
            </w:r>
            <w:r w:rsidRPr="00F85281">
              <w:rPr>
                <w:rFonts w:ascii="Times New Roman" w:hAnsi="Times New Roman" w:cs="Times New Roman"/>
                <w:sz w:val="24"/>
                <w:szCs w:val="24"/>
              </w:rPr>
              <w:t>:</w:t>
            </w:r>
          </w:p>
          <w:p w14:paraId="269CD39F" w14:textId="77777777" w:rsidR="003F4CFF" w:rsidRPr="00F85281" w:rsidRDefault="00E3307E" w:rsidP="00647D59">
            <w:pPr>
              <w:contextualSpacing/>
              <w:jc w:val="left"/>
              <w:rPr>
                <w:rFonts w:ascii="Times New Roman" w:hAnsi="Times New Roman" w:cs="Times New Roman"/>
                <w:sz w:val="24"/>
                <w:szCs w:val="24"/>
              </w:rPr>
            </w:pPr>
            <w:hyperlink r:id="rId194" w:history="1">
              <w:r w:rsidR="003F4CFF" w:rsidRPr="00F85281">
                <w:rPr>
                  <w:rStyle w:val="a3"/>
                  <w:rFonts w:ascii="Times New Roman" w:hAnsi="Times New Roman" w:cs="Times New Roman"/>
                  <w:color w:val="auto"/>
                  <w:sz w:val="24"/>
                  <w:szCs w:val="24"/>
                </w:rPr>
                <w:t>https://www.eseti.ru/clients/PowerGridJoining.aspx</w:t>
              </w:r>
            </w:hyperlink>
          </w:p>
          <w:p w14:paraId="696F3DE5"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rPr>
              <w:t>Министерство жилищно-коммунального хозяйства Новосибирской области:</w:t>
            </w:r>
          </w:p>
          <w:p w14:paraId="6BA670CD" w14:textId="77777777" w:rsidR="003F4CFF" w:rsidRPr="00F85281" w:rsidRDefault="00E3307E" w:rsidP="00647D59">
            <w:pPr>
              <w:contextualSpacing/>
              <w:jc w:val="left"/>
              <w:rPr>
                <w:rFonts w:ascii="Times New Roman" w:hAnsi="Times New Roman" w:cs="Times New Roman"/>
                <w:sz w:val="24"/>
                <w:szCs w:val="24"/>
                <w:u w:val="single"/>
              </w:rPr>
            </w:pPr>
            <w:hyperlink r:id="rId195" w:history="1">
              <w:r w:rsidR="003F4CFF" w:rsidRPr="00F85281">
                <w:rPr>
                  <w:rStyle w:val="a3"/>
                  <w:rFonts w:ascii="Times New Roman" w:hAnsi="Times New Roman" w:cs="Times New Roman"/>
                  <w:color w:val="auto"/>
                  <w:sz w:val="24"/>
                  <w:szCs w:val="24"/>
                </w:rPr>
                <w:t>https://mjkh.nso.ru/page/2273</w:t>
              </w:r>
            </w:hyperlink>
          </w:p>
        </w:tc>
      </w:tr>
      <w:tr w:rsidR="003F4CFF" w:rsidRPr="00BE3F13" w14:paraId="52F103EC" w14:textId="77777777" w:rsidTr="00B42DF0">
        <w:trPr>
          <w:trHeight w:val="20"/>
        </w:trPr>
        <w:tc>
          <w:tcPr>
            <w:tcW w:w="195" w:type="pct"/>
            <w:shd w:val="clear" w:color="auto" w:fill="auto"/>
          </w:tcPr>
          <w:p w14:paraId="6B0D4551" w14:textId="77777777" w:rsidR="003F4CFF" w:rsidRPr="00647D59" w:rsidRDefault="003F4CFF" w:rsidP="00647D59">
            <w:pPr>
              <w:ind w:hanging="108"/>
              <w:contextualSpacing/>
              <w:rPr>
                <w:rFonts w:ascii="Times New Roman" w:hAnsi="Times New Roman" w:cs="Times New Roman"/>
                <w:color w:val="000000"/>
                <w:sz w:val="24"/>
                <w:szCs w:val="24"/>
              </w:rPr>
            </w:pPr>
            <w:r w:rsidRPr="00647D59">
              <w:rPr>
                <w:rFonts w:ascii="Times New Roman" w:hAnsi="Times New Roman" w:cs="Times New Roman"/>
                <w:color w:val="000000"/>
                <w:sz w:val="24"/>
                <w:szCs w:val="24"/>
              </w:rPr>
              <w:t>в)</w:t>
            </w:r>
          </w:p>
        </w:tc>
        <w:tc>
          <w:tcPr>
            <w:tcW w:w="1081" w:type="pct"/>
            <w:shd w:val="clear" w:color="auto" w:fill="auto"/>
          </w:tcPr>
          <w:p w14:paraId="77292D6F" w14:textId="77777777" w:rsidR="003F4CFF" w:rsidRPr="00F85281" w:rsidRDefault="003F4CFF" w:rsidP="003F4CFF">
            <w:pPr>
              <w:contextualSpacing/>
              <w:rPr>
                <w:rFonts w:ascii="Times New Roman" w:hAnsi="Times New Roman" w:cs="Times New Roman"/>
                <w:sz w:val="24"/>
                <w:szCs w:val="24"/>
              </w:rPr>
            </w:pPr>
            <w:r w:rsidRPr="00F85281">
              <w:rPr>
                <w:rFonts w:ascii="Times New Roman" w:hAnsi="Times New Roman" w:cs="Times New Roman"/>
                <w:sz w:val="24"/>
                <w:szCs w:val="24"/>
              </w:rPr>
              <w:t>к системам теплоснабжения</w:t>
            </w:r>
          </w:p>
          <w:p w14:paraId="01C0E2A8" w14:textId="77777777" w:rsidR="003F4CFF" w:rsidRPr="00F85281" w:rsidRDefault="003F4CFF" w:rsidP="003F4CFF">
            <w:pPr>
              <w:contextualSpacing/>
              <w:rPr>
                <w:rFonts w:ascii="Times New Roman" w:hAnsi="Times New Roman" w:cs="Times New Roman"/>
                <w:color w:val="000000"/>
                <w:sz w:val="24"/>
                <w:szCs w:val="24"/>
              </w:rPr>
            </w:pPr>
          </w:p>
        </w:tc>
        <w:tc>
          <w:tcPr>
            <w:tcW w:w="3725" w:type="pct"/>
            <w:shd w:val="clear" w:color="auto" w:fill="auto"/>
          </w:tcPr>
          <w:p w14:paraId="5FC3E6B9"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rPr>
              <w:t>Сибирская генерирующая компания:</w:t>
            </w:r>
          </w:p>
          <w:p w14:paraId="7977410A" w14:textId="77777777" w:rsidR="003F4CFF" w:rsidRPr="00F85281" w:rsidRDefault="00E3307E" w:rsidP="00647D59">
            <w:pPr>
              <w:contextualSpacing/>
              <w:jc w:val="left"/>
              <w:rPr>
                <w:rStyle w:val="a3"/>
                <w:rFonts w:ascii="Times New Roman" w:hAnsi="Times New Roman" w:cs="Times New Roman"/>
                <w:color w:val="auto"/>
                <w:sz w:val="24"/>
                <w:szCs w:val="24"/>
              </w:rPr>
            </w:pPr>
            <w:hyperlink r:id="rId196" w:history="1">
              <w:r w:rsidR="003F4CFF" w:rsidRPr="00F85281">
                <w:rPr>
                  <w:rStyle w:val="a3"/>
                  <w:rFonts w:ascii="Times New Roman" w:hAnsi="Times New Roman" w:cs="Times New Roman"/>
                  <w:color w:val="auto"/>
                  <w:sz w:val="24"/>
                  <w:szCs w:val="24"/>
                </w:rPr>
                <w:t>http://nsk-crk.sibgenco.ru/</w:t>
              </w:r>
            </w:hyperlink>
          </w:p>
          <w:p w14:paraId="6F071ACF" w14:textId="77777777" w:rsidR="003F4CFF" w:rsidRPr="00F85281" w:rsidRDefault="003F4CFF" w:rsidP="00647D59">
            <w:pPr>
              <w:contextualSpacing/>
              <w:jc w:val="left"/>
              <w:rPr>
                <w:rFonts w:ascii="Times New Roman" w:hAnsi="Times New Roman" w:cs="Times New Roman"/>
                <w:b/>
                <w:sz w:val="24"/>
                <w:szCs w:val="24"/>
              </w:rPr>
            </w:pPr>
            <w:r w:rsidRPr="00F85281">
              <w:rPr>
                <w:rStyle w:val="afc"/>
                <w:rFonts w:ascii="Times New Roman" w:hAnsi="Times New Roman" w:cs="Times New Roman"/>
                <w:b w:val="0"/>
                <w:color w:val="000000"/>
                <w:sz w:val="24"/>
                <w:szCs w:val="24"/>
                <w:shd w:val="clear" w:color="auto" w:fill="FFFFFF"/>
              </w:rPr>
              <w:t>Муниципальное унитарное предприятие «Комбинат бытовых услуг»:</w:t>
            </w:r>
          </w:p>
          <w:p w14:paraId="7E9C72E7" w14:textId="77777777" w:rsidR="003F4CFF" w:rsidRPr="00F85281" w:rsidRDefault="00E3307E" w:rsidP="00647D59">
            <w:pPr>
              <w:contextualSpacing/>
              <w:jc w:val="left"/>
              <w:rPr>
                <w:rFonts w:ascii="Times New Roman" w:hAnsi="Times New Roman" w:cs="Times New Roman"/>
                <w:color w:val="FF0000"/>
                <w:sz w:val="24"/>
                <w:szCs w:val="24"/>
              </w:rPr>
            </w:pPr>
            <w:hyperlink r:id="rId197" w:history="1">
              <w:r w:rsidR="003F4CFF" w:rsidRPr="00F85281">
                <w:rPr>
                  <w:rFonts w:ascii="Times New Roman" w:hAnsi="Times New Roman" w:cs="Times New Roman"/>
                  <w:sz w:val="24"/>
                  <w:szCs w:val="24"/>
                  <w:u w:val="single"/>
                </w:rPr>
                <w:t>https://www.mupkbu.ru/index.php/podklyuchenie/zaklyuchenie-dogovorov</w:t>
              </w:r>
            </w:hyperlink>
          </w:p>
        </w:tc>
      </w:tr>
      <w:tr w:rsidR="003F4CFF" w:rsidRPr="00BE3F13" w14:paraId="0B5B3A2D" w14:textId="77777777" w:rsidTr="00B42DF0">
        <w:trPr>
          <w:trHeight w:val="20"/>
        </w:trPr>
        <w:tc>
          <w:tcPr>
            <w:tcW w:w="195" w:type="pct"/>
            <w:shd w:val="clear" w:color="auto" w:fill="auto"/>
          </w:tcPr>
          <w:p w14:paraId="03306641" w14:textId="77777777" w:rsidR="003F4CFF" w:rsidRPr="00647D59" w:rsidRDefault="003F4CFF" w:rsidP="00647D59">
            <w:pPr>
              <w:ind w:hanging="108"/>
              <w:contextualSpacing/>
              <w:rPr>
                <w:rFonts w:ascii="Times New Roman" w:hAnsi="Times New Roman" w:cs="Times New Roman"/>
                <w:color w:val="000000"/>
                <w:sz w:val="24"/>
                <w:szCs w:val="24"/>
              </w:rPr>
            </w:pPr>
            <w:r w:rsidRPr="00647D59">
              <w:rPr>
                <w:rFonts w:ascii="Times New Roman" w:hAnsi="Times New Roman" w:cs="Times New Roman"/>
                <w:color w:val="000000"/>
                <w:sz w:val="24"/>
                <w:szCs w:val="24"/>
              </w:rPr>
              <w:t>г)</w:t>
            </w:r>
          </w:p>
        </w:tc>
        <w:tc>
          <w:tcPr>
            <w:tcW w:w="1081" w:type="pct"/>
            <w:shd w:val="clear" w:color="auto" w:fill="auto"/>
          </w:tcPr>
          <w:p w14:paraId="72CF8634" w14:textId="77777777" w:rsidR="003F4CFF" w:rsidRPr="00F85281" w:rsidRDefault="003F4CFF" w:rsidP="003F4CFF">
            <w:pPr>
              <w:contextualSpacing/>
              <w:rPr>
                <w:rFonts w:ascii="Times New Roman" w:hAnsi="Times New Roman" w:cs="Times New Roman"/>
                <w:sz w:val="24"/>
                <w:szCs w:val="24"/>
              </w:rPr>
            </w:pPr>
            <w:r w:rsidRPr="00F85281">
              <w:rPr>
                <w:rFonts w:ascii="Times New Roman" w:hAnsi="Times New Roman" w:cs="Times New Roman"/>
                <w:sz w:val="24"/>
                <w:szCs w:val="24"/>
              </w:rPr>
              <w:t>к централизованным системам водоснабжения и водоотведения</w:t>
            </w:r>
          </w:p>
          <w:p w14:paraId="1E5C7ABF" w14:textId="77777777" w:rsidR="003F4CFF" w:rsidRPr="00F85281" w:rsidRDefault="003F4CFF" w:rsidP="003F4CFF">
            <w:pPr>
              <w:contextualSpacing/>
              <w:rPr>
                <w:rFonts w:ascii="Times New Roman" w:hAnsi="Times New Roman" w:cs="Times New Roman"/>
                <w:sz w:val="24"/>
                <w:szCs w:val="24"/>
              </w:rPr>
            </w:pPr>
          </w:p>
        </w:tc>
        <w:tc>
          <w:tcPr>
            <w:tcW w:w="3725" w:type="pct"/>
            <w:shd w:val="clear" w:color="auto" w:fill="auto"/>
          </w:tcPr>
          <w:p w14:paraId="5CDDB38C" w14:textId="77777777" w:rsidR="003F4CFF" w:rsidRPr="00F85281" w:rsidRDefault="003F4CFF" w:rsidP="00647D59">
            <w:pPr>
              <w:contextualSpacing/>
              <w:jc w:val="left"/>
              <w:rPr>
                <w:rFonts w:ascii="Times New Roman" w:hAnsi="Times New Roman" w:cs="Times New Roman"/>
                <w:b/>
                <w:sz w:val="24"/>
                <w:szCs w:val="24"/>
              </w:rPr>
            </w:pPr>
            <w:r w:rsidRPr="00F85281">
              <w:rPr>
                <w:rStyle w:val="afc"/>
                <w:rFonts w:ascii="Times New Roman" w:hAnsi="Times New Roman" w:cs="Times New Roman"/>
                <w:b w:val="0"/>
                <w:color w:val="000000"/>
                <w:sz w:val="24"/>
                <w:szCs w:val="24"/>
                <w:shd w:val="clear" w:color="auto" w:fill="FFFFFF"/>
              </w:rPr>
              <w:t>Муниципальное унитарное предприятие «Комбинат бытовых услуг»:</w:t>
            </w:r>
          </w:p>
          <w:p w14:paraId="403DEA9C" w14:textId="77777777" w:rsidR="003F4CFF" w:rsidRPr="00F85281" w:rsidRDefault="00E3307E" w:rsidP="00647D59">
            <w:pPr>
              <w:contextualSpacing/>
              <w:jc w:val="left"/>
              <w:rPr>
                <w:rFonts w:ascii="Times New Roman" w:hAnsi="Times New Roman" w:cs="Times New Roman"/>
                <w:sz w:val="24"/>
                <w:szCs w:val="24"/>
              </w:rPr>
            </w:pPr>
            <w:hyperlink r:id="rId198" w:history="1">
              <w:r w:rsidR="003F4CFF" w:rsidRPr="00F85281">
                <w:rPr>
                  <w:rStyle w:val="a3"/>
                  <w:rFonts w:ascii="Times New Roman" w:hAnsi="Times New Roman" w:cs="Times New Roman"/>
                  <w:sz w:val="24"/>
                  <w:szCs w:val="24"/>
                </w:rPr>
                <w:t>https://www.mupkbu.ru/index.php/podklyuchenie/zaklyuchenie-dogovorov</w:t>
              </w:r>
            </w:hyperlink>
            <w:r w:rsidR="003F4CFF" w:rsidRPr="00F85281">
              <w:rPr>
                <w:rFonts w:ascii="Times New Roman" w:hAnsi="Times New Roman" w:cs="Times New Roman"/>
                <w:sz w:val="24"/>
                <w:szCs w:val="24"/>
              </w:rPr>
              <w:t xml:space="preserve"> </w:t>
            </w:r>
          </w:p>
          <w:p w14:paraId="225E39F7"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sz w:val="24"/>
                <w:szCs w:val="24"/>
              </w:rPr>
              <w:t>htps://www.mupkbu.ru/index.php/podklyuchenie/onlajn-sistema</w:t>
            </w:r>
          </w:p>
          <w:p w14:paraId="13E283A9" w14:textId="77777777" w:rsidR="003F4CFF" w:rsidRPr="00F85281" w:rsidRDefault="00E3307E" w:rsidP="00647D59">
            <w:pPr>
              <w:contextualSpacing/>
              <w:jc w:val="left"/>
              <w:rPr>
                <w:rFonts w:ascii="Times New Roman" w:hAnsi="Times New Roman" w:cs="Times New Roman"/>
                <w:sz w:val="24"/>
                <w:szCs w:val="24"/>
              </w:rPr>
            </w:pPr>
            <w:hyperlink r:id="rId199" w:history="1">
              <w:r w:rsidR="003F4CFF" w:rsidRPr="00F85281">
                <w:rPr>
                  <w:rFonts w:ascii="Times New Roman" w:hAnsi="Times New Roman" w:cs="Times New Roman"/>
                  <w:sz w:val="24"/>
                  <w:szCs w:val="24"/>
                  <w:u w:val="single"/>
                </w:rPr>
                <w:t>https://www.mupkbu.ru/index.php/podklyuchenie/priem-elektronnoj-zayavki-na-podklyuchenie-cherez-lichnyj-kabinet</w:t>
              </w:r>
            </w:hyperlink>
          </w:p>
          <w:p w14:paraId="73E1B672" w14:textId="77777777" w:rsidR="003F4CFF" w:rsidRPr="00F85281" w:rsidRDefault="003F4CFF" w:rsidP="00647D59">
            <w:pPr>
              <w:contextualSpacing/>
              <w:jc w:val="left"/>
              <w:rPr>
                <w:rFonts w:ascii="Times New Roman" w:hAnsi="Times New Roman" w:cs="Times New Roman"/>
                <w:sz w:val="24"/>
                <w:szCs w:val="24"/>
              </w:rPr>
            </w:pPr>
            <w:r w:rsidRPr="00F85281">
              <w:rPr>
                <w:rFonts w:ascii="Times New Roman" w:hAnsi="Times New Roman" w:cs="Times New Roman"/>
                <w:color w:val="000000"/>
                <w:sz w:val="24"/>
                <w:szCs w:val="24"/>
                <w:shd w:val="clear" w:color="auto" w:fill="FFFFFF"/>
              </w:rPr>
              <w:t>МУП г. Новосибирска «ГОРВОДОКАНАЛ»:</w:t>
            </w:r>
          </w:p>
          <w:p w14:paraId="35211B44" w14:textId="77777777" w:rsidR="003F4CFF" w:rsidRPr="00F85281" w:rsidRDefault="00E3307E" w:rsidP="00647D59">
            <w:pPr>
              <w:contextualSpacing/>
              <w:jc w:val="left"/>
              <w:rPr>
                <w:rFonts w:ascii="Times New Roman" w:hAnsi="Times New Roman" w:cs="Times New Roman"/>
                <w:sz w:val="24"/>
                <w:szCs w:val="24"/>
              </w:rPr>
            </w:pPr>
            <w:hyperlink r:id="rId200" w:history="1">
              <w:r w:rsidR="003F4CFF" w:rsidRPr="00F85281">
                <w:rPr>
                  <w:rFonts w:ascii="Times New Roman" w:hAnsi="Times New Roman" w:cs="Times New Roman"/>
                  <w:sz w:val="24"/>
                  <w:szCs w:val="24"/>
                  <w:u w:val="single"/>
                </w:rPr>
                <w:t>https://www.gorvodokanal.com/upload/status.php</w:t>
              </w:r>
            </w:hyperlink>
            <w:r w:rsidR="003F4CFF" w:rsidRPr="00F85281">
              <w:rPr>
                <w:rFonts w:ascii="Times New Roman" w:hAnsi="Times New Roman" w:cs="Times New Roman"/>
                <w:sz w:val="24"/>
                <w:szCs w:val="24"/>
                <w:u w:val="single"/>
              </w:rPr>
              <w:t xml:space="preserve"> </w:t>
            </w:r>
          </w:p>
          <w:p w14:paraId="521FD040" w14:textId="77777777" w:rsidR="003F4CFF" w:rsidRPr="00F85281" w:rsidRDefault="00E3307E" w:rsidP="00647D59">
            <w:pPr>
              <w:contextualSpacing/>
              <w:jc w:val="left"/>
              <w:rPr>
                <w:rFonts w:ascii="Times New Roman" w:hAnsi="Times New Roman" w:cs="Times New Roman"/>
                <w:sz w:val="24"/>
                <w:szCs w:val="24"/>
              </w:rPr>
            </w:pPr>
            <w:hyperlink r:id="rId201" w:history="1">
              <w:r w:rsidR="003F4CFF" w:rsidRPr="00F85281">
                <w:rPr>
                  <w:rFonts w:ascii="Times New Roman" w:hAnsi="Times New Roman" w:cs="Times New Roman"/>
                  <w:sz w:val="24"/>
                  <w:szCs w:val="24"/>
                  <w:u w:val="single"/>
                </w:rPr>
                <w:t>https://www.gorvodokanal.com/connection/request/</w:t>
              </w:r>
            </w:hyperlink>
          </w:p>
          <w:p w14:paraId="29850B35" w14:textId="77777777" w:rsidR="003F4CFF" w:rsidRPr="00F85281" w:rsidRDefault="00E3307E" w:rsidP="00647D59">
            <w:pPr>
              <w:contextualSpacing/>
              <w:jc w:val="left"/>
              <w:rPr>
                <w:rFonts w:ascii="Times New Roman" w:hAnsi="Times New Roman" w:cs="Times New Roman"/>
                <w:sz w:val="24"/>
                <w:szCs w:val="24"/>
              </w:rPr>
            </w:pPr>
            <w:hyperlink r:id="rId202" w:history="1">
              <w:r w:rsidR="003F4CFF" w:rsidRPr="00F85281">
                <w:rPr>
                  <w:rFonts w:ascii="Times New Roman" w:hAnsi="Times New Roman" w:cs="Times New Roman"/>
                  <w:sz w:val="24"/>
                  <w:szCs w:val="24"/>
                  <w:u w:val="single"/>
                </w:rPr>
                <w:t>https://www.gorvodokanal.com/connection/documents/</w:t>
              </w:r>
            </w:hyperlink>
          </w:p>
          <w:p w14:paraId="700BAF91" w14:textId="77777777" w:rsidR="003F4CFF" w:rsidRPr="00F85281" w:rsidRDefault="00E3307E" w:rsidP="00647D59">
            <w:pPr>
              <w:contextualSpacing/>
              <w:jc w:val="left"/>
              <w:rPr>
                <w:rFonts w:ascii="Times New Roman" w:hAnsi="Times New Roman" w:cs="Times New Roman"/>
                <w:color w:val="FF0000"/>
                <w:sz w:val="24"/>
                <w:szCs w:val="24"/>
              </w:rPr>
            </w:pPr>
            <w:hyperlink r:id="rId203" w:history="1">
              <w:r w:rsidR="003F4CFF" w:rsidRPr="00F85281">
                <w:rPr>
                  <w:rFonts w:ascii="Times New Roman" w:hAnsi="Times New Roman" w:cs="Times New Roman"/>
                  <w:sz w:val="24"/>
                  <w:szCs w:val="24"/>
                  <w:u w:val="single"/>
                </w:rPr>
                <w:t>https://newsite.gorvodokanal.com/connection/information/</w:t>
              </w:r>
            </w:hyperlink>
          </w:p>
        </w:tc>
      </w:tr>
    </w:tbl>
    <w:p w14:paraId="45D3846C" w14:textId="77777777" w:rsidR="003F4CFF" w:rsidRPr="00800E6E" w:rsidRDefault="003F4CFF" w:rsidP="003F4CFF">
      <w:pPr>
        <w:ind w:firstLine="567"/>
        <w:jc w:val="both"/>
        <w:rPr>
          <w:rFonts w:ascii="Times New Roman" w:eastAsia="Times New Roman" w:hAnsi="Times New Roman" w:cs="Times New Roman"/>
          <w:sz w:val="28"/>
          <w:szCs w:val="28"/>
        </w:rPr>
      </w:pPr>
    </w:p>
    <w:p w14:paraId="5E8C064A"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Информация о деятельности субъектов естественных монополий в Новосибирской области размещается на различных интернет-ресурсах:</w:t>
      </w:r>
    </w:p>
    <w:p w14:paraId="3CDA23AB"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на сайтах субъектов естественных монополий;</w:t>
      </w:r>
    </w:p>
    <w:p w14:paraId="17972859"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 xml:space="preserve">на сайте департамента по тарифам Новосибирской области </w:t>
      </w:r>
      <w:hyperlink r:id="rId204" w:history="1">
        <w:r w:rsidRPr="00800E6E">
          <w:rPr>
            <w:rFonts w:eastAsia="Times New Roman"/>
          </w:rPr>
          <w:t>https://tarif.nso.ru</w:t>
        </w:r>
      </w:hyperlink>
      <w:r w:rsidRPr="00800E6E">
        <w:rPr>
          <w:rFonts w:ascii="Times New Roman" w:eastAsia="Times New Roman" w:hAnsi="Times New Roman" w:cs="Times New Roman"/>
          <w:sz w:val="28"/>
          <w:szCs w:val="28"/>
        </w:rPr>
        <w:t xml:space="preserve"> (разделы: тарифы; инвестиционные программы; межотраслевой совет потребителей по вопросам деятельности субъектов естественных монополий при Губернаторе Новосибирской области);</w:t>
      </w:r>
    </w:p>
    <w:p w14:paraId="1CF38DEA"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 xml:space="preserve">на портале раскрытия информации департамента по тарифам Новосибирской области </w:t>
      </w:r>
      <w:hyperlink r:id="rId205" w:history="1">
        <w:r w:rsidRPr="00800E6E">
          <w:rPr>
            <w:rFonts w:ascii="Times New Roman" w:eastAsia="Times New Roman" w:hAnsi="Times New Roman" w:cs="Times New Roman"/>
            <w:sz w:val="28"/>
            <w:szCs w:val="28"/>
          </w:rPr>
          <w:t>http://tariff.nso.ru/RI2/</w:t>
        </w:r>
      </w:hyperlink>
      <w:r w:rsidRPr="00800E6E">
        <w:rPr>
          <w:rFonts w:ascii="Times New Roman" w:eastAsia="Times New Roman" w:hAnsi="Times New Roman" w:cs="Times New Roman"/>
          <w:sz w:val="28"/>
          <w:szCs w:val="28"/>
        </w:rPr>
        <w:t xml:space="preserve"> (портал публикации сведений, подлежащих свободному доступу – региональный сегмент ФГИС ЕИАС);</w:t>
      </w:r>
    </w:p>
    <w:p w14:paraId="46980A99"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 xml:space="preserve">на сайте министерства жилищно-коммунального хозяйства и энергетики Новосибирской области </w:t>
      </w:r>
      <w:hyperlink r:id="rId206" w:history="1">
        <w:r w:rsidRPr="00800E6E">
          <w:rPr>
            <w:rFonts w:ascii="Times New Roman" w:eastAsia="Times New Roman" w:hAnsi="Times New Roman" w:cs="Times New Roman"/>
            <w:sz w:val="28"/>
            <w:szCs w:val="28"/>
          </w:rPr>
          <w:t>http://mjkh.nso.ru/page/914</w:t>
        </w:r>
      </w:hyperlink>
      <w:r w:rsidRPr="00800E6E">
        <w:rPr>
          <w:rFonts w:ascii="Times New Roman" w:eastAsia="Times New Roman" w:hAnsi="Times New Roman" w:cs="Times New Roman"/>
          <w:sz w:val="28"/>
          <w:szCs w:val="28"/>
        </w:rPr>
        <w:t xml:space="preserve"> (инвестиционные программы субъектов электроэнергетики);</w:t>
      </w:r>
    </w:p>
    <w:p w14:paraId="51DB5916"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 xml:space="preserve">на сайте ФГИС «Единый портал государственных и муниципальных услуг (функций)» </w:t>
      </w:r>
      <w:hyperlink r:id="rId207" w:history="1">
        <w:r w:rsidRPr="00800E6E">
          <w:rPr>
            <w:rFonts w:ascii="Times New Roman" w:eastAsia="Times New Roman" w:hAnsi="Times New Roman" w:cs="Times New Roman"/>
            <w:sz w:val="28"/>
            <w:szCs w:val="28"/>
          </w:rPr>
          <w:t>https://invest.gosuslugi.ru</w:t>
        </w:r>
      </w:hyperlink>
      <w:r w:rsidRPr="00800E6E">
        <w:rPr>
          <w:rFonts w:ascii="Times New Roman" w:eastAsia="Times New Roman" w:hAnsi="Times New Roman" w:cs="Times New Roman"/>
          <w:sz w:val="28"/>
          <w:szCs w:val="28"/>
        </w:rPr>
        <w:t xml:space="preserve"> (раскрытие информации об инвестиционных программах (о проектах инвестиционных программ и (или) изменений, вносимых в инвестиционные программы) субъектов электроэнергетики и отчетах об их реализации).</w:t>
      </w:r>
    </w:p>
    <w:p w14:paraId="66F58219"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 xml:space="preserve">Департамент по тарифам Новосибирской области в рамках своих полномочий обеспечивает контроль за раскрытием информации и деятельностью субъектов естественных монополий, в том числе более чем 500 регулируемых организаций. </w:t>
      </w:r>
    </w:p>
    <w:p w14:paraId="738CE281"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 xml:space="preserve">Субъекты естественных монополий, осуществляющие деятельность на территории Новосибирской области размещают для общего сведения информацию о своей деятельности, обязательное раскрытие которой предусмотрено законодательством Российской Федерации, в том числе: информацию о </w:t>
      </w:r>
      <w:r w:rsidRPr="00800E6E">
        <w:rPr>
          <w:rFonts w:ascii="Times New Roman" w:eastAsia="Times New Roman" w:hAnsi="Times New Roman" w:cs="Times New Roman"/>
          <w:sz w:val="28"/>
          <w:szCs w:val="28"/>
        </w:rPr>
        <w:lastRenderedPageBreak/>
        <w:t>реализуемых и планируемых к реализации на территории Новосибирской области инвестиционных программах, включая ключевые показатели эффективности реализации таких программ; информацию о результатах технологического и ценового аудита инвестиционных проектов; информацию о структуре тарифов на услуги; иную информацию о своей деятельности, обязательное раскрытие которой предусмотрено законодательством Российской Федерации.</w:t>
      </w:r>
    </w:p>
    <w:p w14:paraId="7EDA5E81" w14:textId="77777777" w:rsidR="003F4CFF" w:rsidRPr="00800E6E" w:rsidRDefault="003F4CFF" w:rsidP="003F4CFF">
      <w:pPr>
        <w:ind w:firstLine="567"/>
        <w:jc w:val="both"/>
        <w:rPr>
          <w:rFonts w:ascii="Times New Roman" w:eastAsia="Times New Roman" w:hAnsi="Times New Roman" w:cs="Times New Roman"/>
          <w:sz w:val="28"/>
          <w:szCs w:val="28"/>
        </w:rPr>
      </w:pPr>
      <w:r w:rsidRPr="00F15478">
        <w:rPr>
          <w:rFonts w:ascii="Times New Roman" w:hAnsi="Times New Roman" w:cs="Times New Roman"/>
          <w:sz w:val="28"/>
          <w:szCs w:val="24"/>
          <w:lang w:eastAsia="en-US"/>
        </w:rPr>
        <w:t xml:space="preserve">Объем и детализация раскрытия информации обеспечивают прозрачность формирования тарифов на услуги субъектов естественных монополий и отображают согласованность инвестиционных программ субъектов естественных монополий с планами территориального развития Новосибирской области и муниципальных образований, а также с иными </w:t>
      </w:r>
      <w:r w:rsidRPr="00800E6E">
        <w:rPr>
          <w:rFonts w:ascii="Times New Roman" w:eastAsia="Times New Roman" w:hAnsi="Times New Roman" w:cs="Times New Roman"/>
          <w:sz w:val="28"/>
          <w:szCs w:val="28"/>
        </w:rPr>
        <w:t>документами стратегического планирования Новосибирской области.</w:t>
      </w:r>
    </w:p>
    <w:p w14:paraId="1A686D95"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Примеры размещения информации в различных источниках представлены в таблице 3</w:t>
      </w:r>
      <w:r w:rsidR="0044228C">
        <w:rPr>
          <w:rFonts w:ascii="Times New Roman" w:eastAsia="Times New Roman" w:hAnsi="Times New Roman" w:cs="Times New Roman"/>
          <w:sz w:val="28"/>
          <w:szCs w:val="28"/>
        </w:rPr>
        <w:t>1</w:t>
      </w:r>
      <w:r w:rsidRPr="00800E6E">
        <w:rPr>
          <w:rFonts w:ascii="Times New Roman" w:eastAsia="Times New Roman" w:hAnsi="Times New Roman" w:cs="Times New Roman"/>
          <w:sz w:val="28"/>
          <w:szCs w:val="28"/>
        </w:rPr>
        <w:t xml:space="preserve">. </w:t>
      </w:r>
    </w:p>
    <w:p w14:paraId="3340A434"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Субъекты естественных монополий, не разместившие для общего сведения информацию о своей деятельности, обязательное раскрытие которой предусмотрено законодательством Российской Федерации, привлекаются департаментом по тарифам Новосибирской области к административной ответственности.</w:t>
      </w:r>
    </w:p>
    <w:p w14:paraId="51E825C6" w14:textId="77777777" w:rsidR="00647D59" w:rsidRDefault="00647D59" w:rsidP="003F4CFF">
      <w:pPr>
        <w:tabs>
          <w:tab w:val="left" w:pos="460"/>
        </w:tabs>
        <w:spacing w:line="0" w:lineRule="atLeast"/>
        <w:jc w:val="both"/>
        <w:rPr>
          <w:rFonts w:ascii="Times New Roman" w:hAnsi="Times New Roman" w:cs="Times New Roman"/>
          <w:sz w:val="28"/>
          <w:szCs w:val="28"/>
        </w:rPr>
        <w:sectPr w:rsidR="00647D59" w:rsidSect="00647D59">
          <w:pgSz w:w="11906" w:h="16838" w:code="9"/>
          <w:pgMar w:top="1134" w:right="567" w:bottom="1134" w:left="1418" w:header="708" w:footer="708" w:gutter="0"/>
          <w:cols w:space="708"/>
          <w:docGrid w:linePitch="360"/>
        </w:sectPr>
      </w:pPr>
    </w:p>
    <w:p w14:paraId="51FDF053" w14:textId="77777777" w:rsidR="003F4CFF" w:rsidRPr="002E662C" w:rsidRDefault="003F4CFF" w:rsidP="003F4CFF">
      <w:pPr>
        <w:tabs>
          <w:tab w:val="left" w:pos="460"/>
        </w:tabs>
        <w:spacing w:line="0" w:lineRule="atLeast"/>
        <w:jc w:val="both"/>
        <w:rPr>
          <w:rFonts w:ascii="Times New Roman" w:hAnsi="Times New Roman" w:cs="Times New Roman"/>
          <w:sz w:val="28"/>
          <w:szCs w:val="28"/>
        </w:rPr>
      </w:pPr>
      <w:r w:rsidRPr="002E662C">
        <w:rPr>
          <w:rFonts w:ascii="Times New Roman" w:hAnsi="Times New Roman" w:cs="Times New Roman"/>
          <w:sz w:val="28"/>
          <w:szCs w:val="28"/>
        </w:rPr>
        <w:lastRenderedPageBreak/>
        <w:t>Таблица 3</w:t>
      </w:r>
      <w:r w:rsidR="0044228C">
        <w:rPr>
          <w:rFonts w:ascii="Times New Roman" w:hAnsi="Times New Roman" w:cs="Times New Roman"/>
          <w:sz w:val="28"/>
          <w:szCs w:val="28"/>
        </w:rPr>
        <w:t>1</w:t>
      </w:r>
      <w:r w:rsidRPr="002E662C">
        <w:rPr>
          <w:rFonts w:ascii="Times New Roman" w:hAnsi="Times New Roman" w:cs="Times New Roman"/>
          <w:sz w:val="28"/>
          <w:szCs w:val="28"/>
        </w:rPr>
        <w:t> - </w:t>
      </w:r>
      <w:r w:rsidRPr="00B66EBE">
        <w:rPr>
          <w:rFonts w:ascii="Times New Roman" w:hAnsi="Times New Roman" w:cs="Times New Roman"/>
          <w:sz w:val="28"/>
          <w:szCs w:val="28"/>
        </w:rPr>
        <w:t>Информация о деятельности</w:t>
      </w:r>
      <w:r w:rsidRPr="002E662C">
        <w:rPr>
          <w:rFonts w:ascii="Times New Roman" w:hAnsi="Times New Roman" w:cs="Times New Roman"/>
          <w:sz w:val="28"/>
          <w:szCs w:val="28"/>
        </w:rPr>
        <w:t xml:space="preserve"> субъектов естественных монополий </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1743"/>
        <w:gridCol w:w="3258"/>
        <w:gridCol w:w="3116"/>
        <w:gridCol w:w="2697"/>
        <w:gridCol w:w="3079"/>
      </w:tblGrid>
      <w:tr w:rsidR="00647D59" w:rsidRPr="00CB7FCA" w14:paraId="1D135A0E" w14:textId="77777777" w:rsidTr="00E77388">
        <w:trPr>
          <w:trHeight w:val="1644"/>
        </w:trPr>
        <w:tc>
          <w:tcPr>
            <w:tcW w:w="194" w:type="pct"/>
            <w:shd w:val="clear" w:color="auto" w:fill="auto"/>
          </w:tcPr>
          <w:p w14:paraId="15F9805D" w14:textId="77777777" w:rsidR="003F4CFF" w:rsidRPr="00647D59" w:rsidRDefault="003F4CFF" w:rsidP="003F4CFF">
            <w:pPr>
              <w:rPr>
                <w:rFonts w:ascii="Times New Roman" w:hAnsi="Times New Roman" w:cs="Times New Roman"/>
                <w:sz w:val="22"/>
                <w:szCs w:val="22"/>
              </w:rPr>
            </w:pPr>
            <w:r w:rsidRPr="00647D59">
              <w:rPr>
                <w:rFonts w:ascii="Times New Roman" w:hAnsi="Times New Roman" w:cs="Times New Roman"/>
                <w:sz w:val="22"/>
                <w:szCs w:val="22"/>
              </w:rPr>
              <w:t>№</w:t>
            </w:r>
          </w:p>
          <w:p w14:paraId="1FBE2BF4" w14:textId="77777777" w:rsidR="003F4CFF" w:rsidRPr="00647D59" w:rsidRDefault="003F4CFF" w:rsidP="003F4CFF">
            <w:pPr>
              <w:rPr>
                <w:rFonts w:ascii="Times New Roman" w:hAnsi="Times New Roman" w:cs="Times New Roman"/>
                <w:sz w:val="22"/>
                <w:szCs w:val="22"/>
              </w:rPr>
            </w:pPr>
          </w:p>
        </w:tc>
        <w:tc>
          <w:tcPr>
            <w:tcW w:w="603" w:type="pct"/>
            <w:shd w:val="clear" w:color="auto" w:fill="auto"/>
          </w:tcPr>
          <w:p w14:paraId="5DA90402" w14:textId="77777777" w:rsidR="003F4CFF" w:rsidRPr="00647D59" w:rsidRDefault="003F4CFF" w:rsidP="003F4CFF">
            <w:pPr>
              <w:rPr>
                <w:rFonts w:ascii="Times New Roman" w:hAnsi="Times New Roman" w:cs="Times New Roman"/>
                <w:sz w:val="22"/>
                <w:szCs w:val="22"/>
              </w:rPr>
            </w:pPr>
            <w:r w:rsidRPr="00647D59">
              <w:rPr>
                <w:rFonts w:ascii="Times New Roman" w:hAnsi="Times New Roman" w:cs="Times New Roman"/>
                <w:sz w:val="22"/>
                <w:szCs w:val="22"/>
              </w:rPr>
              <w:t>Наименование субъекта естественной монополии</w:t>
            </w:r>
          </w:p>
          <w:p w14:paraId="380BAECC" w14:textId="77777777" w:rsidR="003F4CFF" w:rsidRPr="00647D59" w:rsidRDefault="003F4CFF" w:rsidP="003F4CFF">
            <w:pPr>
              <w:ind w:left="22" w:hanging="22"/>
              <w:rPr>
                <w:rFonts w:ascii="Times New Roman" w:hAnsi="Times New Roman" w:cs="Times New Roman"/>
                <w:sz w:val="22"/>
                <w:szCs w:val="22"/>
              </w:rPr>
            </w:pPr>
          </w:p>
        </w:tc>
        <w:tc>
          <w:tcPr>
            <w:tcW w:w="1127" w:type="pct"/>
            <w:shd w:val="clear" w:color="auto" w:fill="auto"/>
          </w:tcPr>
          <w:p w14:paraId="333D9B6E" w14:textId="77777777" w:rsidR="003F4CFF" w:rsidRPr="00647D59" w:rsidRDefault="003F4CFF" w:rsidP="003F4CFF">
            <w:pPr>
              <w:rPr>
                <w:rFonts w:ascii="Times New Roman" w:hAnsi="Times New Roman" w:cs="Times New Roman"/>
                <w:sz w:val="22"/>
                <w:szCs w:val="22"/>
              </w:rPr>
            </w:pPr>
            <w:r w:rsidRPr="00647D59">
              <w:rPr>
                <w:rFonts w:ascii="Times New Roman" w:hAnsi="Times New Roman" w:cs="Times New Roman"/>
                <w:sz w:val="22"/>
                <w:szCs w:val="22"/>
              </w:rPr>
              <w:t>Информация о реализуемых и планируемых к реализации инвестиционных программах, включая ключевые показатели эффективности реализации таких программ</w:t>
            </w:r>
          </w:p>
          <w:p w14:paraId="5D80A433" w14:textId="77777777" w:rsidR="003F4CFF" w:rsidRPr="00647D59" w:rsidRDefault="003F4CFF" w:rsidP="003F4CFF">
            <w:pPr>
              <w:rPr>
                <w:rFonts w:ascii="Times New Roman" w:hAnsi="Times New Roman" w:cs="Times New Roman"/>
                <w:sz w:val="22"/>
                <w:szCs w:val="22"/>
              </w:rPr>
            </w:pPr>
          </w:p>
        </w:tc>
        <w:tc>
          <w:tcPr>
            <w:tcW w:w="1078" w:type="pct"/>
            <w:shd w:val="clear" w:color="auto" w:fill="auto"/>
          </w:tcPr>
          <w:p w14:paraId="2B281F2E" w14:textId="77777777" w:rsidR="003F4CFF" w:rsidRPr="00647D59" w:rsidRDefault="003F4CFF" w:rsidP="003F4CFF">
            <w:pPr>
              <w:rPr>
                <w:rFonts w:ascii="Times New Roman" w:hAnsi="Times New Roman" w:cs="Times New Roman"/>
                <w:sz w:val="22"/>
                <w:szCs w:val="22"/>
              </w:rPr>
            </w:pPr>
            <w:r w:rsidRPr="00647D59">
              <w:rPr>
                <w:rFonts w:ascii="Times New Roman" w:hAnsi="Times New Roman" w:cs="Times New Roman"/>
                <w:sz w:val="22"/>
                <w:szCs w:val="22"/>
              </w:rPr>
              <w:t xml:space="preserve">Информация о результатах технологического и ценового аудита инвестиционных проектов </w:t>
            </w:r>
          </w:p>
          <w:p w14:paraId="3D40FBB5" w14:textId="77777777" w:rsidR="003F4CFF" w:rsidRPr="00647D59" w:rsidRDefault="003F4CFF" w:rsidP="003F4CFF">
            <w:pPr>
              <w:rPr>
                <w:rFonts w:ascii="Times New Roman" w:hAnsi="Times New Roman" w:cs="Times New Roman"/>
                <w:sz w:val="22"/>
                <w:szCs w:val="22"/>
              </w:rPr>
            </w:pPr>
          </w:p>
        </w:tc>
        <w:tc>
          <w:tcPr>
            <w:tcW w:w="933" w:type="pct"/>
            <w:shd w:val="clear" w:color="auto" w:fill="auto"/>
          </w:tcPr>
          <w:p w14:paraId="010519FC" w14:textId="77777777" w:rsidR="003F4CFF" w:rsidRPr="00647D59" w:rsidRDefault="003F4CFF" w:rsidP="003F4CFF">
            <w:pPr>
              <w:adjustRightInd w:val="0"/>
              <w:ind w:firstLine="106"/>
              <w:rPr>
                <w:rFonts w:ascii="Times New Roman" w:hAnsi="Times New Roman" w:cs="Times New Roman"/>
                <w:sz w:val="22"/>
                <w:szCs w:val="22"/>
              </w:rPr>
            </w:pPr>
            <w:r w:rsidRPr="00647D59">
              <w:rPr>
                <w:rFonts w:ascii="Times New Roman" w:hAnsi="Times New Roman" w:cs="Times New Roman"/>
                <w:sz w:val="22"/>
                <w:szCs w:val="22"/>
              </w:rPr>
              <w:t xml:space="preserve">Информация о структуре тарифов на услуги (включая проект тарифной заявки), параметрах качества и надежности предоставляемых товаров, работ и услуг, стандартах качества товаров, работ и услуг </w:t>
            </w:r>
          </w:p>
          <w:p w14:paraId="3BC29A1C" w14:textId="77777777" w:rsidR="003F4CFF" w:rsidRPr="00647D59" w:rsidRDefault="003F4CFF" w:rsidP="003F4CFF">
            <w:pPr>
              <w:adjustRightInd w:val="0"/>
              <w:ind w:firstLine="106"/>
              <w:rPr>
                <w:rFonts w:ascii="Times New Roman" w:hAnsi="Times New Roman" w:cs="Times New Roman"/>
                <w:sz w:val="22"/>
                <w:szCs w:val="22"/>
              </w:rPr>
            </w:pPr>
          </w:p>
        </w:tc>
        <w:tc>
          <w:tcPr>
            <w:tcW w:w="1066" w:type="pct"/>
            <w:shd w:val="clear" w:color="auto" w:fill="auto"/>
          </w:tcPr>
          <w:p w14:paraId="339EFB8A" w14:textId="77777777" w:rsidR="003F4CFF" w:rsidRPr="00647D59" w:rsidRDefault="003F4CFF" w:rsidP="003F4CFF">
            <w:pPr>
              <w:ind w:firstLine="106"/>
              <w:rPr>
                <w:rFonts w:ascii="Times New Roman" w:hAnsi="Times New Roman" w:cs="Times New Roman"/>
                <w:sz w:val="22"/>
                <w:szCs w:val="22"/>
              </w:rPr>
            </w:pPr>
            <w:r w:rsidRPr="00647D59">
              <w:rPr>
                <w:rFonts w:ascii="Times New Roman" w:hAnsi="Times New Roman" w:cs="Times New Roman"/>
                <w:sz w:val="22"/>
                <w:szCs w:val="22"/>
              </w:rPr>
              <w:t>Иная информация о своей деятельности, предусмотренная к обязательному раскрытию в соответствии с законодательством Российской Федерации</w:t>
            </w:r>
          </w:p>
          <w:p w14:paraId="7524BA7E" w14:textId="77777777" w:rsidR="003F4CFF" w:rsidRPr="00647D59" w:rsidRDefault="003F4CFF" w:rsidP="003F4CFF">
            <w:pPr>
              <w:ind w:firstLine="106"/>
              <w:rPr>
                <w:rFonts w:ascii="Times New Roman" w:hAnsi="Times New Roman" w:cs="Times New Roman"/>
                <w:sz w:val="22"/>
                <w:szCs w:val="22"/>
              </w:rPr>
            </w:pPr>
          </w:p>
        </w:tc>
      </w:tr>
      <w:tr w:rsidR="00647D59" w:rsidRPr="00CB7FCA" w14:paraId="2494068F" w14:textId="77777777" w:rsidTr="00E77388">
        <w:trPr>
          <w:trHeight w:val="1644"/>
        </w:trPr>
        <w:tc>
          <w:tcPr>
            <w:tcW w:w="194" w:type="pct"/>
            <w:shd w:val="clear" w:color="auto" w:fill="auto"/>
          </w:tcPr>
          <w:p w14:paraId="0A727C51" w14:textId="77777777" w:rsidR="003F4CFF" w:rsidRPr="00647D59" w:rsidRDefault="00647D59" w:rsidP="003F4CFF">
            <w:pPr>
              <w:rPr>
                <w:rFonts w:ascii="Times New Roman" w:hAnsi="Times New Roman" w:cs="Times New Roman"/>
                <w:color w:val="000000"/>
                <w:sz w:val="22"/>
                <w:szCs w:val="22"/>
              </w:rPr>
            </w:pPr>
            <w:r w:rsidRPr="00647D59">
              <w:rPr>
                <w:rFonts w:ascii="Times New Roman" w:hAnsi="Times New Roman" w:cs="Times New Roman"/>
                <w:color w:val="000000"/>
                <w:sz w:val="22"/>
                <w:szCs w:val="22"/>
              </w:rPr>
              <w:t>1</w:t>
            </w:r>
          </w:p>
        </w:tc>
        <w:tc>
          <w:tcPr>
            <w:tcW w:w="603" w:type="pct"/>
            <w:shd w:val="clear" w:color="auto" w:fill="auto"/>
          </w:tcPr>
          <w:p w14:paraId="6517EFDD" w14:textId="77777777" w:rsidR="003F4CFF" w:rsidRPr="00647D59" w:rsidRDefault="003F4CFF" w:rsidP="003F4CFF">
            <w:pPr>
              <w:rPr>
                <w:rFonts w:ascii="Times New Roman" w:hAnsi="Times New Roman" w:cs="Times New Roman"/>
                <w:sz w:val="22"/>
                <w:szCs w:val="22"/>
              </w:rPr>
            </w:pPr>
            <w:r w:rsidRPr="00647D59">
              <w:rPr>
                <w:rFonts w:ascii="Times New Roman" w:hAnsi="Times New Roman" w:cs="Times New Roman"/>
                <w:sz w:val="22"/>
                <w:szCs w:val="22"/>
              </w:rPr>
              <w:t>АО «Региональные электрические сети»</w:t>
            </w:r>
          </w:p>
        </w:tc>
        <w:tc>
          <w:tcPr>
            <w:tcW w:w="1127" w:type="pct"/>
            <w:shd w:val="clear" w:color="auto" w:fill="auto"/>
          </w:tcPr>
          <w:p w14:paraId="6259D337" w14:textId="77777777" w:rsidR="003F4CFF" w:rsidRPr="00647D59" w:rsidRDefault="00E3307E" w:rsidP="003F4CFF">
            <w:pPr>
              <w:rPr>
                <w:rFonts w:ascii="Times New Roman" w:hAnsi="Times New Roman" w:cs="Times New Roman"/>
                <w:sz w:val="22"/>
                <w:szCs w:val="22"/>
              </w:rPr>
            </w:pPr>
            <w:hyperlink r:id="rId208" w:anchor="/ipr/00681" w:history="1">
              <w:r w:rsidR="003F4CFF" w:rsidRPr="00647D59">
                <w:rPr>
                  <w:rStyle w:val="a3"/>
                  <w:rFonts w:ascii="Times New Roman" w:hAnsi="Times New Roman" w:cs="Times New Roman"/>
                  <w:color w:val="auto"/>
                  <w:sz w:val="22"/>
                  <w:szCs w:val="22"/>
                </w:rPr>
                <w:t>https://invest.gosuslugi.ru/epgu-forum/#/ipr/00681</w:t>
              </w:r>
            </w:hyperlink>
          </w:p>
          <w:p w14:paraId="2B08CE55" w14:textId="77777777" w:rsidR="003F4CFF" w:rsidRPr="00647D59" w:rsidRDefault="003F4CFF" w:rsidP="003F4CFF">
            <w:pPr>
              <w:rPr>
                <w:rFonts w:ascii="Times New Roman" w:hAnsi="Times New Roman" w:cs="Times New Roman"/>
                <w:sz w:val="22"/>
                <w:szCs w:val="22"/>
              </w:rPr>
            </w:pPr>
          </w:p>
          <w:p w14:paraId="0BE05532" w14:textId="77777777" w:rsidR="003F4CFF" w:rsidRPr="00647D59" w:rsidRDefault="00E3307E" w:rsidP="003F4CFF">
            <w:pPr>
              <w:rPr>
                <w:rFonts w:ascii="Times New Roman" w:hAnsi="Times New Roman" w:cs="Times New Roman"/>
                <w:sz w:val="22"/>
                <w:szCs w:val="22"/>
              </w:rPr>
            </w:pPr>
            <w:hyperlink r:id="rId209" w:history="1">
              <w:r w:rsidR="003F4CFF" w:rsidRPr="00647D59">
                <w:rPr>
                  <w:rStyle w:val="a3"/>
                  <w:rFonts w:ascii="Times New Roman" w:hAnsi="Times New Roman" w:cs="Times New Roman"/>
                  <w:color w:val="auto"/>
                  <w:sz w:val="22"/>
                  <w:szCs w:val="22"/>
                  <w:lang w:val="en-US"/>
                </w:rPr>
                <w:t>http</w:t>
              </w:r>
              <w:r w:rsidR="003F4CFF" w:rsidRPr="00647D59">
                <w:rPr>
                  <w:rStyle w:val="a3"/>
                  <w:rFonts w:ascii="Times New Roman" w:hAnsi="Times New Roman" w:cs="Times New Roman"/>
                  <w:color w:val="auto"/>
                  <w:sz w:val="22"/>
                  <w:szCs w:val="22"/>
                </w:rPr>
                <w:t>://</w:t>
              </w:r>
              <w:r w:rsidR="003F4CFF" w:rsidRPr="00647D59">
                <w:rPr>
                  <w:rStyle w:val="a3"/>
                  <w:rFonts w:ascii="Times New Roman" w:hAnsi="Times New Roman" w:cs="Times New Roman"/>
                  <w:color w:val="auto"/>
                  <w:sz w:val="22"/>
                  <w:szCs w:val="22"/>
                  <w:lang w:val="en-US"/>
                </w:rPr>
                <w:t>mjkh</w:t>
              </w:r>
              <w:r w:rsidR="003F4CFF" w:rsidRPr="00647D59">
                <w:rPr>
                  <w:rStyle w:val="a3"/>
                  <w:rFonts w:ascii="Times New Roman" w:hAnsi="Times New Roman" w:cs="Times New Roman"/>
                  <w:color w:val="auto"/>
                  <w:sz w:val="22"/>
                  <w:szCs w:val="22"/>
                </w:rPr>
                <w:t>.</w:t>
              </w:r>
              <w:r w:rsidR="003F4CFF" w:rsidRPr="00647D59">
                <w:rPr>
                  <w:rStyle w:val="a3"/>
                  <w:rFonts w:ascii="Times New Roman" w:hAnsi="Times New Roman" w:cs="Times New Roman"/>
                  <w:color w:val="auto"/>
                  <w:sz w:val="22"/>
                  <w:szCs w:val="22"/>
                  <w:lang w:val="en-US"/>
                </w:rPr>
                <w:t>nso</w:t>
              </w:r>
              <w:r w:rsidR="003F4CFF" w:rsidRPr="00647D59">
                <w:rPr>
                  <w:rStyle w:val="a3"/>
                  <w:rFonts w:ascii="Times New Roman" w:hAnsi="Times New Roman" w:cs="Times New Roman"/>
                  <w:color w:val="auto"/>
                  <w:sz w:val="22"/>
                  <w:szCs w:val="22"/>
                </w:rPr>
                <w:t>.</w:t>
              </w:r>
              <w:r w:rsidR="003F4CFF" w:rsidRPr="00647D59">
                <w:rPr>
                  <w:rStyle w:val="a3"/>
                  <w:rFonts w:ascii="Times New Roman" w:hAnsi="Times New Roman" w:cs="Times New Roman"/>
                  <w:color w:val="auto"/>
                  <w:sz w:val="22"/>
                  <w:szCs w:val="22"/>
                  <w:lang w:val="en-US"/>
                </w:rPr>
                <w:t>ru</w:t>
              </w:r>
              <w:r w:rsidR="003F4CFF" w:rsidRPr="00647D59">
                <w:rPr>
                  <w:rStyle w:val="a3"/>
                  <w:rFonts w:ascii="Times New Roman" w:hAnsi="Times New Roman" w:cs="Times New Roman"/>
                  <w:color w:val="auto"/>
                  <w:sz w:val="22"/>
                  <w:szCs w:val="22"/>
                </w:rPr>
                <w:t>/</w:t>
              </w:r>
              <w:r w:rsidR="003F4CFF" w:rsidRPr="00647D59">
                <w:rPr>
                  <w:rStyle w:val="a3"/>
                  <w:rFonts w:ascii="Times New Roman" w:hAnsi="Times New Roman" w:cs="Times New Roman"/>
                  <w:color w:val="auto"/>
                  <w:sz w:val="22"/>
                  <w:szCs w:val="22"/>
                  <w:lang w:val="en-US"/>
                </w:rPr>
                <w:t>page</w:t>
              </w:r>
              <w:r w:rsidR="003F4CFF" w:rsidRPr="00647D59">
                <w:rPr>
                  <w:rStyle w:val="a3"/>
                  <w:rFonts w:ascii="Times New Roman" w:hAnsi="Times New Roman" w:cs="Times New Roman"/>
                  <w:color w:val="auto"/>
                  <w:sz w:val="22"/>
                  <w:szCs w:val="22"/>
                </w:rPr>
                <w:t>/914</w:t>
              </w:r>
            </w:hyperlink>
          </w:p>
          <w:p w14:paraId="38310920" w14:textId="77777777" w:rsidR="003F4CFF" w:rsidRPr="00647D59" w:rsidRDefault="003F4CFF" w:rsidP="003F4CFF">
            <w:pPr>
              <w:rPr>
                <w:rFonts w:ascii="Times New Roman" w:hAnsi="Times New Roman" w:cs="Times New Roman"/>
                <w:sz w:val="22"/>
                <w:szCs w:val="22"/>
              </w:rPr>
            </w:pPr>
          </w:p>
          <w:p w14:paraId="4C37DFAD" w14:textId="77777777" w:rsidR="003F4CFF" w:rsidRPr="00647D59" w:rsidRDefault="00E3307E" w:rsidP="003F4CFF">
            <w:pPr>
              <w:rPr>
                <w:rFonts w:ascii="Times New Roman" w:hAnsi="Times New Roman" w:cs="Times New Roman"/>
                <w:sz w:val="22"/>
                <w:szCs w:val="22"/>
              </w:rPr>
            </w:pPr>
            <w:hyperlink r:id="rId210" w:history="1">
              <w:r w:rsidR="003F4CFF" w:rsidRPr="00647D59">
                <w:rPr>
                  <w:rStyle w:val="a3"/>
                  <w:rFonts w:ascii="Times New Roman" w:hAnsi="Times New Roman" w:cs="Times New Roman"/>
                  <w:color w:val="auto"/>
                  <w:sz w:val="22"/>
                  <w:szCs w:val="22"/>
                </w:rPr>
                <w:t>https://www.eseti.ru/investors/disclosure.aspx</w:t>
              </w:r>
            </w:hyperlink>
          </w:p>
        </w:tc>
        <w:tc>
          <w:tcPr>
            <w:tcW w:w="1078" w:type="pct"/>
            <w:shd w:val="clear" w:color="auto" w:fill="auto"/>
          </w:tcPr>
          <w:p w14:paraId="168CBB87" w14:textId="77777777" w:rsidR="003F4CFF" w:rsidRPr="00647D59" w:rsidRDefault="00E3307E" w:rsidP="003F4CFF">
            <w:pPr>
              <w:rPr>
                <w:rFonts w:ascii="Times New Roman" w:hAnsi="Times New Roman" w:cs="Times New Roman"/>
                <w:sz w:val="22"/>
                <w:szCs w:val="22"/>
              </w:rPr>
            </w:pPr>
            <w:hyperlink r:id="rId211" w:anchor="/ipr/00681" w:history="1">
              <w:r w:rsidR="003F4CFF" w:rsidRPr="00647D59">
                <w:rPr>
                  <w:rStyle w:val="a3"/>
                  <w:rFonts w:ascii="Times New Roman" w:hAnsi="Times New Roman" w:cs="Times New Roman"/>
                  <w:color w:val="auto"/>
                  <w:sz w:val="22"/>
                  <w:szCs w:val="22"/>
                </w:rPr>
                <w:t>https://invest.gosuslugi.ru/epgu-forum/#/ipr/00681</w:t>
              </w:r>
            </w:hyperlink>
          </w:p>
          <w:p w14:paraId="3002EF0E" w14:textId="77777777" w:rsidR="003F4CFF" w:rsidRPr="00647D59" w:rsidRDefault="003F4CFF" w:rsidP="003F4CFF">
            <w:pPr>
              <w:rPr>
                <w:rFonts w:ascii="Times New Roman" w:hAnsi="Times New Roman" w:cs="Times New Roman"/>
                <w:sz w:val="22"/>
                <w:szCs w:val="22"/>
              </w:rPr>
            </w:pPr>
          </w:p>
          <w:p w14:paraId="7B99AAB9" w14:textId="77777777" w:rsidR="003F4CFF" w:rsidRPr="00647D59" w:rsidRDefault="00E3307E" w:rsidP="003F4CFF">
            <w:pPr>
              <w:rPr>
                <w:rStyle w:val="a3"/>
                <w:rFonts w:ascii="Times New Roman" w:hAnsi="Times New Roman" w:cs="Times New Roman"/>
                <w:color w:val="auto"/>
                <w:sz w:val="22"/>
                <w:szCs w:val="22"/>
              </w:rPr>
            </w:pPr>
            <w:hyperlink r:id="rId212" w:history="1">
              <w:r w:rsidR="003F4CFF" w:rsidRPr="00647D59">
                <w:rPr>
                  <w:rStyle w:val="a3"/>
                  <w:rFonts w:ascii="Times New Roman" w:hAnsi="Times New Roman" w:cs="Times New Roman"/>
                  <w:color w:val="auto"/>
                  <w:sz w:val="22"/>
                  <w:szCs w:val="22"/>
                  <w:lang w:val="en-US"/>
                </w:rPr>
                <w:t>http</w:t>
              </w:r>
              <w:r w:rsidR="003F4CFF" w:rsidRPr="00647D59">
                <w:rPr>
                  <w:rStyle w:val="a3"/>
                  <w:rFonts w:ascii="Times New Roman" w:hAnsi="Times New Roman" w:cs="Times New Roman"/>
                  <w:color w:val="auto"/>
                  <w:sz w:val="22"/>
                  <w:szCs w:val="22"/>
                </w:rPr>
                <w:t>://</w:t>
              </w:r>
              <w:r w:rsidR="003F4CFF" w:rsidRPr="00647D59">
                <w:rPr>
                  <w:rStyle w:val="a3"/>
                  <w:rFonts w:ascii="Times New Roman" w:hAnsi="Times New Roman" w:cs="Times New Roman"/>
                  <w:color w:val="auto"/>
                  <w:sz w:val="22"/>
                  <w:szCs w:val="22"/>
                  <w:lang w:val="en-US"/>
                </w:rPr>
                <w:t>mjkh</w:t>
              </w:r>
              <w:r w:rsidR="003F4CFF" w:rsidRPr="00647D59">
                <w:rPr>
                  <w:rStyle w:val="a3"/>
                  <w:rFonts w:ascii="Times New Roman" w:hAnsi="Times New Roman" w:cs="Times New Roman"/>
                  <w:color w:val="auto"/>
                  <w:sz w:val="22"/>
                  <w:szCs w:val="22"/>
                </w:rPr>
                <w:t>.</w:t>
              </w:r>
              <w:r w:rsidR="003F4CFF" w:rsidRPr="00647D59">
                <w:rPr>
                  <w:rStyle w:val="a3"/>
                  <w:rFonts w:ascii="Times New Roman" w:hAnsi="Times New Roman" w:cs="Times New Roman"/>
                  <w:color w:val="auto"/>
                  <w:sz w:val="22"/>
                  <w:szCs w:val="22"/>
                  <w:lang w:val="en-US"/>
                </w:rPr>
                <w:t>nso</w:t>
              </w:r>
              <w:r w:rsidR="003F4CFF" w:rsidRPr="00647D59">
                <w:rPr>
                  <w:rStyle w:val="a3"/>
                  <w:rFonts w:ascii="Times New Roman" w:hAnsi="Times New Roman" w:cs="Times New Roman"/>
                  <w:color w:val="auto"/>
                  <w:sz w:val="22"/>
                  <w:szCs w:val="22"/>
                </w:rPr>
                <w:t>.</w:t>
              </w:r>
              <w:r w:rsidR="003F4CFF" w:rsidRPr="00647D59">
                <w:rPr>
                  <w:rStyle w:val="a3"/>
                  <w:rFonts w:ascii="Times New Roman" w:hAnsi="Times New Roman" w:cs="Times New Roman"/>
                  <w:color w:val="auto"/>
                  <w:sz w:val="22"/>
                  <w:szCs w:val="22"/>
                  <w:lang w:val="en-US"/>
                </w:rPr>
                <w:t>ru</w:t>
              </w:r>
              <w:r w:rsidR="003F4CFF" w:rsidRPr="00647D59">
                <w:rPr>
                  <w:rStyle w:val="a3"/>
                  <w:rFonts w:ascii="Times New Roman" w:hAnsi="Times New Roman" w:cs="Times New Roman"/>
                  <w:color w:val="auto"/>
                  <w:sz w:val="22"/>
                  <w:szCs w:val="22"/>
                </w:rPr>
                <w:t>/</w:t>
              </w:r>
              <w:r w:rsidR="003F4CFF" w:rsidRPr="00647D59">
                <w:rPr>
                  <w:rStyle w:val="a3"/>
                  <w:rFonts w:ascii="Times New Roman" w:hAnsi="Times New Roman" w:cs="Times New Roman"/>
                  <w:color w:val="auto"/>
                  <w:sz w:val="22"/>
                  <w:szCs w:val="22"/>
                  <w:lang w:val="en-US"/>
                </w:rPr>
                <w:t>page</w:t>
              </w:r>
              <w:r w:rsidR="003F4CFF" w:rsidRPr="00647D59">
                <w:rPr>
                  <w:rStyle w:val="a3"/>
                  <w:rFonts w:ascii="Times New Roman" w:hAnsi="Times New Roman" w:cs="Times New Roman"/>
                  <w:color w:val="auto"/>
                  <w:sz w:val="22"/>
                  <w:szCs w:val="22"/>
                </w:rPr>
                <w:t>/914</w:t>
              </w:r>
            </w:hyperlink>
          </w:p>
          <w:p w14:paraId="513775B7" w14:textId="77777777" w:rsidR="003F4CFF" w:rsidRPr="00647D59" w:rsidRDefault="003F4CFF" w:rsidP="003F4CFF">
            <w:pPr>
              <w:rPr>
                <w:rStyle w:val="a3"/>
                <w:rFonts w:ascii="Times New Roman" w:hAnsi="Times New Roman" w:cs="Times New Roman"/>
                <w:color w:val="auto"/>
                <w:sz w:val="22"/>
                <w:szCs w:val="22"/>
              </w:rPr>
            </w:pPr>
          </w:p>
          <w:p w14:paraId="57ABC6B8" w14:textId="77777777" w:rsidR="003F4CFF" w:rsidRPr="00647D59" w:rsidRDefault="00E3307E" w:rsidP="003F4CFF">
            <w:pPr>
              <w:rPr>
                <w:rFonts w:ascii="Times New Roman" w:hAnsi="Times New Roman" w:cs="Times New Roman"/>
                <w:sz w:val="22"/>
                <w:szCs w:val="22"/>
              </w:rPr>
            </w:pPr>
            <w:hyperlink r:id="rId213" w:history="1">
              <w:r w:rsidR="003F4CFF" w:rsidRPr="00647D59">
                <w:rPr>
                  <w:rStyle w:val="a3"/>
                  <w:rFonts w:ascii="Times New Roman" w:hAnsi="Times New Roman" w:cs="Times New Roman"/>
                  <w:color w:val="auto"/>
                  <w:sz w:val="22"/>
                  <w:szCs w:val="22"/>
                </w:rPr>
                <w:t>https://www.eseti.ru/investors/disclosure.aspx</w:t>
              </w:r>
            </w:hyperlink>
          </w:p>
        </w:tc>
        <w:tc>
          <w:tcPr>
            <w:tcW w:w="933" w:type="pct"/>
            <w:shd w:val="clear" w:color="auto" w:fill="auto"/>
          </w:tcPr>
          <w:p w14:paraId="73F3677E" w14:textId="77777777" w:rsidR="003F4CFF" w:rsidRPr="00647D59" w:rsidRDefault="00E3307E" w:rsidP="003F4CFF">
            <w:pPr>
              <w:rPr>
                <w:rFonts w:ascii="Times New Roman" w:hAnsi="Times New Roman" w:cs="Times New Roman"/>
                <w:sz w:val="22"/>
                <w:szCs w:val="22"/>
              </w:rPr>
            </w:pPr>
            <w:hyperlink r:id="rId214" w:history="1">
              <w:r w:rsidR="003F4CFF" w:rsidRPr="00647D59">
                <w:rPr>
                  <w:rStyle w:val="a3"/>
                  <w:rFonts w:ascii="Times New Roman" w:hAnsi="Times New Roman" w:cs="Times New Roman"/>
                  <w:color w:val="auto"/>
                  <w:sz w:val="22"/>
                  <w:szCs w:val="22"/>
                </w:rPr>
                <w:t>https://tarif.nso.ru/page/60</w:t>
              </w:r>
            </w:hyperlink>
          </w:p>
          <w:p w14:paraId="5BD64721" w14:textId="77777777" w:rsidR="003F4CFF" w:rsidRPr="00647D59" w:rsidRDefault="003F4CFF" w:rsidP="003F4CFF">
            <w:pPr>
              <w:rPr>
                <w:rFonts w:ascii="Times New Roman" w:hAnsi="Times New Roman" w:cs="Times New Roman"/>
                <w:sz w:val="22"/>
                <w:szCs w:val="22"/>
                <w:bdr w:val="none" w:sz="0" w:space="0" w:color="auto" w:frame="1"/>
                <w:shd w:val="clear" w:color="auto" w:fill="FFFFFF"/>
              </w:rPr>
            </w:pPr>
          </w:p>
          <w:p w14:paraId="4673AEA8" w14:textId="77777777" w:rsidR="003F4CFF" w:rsidRPr="00647D59" w:rsidRDefault="00E3307E" w:rsidP="003F4CFF">
            <w:pPr>
              <w:rPr>
                <w:rFonts w:ascii="Times New Roman" w:hAnsi="Times New Roman" w:cs="Times New Roman"/>
                <w:sz w:val="22"/>
                <w:szCs w:val="22"/>
              </w:rPr>
            </w:pPr>
            <w:hyperlink r:id="rId215" w:history="1">
              <w:r w:rsidR="003F4CFF" w:rsidRPr="00647D59">
                <w:rPr>
                  <w:rStyle w:val="a3"/>
                  <w:rFonts w:ascii="Times New Roman" w:hAnsi="Times New Roman" w:cs="Times New Roman"/>
                  <w:color w:val="auto"/>
                  <w:sz w:val="22"/>
                  <w:szCs w:val="22"/>
                </w:rPr>
                <w:t>https://www.eseti.ru/investors/disclosure.aspx</w:t>
              </w:r>
            </w:hyperlink>
          </w:p>
        </w:tc>
        <w:tc>
          <w:tcPr>
            <w:tcW w:w="1066" w:type="pct"/>
            <w:shd w:val="clear" w:color="auto" w:fill="auto"/>
          </w:tcPr>
          <w:p w14:paraId="5F002B8F" w14:textId="77777777" w:rsidR="003F4CFF" w:rsidRPr="00647D59" w:rsidRDefault="00E3307E" w:rsidP="003F4CFF">
            <w:pPr>
              <w:rPr>
                <w:rFonts w:ascii="Times New Roman" w:hAnsi="Times New Roman" w:cs="Times New Roman"/>
                <w:sz w:val="22"/>
                <w:szCs w:val="22"/>
              </w:rPr>
            </w:pPr>
            <w:hyperlink r:id="rId216" w:history="1">
              <w:r w:rsidR="003F4CFF" w:rsidRPr="00647D59">
                <w:rPr>
                  <w:rStyle w:val="a3"/>
                  <w:rFonts w:ascii="Times New Roman" w:hAnsi="Times New Roman" w:cs="Times New Roman"/>
                  <w:color w:val="auto"/>
                  <w:sz w:val="22"/>
                  <w:szCs w:val="22"/>
                </w:rPr>
                <w:t>https://www.eseti.ru/investors/disclosure.aspx</w:t>
              </w:r>
            </w:hyperlink>
          </w:p>
        </w:tc>
      </w:tr>
      <w:tr w:rsidR="00647D59" w:rsidRPr="00CB7FCA" w14:paraId="60BE5043" w14:textId="77777777" w:rsidTr="00E77388">
        <w:trPr>
          <w:trHeight w:val="1644"/>
        </w:trPr>
        <w:tc>
          <w:tcPr>
            <w:tcW w:w="194" w:type="pct"/>
            <w:shd w:val="clear" w:color="auto" w:fill="auto"/>
          </w:tcPr>
          <w:p w14:paraId="5DCC6E38" w14:textId="77777777" w:rsidR="003F4CFF" w:rsidRPr="00647D59" w:rsidRDefault="00647D59" w:rsidP="003F4CFF">
            <w:pPr>
              <w:rPr>
                <w:rFonts w:ascii="Times New Roman" w:hAnsi="Times New Roman" w:cs="Times New Roman"/>
                <w:color w:val="000000"/>
                <w:sz w:val="22"/>
                <w:szCs w:val="22"/>
              </w:rPr>
            </w:pPr>
            <w:r w:rsidRPr="00647D59">
              <w:rPr>
                <w:rFonts w:ascii="Times New Roman" w:hAnsi="Times New Roman" w:cs="Times New Roman"/>
                <w:color w:val="000000"/>
                <w:sz w:val="22"/>
                <w:szCs w:val="22"/>
              </w:rPr>
              <w:t>2</w:t>
            </w:r>
          </w:p>
        </w:tc>
        <w:tc>
          <w:tcPr>
            <w:tcW w:w="603" w:type="pct"/>
            <w:shd w:val="clear" w:color="auto" w:fill="auto"/>
          </w:tcPr>
          <w:p w14:paraId="06AD451F" w14:textId="77777777" w:rsidR="003F4CFF" w:rsidRPr="00647D59" w:rsidRDefault="003F4CFF" w:rsidP="003F4CFF">
            <w:pPr>
              <w:rPr>
                <w:rFonts w:ascii="Times New Roman" w:hAnsi="Times New Roman" w:cs="Times New Roman"/>
                <w:b/>
                <w:sz w:val="22"/>
                <w:szCs w:val="22"/>
              </w:rPr>
            </w:pPr>
            <w:r w:rsidRPr="00647D59">
              <w:rPr>
                <w:rFonts w:ascii="Times New Roman" w:hAnsi="Times New Roman" w:cs="Times New Roman"/>
                <w:sz w:val="22"/>
                <w:szCs w:val="22"/>
              </w:rPr>
              <w:t>МУП «КБУ»</w:t>
            </w:r>
          </w:p>
        </w:tc>
        <w:tc>
          <w:tcPr>
            <w:tcW w:w="1127" w:type="pct"/>
            <w:shd w:val="clear" w:color="auto" w:fill="auto"/>
          </w:tcPr>
          <w:p w14:paraId="40416385" w14:textId="77777777" w:rsidR="003F4CFF" w:rsidRPr="00647D59" w:rsidRDefault="00E3307E" w:rsidP="003F4CFF">
            <w:pPr>
              <w:rPr>
                <w:rFonts w:ascii="Times New Roman" w:hAnsi="Times New Roman" w:cs="Times New Roman"/>
                <w:sz w:val="22"/>
                <w:szCs w:val="22"/>
              </w:rPr>
            </w:pPr>
            <w:hyperlink r:id="rId217" w:history="1">
              <w:r w:rsidR="003F4CFF" w:rsidRPr="00647D59">
                <w:rPr>
                  <w:rStyle w:val="a3"/>
                  <w:rFonts w:ascii="Times New Roman" w:hAnsi="Times New Roman" w:cs="Times New Roman"/>
                  <w:color w:val="auto"/>
                  <w:sz w:val="22"/>
                  <w:szCs w:val="22"/>
                </w:rPr>
                <w:t>https://tarif.nso.ru/page/103</w:t>
              </w:r>
            </w:hyperlink>
          </w:p>
          <w:p w14:paraId="2793B411" w14:textId="77777777" w:rsidR="003F4CFF" w:rsidRPr="00647D59" w:rsidRDefault="003F4CFF" w:rsidP="003F4CFF">
            <w:pPr>
              <w:rPr>
                <w:rFonts w:ascii="Times New Roman" w:hAnsi="Times New Roman" w:cs="Times New Roman"/>
                <w:sz w:val="22"/>
                <w:szCs w:val="22"/>
              </w:rPr>
            </w:pPr>
          </w:p>
          <w:p w14:paraId="686FC657" w14:textId="77777777" w:rsidR="003F4CFF" w:rsidRPr="00647D59" w:rsidRDefault="00E3307E" w:rsidP="003F4CFF">
            <w:pPr>
              <w:rPr>
                <w:rFonts w:ascii="Times New Roman" w:hAnsi="Times New Roman" w:cs="Times New Roman"/>
                <w:sz w:val="22"/>
                <w:szCs w:val="22"/>
              </w:rPr>
            </w:pPr>
            <w:hyperlink r:id="rId218" w:history="1">
              <w:r w:rsidR="003F4CFF" w:rsidRPr="00647D59">
                <w:rPr>
                  <w:rStyle w:val="a3"/>
                  <w:rFonts w:ascii="Times New Roman" w:hAnsi="Times New Roman" w:cs="Times New Roman"/>
                  <w:color w:val="auto"/>
                  <w:sz w:val="22"/>
                  <w:szCs w:val="22"/>
                </w:rPr>
                <w:t>https://www.mupkbu.ru/index.php/o-predpriyatii/raskrytie-informatsii</w:t>
              </w:r>
            </w:hyperlink>
          </w:p>
        </w:tc>
        <w:tc>
          <w:tcPr>
            <w:tcW w:w="1078" w:type="pct"/>
            <w:shd w:val="clear" w:color="auto" w:fill="auto"/>
          </w:tcPr>
          <w:p w14:paraId="2318F377" w14:textId="77777777" w:rsidR="003F4CFF" w:rsidRPr="00647D59" w:rsidRDefault="00E3307E" w:rsidP="003F4CFF">
            <w:pPr>
              <w:rPr>
                <w:rFonts w:ascii="Times New Roman" w:hAnsi="Times New Roman" w:cs="Times New Roman"/>
                <w:sz w:val="22"/>
                <w:szCs w:val="22"/>
              </w:rPr>
            </w:pPr>
            <w:hyperlink r:id="rId219" w:history="1">
              <w:r w:rsidR="003F4CFF" w:rsidRPr="00647D59">
                <w:rPr>
                  <w:rStyle w:val="a3"/>
                  <w:rFonts w:ascii="Times New Roman" w:hAnsi="Times New Roman" w:cs="Times New Roman"/>
                  <w:color w:val="auto"/>
                  <w:sz w:val="22"/>
                  <w:szCs w:val="22"/>
                </w:rPr>
                <w:t>https://tarif.nso.ru/page/103</w:t>
              </w:r>
            </w:hyperlink>
          </w:p>
          <w:p w14:paraId="0F40D960" w14:textId="77777777" w:rsidR="003F4CFF" w:rsidRPr="00647D59" w:rsidRDefault="003F4CFF" w:rsidP="003F4CFF">
            <w:pPr>
              <w:rPr>
                <w:rFonts w:ascii="Times New Roman" w:hAnsi="Times New Roman" w:cs="Times New Roman"/>
                <w:sz w:val="22"/>
                <w:szCs w:val="22"/>
              </w:rPr>
            </w:pPr>
          </w:p>
          <w:p w14:paraId="45DFF3BE" w14:textId="77777777" w:rsidR="003F4CFF" w:rsidRPr="00647D59" w:rsidRDefault="00E3307E" w:rsidP="003F4CFF">
            <w:pPr>
              <w:rPr>
                <w:rFonts w:ascii="Times New Roman" w:hAnsi="Times New Roman" w:cs="Times New Roman"/>
                <w:sz w:val="22"/>
                <w:szCs w:val="22"/>
              </w:rPr>
            </w:pPr>
            <w:hyperlink r:id="rId220" w:history="1">
              <w:r w:rsidR="003F4CFF" w:rsidRPr="00647D59">
                <w:rPr>
                  <w:rStyle w:val="a3"/>
                  <w:rFonts w:ascii="Times New Roman" w:hAnsi="Times New Roman" w:cs="Times New Roman"/>
                  <w:color w:val="auto"/>
                  <w:sz w:val="22"/>
                  <w:szCs w:val="22"/>
                </w:rPr>
                <w:t>https://tarif.nso.ru/page/149</w:t>
              </w:r>
            </w:hyperlink>
          </w:p>
          <w:p w14:paraId="3B969EE2" w14:textId="77777777" w:rsidR="003F4CFF" w:rsidRPr="00647D59" w:rsidRDefault="003F4CFF" w:rsidP="003F4CFF">
            <w:pPr>
              <w:rPr>
                <w:rFonts w:ascii="Times New Roman" w:hAnsi="Times New Roman" w:cs="Times New Roman"/>
                <w:sz w:val="22"/>
                <w:szCs w:val="22"/>
              </w:rPr>
            </w:pPr>
          </w:p>
          <w:p w14:paraId="1C5A1C4B" w14:textId="77777777" w:rsidR="003F4CFF" w:rsidRPr="00647D59" w:rsidRDefault="00E3307E" w:rsidP="003F4CFF">
            <w:pPr>
              <w:rPr>
                <w:rFonts w:ascii="Times New Roman" w:hAnsi="Times New Roman" w:cs="Times New Roman"/>
                <w:sz w:val="22"/>
                <w:szCs w:val="22"/>
              </w:rPr>
            </w:pPr>
            <w:hyperlink r:id="rId221" w:history="1">
              <w:r w:rsidR="003F4CFF" w:rsidRPr="00647D59">
                <w:rPr>
                  <w:rStyle w:val="a3"/>
                  <w:rFonts w:ascii="Times New Roman" w:hAnsi="Times New Roman" w:cs="Times New Roman"/>
                  <w:color w:val="auto"/>
                  <w:sz w:val="22"/>
                  <w:szCs w:val="22"/>
                </w:rPr>
                <w:t>https://www.mupkbu.ru/index.php/o-predpriyatii/raskrytie-informatsii</w:t>
              </w:r>
            </w:hyperlink>
          </w:p>
        </w:tc>
        <w:tc>
          <w:tcPr>
            <w:tcW w:w="933" w:type="pct"/>
            <w:shd w:val="clear" w:color="auto" w:fill="auto"/>
          </w:tcPr>
          <w:p w14:paraId="47FC3B11" w14:textId="77777777" w:rsidR="003F4CFF" w:rsidRPr="00647D59" w:rsidRDefault="00E3307E" w:rsidP="003F4CFF">
            <w:pPr>
              <w:rPr>
                <w:rFonts w:ascii="Times New Roman" w:hAnsi="Times New Roman" w:cs="Times New Roman"/>
                <w:sz w:val="22"/>
                <w:szCs w:val="22"/>
              </w:rPr>
            </w:pPr>
            <w:hyperlink r:id="rId222" w:history="1">
              <w:r w:rsidR="003F4CFF" w:rsidRPr="00647D59">
                <w:rPr>
                  <w:rStyle w:val="a3"/>
                  <w:rFonts w:ascii="Times New Roman" w:hAnsi="Times New Roman" w:cs="Times New Roman"/>
                  <w:color w:val="auto"/>
                  <w:sz w:val="22"/>
                  <w:szCs w:val="22"/>
                </w:rPr>
                <w:t>https://tarif.nso.ru/page/60</w:t>
              </w:r>
            </w:hyperlink>
          </w:p>
          <w:p w14:paraId="3272E281" w14:textId="77777777" w:rsidR="003F4CFF" w:rsidRPr="00647D59" w:rsidRDefault="003F4CFF" w:rsidP="003F4CFF">
            <w:pPr>
              <w:rPr>
                <w:rFonts w:ascii="Times New Roman" w:hAnsi="Times New Roman" w:cs="Times New Roman"/>
                <w:sz w:val="22"/>
                <w:szCs w:val="22"/>
              </w:rPr>
            </w:pPr>
          </w:p>
          <w:p w14:paraId="7C6834D8" w14:textId="77777777" w:rsidR="003F4CFF" w:rsidRPr="00647D59" w:rsidRDefault="00E3307E" w:rsidP="003F4CFF">
            <w:pPr>
              <w:rPr>
                <w:rFonts w:ascii="Times New Roman" w:hAnsi="Times New Roman" w:cs="Times New Roman"/>
                <w:sz w:val="22"/>
                <w:szCs w:val="22"/>
              </w:rPr>
            </w:pPr>
            <w:hyperlink r:id="rId223" w:history="1">
              <w:r w:rsidR="003F4CFF" w:rsidRPr="00647D59">
                <w:rPr>
                  <w:rStyle w:val="a3"/>
                  <w:rFonts w:ascii="Times New Roman" w:hAnsi="Times New Roman" w:cs="Times New Roman"/>
                  <w:color w:val="auto"/>
                  <w:sz w:val="22"/>
                  <w:szCs w:val="22"/>
                </w:rPr>
                <w:t>http://tariff.nso.ru/RI2/</w:t>
              </w:r>
            </w:hyperlink>
          </w:p>
          <w:p w14:paraId="44C03555" w14:textId="77777777" w:rsidR="003F4CFF" w:rsidRPr="00647D59" w:rsidRDefault="003F4CFF" w:rsidP="003F4CFF">
            <w:pPr>
              <w:rPr>
                <w:rFonts w:ascii="Times New Roman" w:hAnsi="Times New Roman" w:cs="Times New Roman"/>
                <w:sz w:val="22"/>
                <w:szCs w:val="22"/>
              </w:rPr>
            </w:pPr>
          </w:p>
          <w:p w14:paraId="1CCAE941" w14:textId="77777777" w:rsidR="003F4CFF" w:rsidRPr="00647D59" w:rsidRDefault="00E3307E" w:rsidP="003F4CFF">
            <w:pPr>
              <w:rPr>
                <w:rFonts w:ascii="Times New Roman" w:hAnsi="Times New Roman" w:cs="Times New Roman"/>
                <w:sz w:val="22"/>
                <w:szCs w:val="22"/>
              </w:rPr>
            </w:pPr>
            <w:hyperlink r:id="rId224" w:history="1">
              <w:r w:rsidR="003F4CFF" w:rsidRPr="00647D59">
                <w:rPr>
                  <w:rStyle w:val="a3"/>
                  <w:rFonts w:ascii="Times New Roman" w:hAnsi="Times New Roman" w:cs="Times New Roman"/>
                  <w:color w:val="auto"/>
                  <w:sz w:val="22"/>
                  <w:szCs w:val="22"/>
                </w:rPr>
                <w:t>https://www.mupkbu.ru/index.php/o-predpriyatii/raskrytie-informatsii</w:t>
              </w:r>
            </w:hyperlink>
          </w:p>
        </w:tc>
        <w:tc>
          <w:tcPr>
            <w:tcW w:w="1066" w:type="pct"/>
            <w:shd w:val="clear" w:color="auto" w:fill="auto"/>
          </w:tcPr>
          <w:p w14:paraId="2F632141" w14:textId="77777777" w:rsidR="003F4CFF" w:rsidRPr="00647D59" w:rsidRDefault="00E3307E" w:rsidP="003F4CFF">
            <w:pPr>
              <w:rPr>
                <w:rFonts w:ascii="Times New Roman" w:hAnsi="Times New Roman" w:cs="Times New Roman"/>
                <w:sz w:val="22"/>
                <w:szCs w:val="22"/>
              </w:rPr>
            </w:pPr>
            <w:hyperlink r:id="rId225" w:history="1">
              <w:r w:rsidR="003F4CFF" w:rsidRPr="00647D59">
                <w:rPr>
                  <w:rStyle w:val="a3"/>
                  <w:rFonts w:ascii="Times New Roman" w:hAnsi="Times New Roman" w:cs="Times New Roman"/>
                  <w:color w:val="auto"/>
                  <w:sz w:val="22"/>
                  <w:szCs w:val="22"/>
                </w:rPr>
                <w:t>http://tariff.nso.ru/RI2/</w:t>
              </w:r>
            </w:hyperlink>
          </w:p>
          <w:p w14:paraId="08FF8EC3" w14:textId="77777777" w:rsidR="003F4CFF" w:rsidRPr="00647D59" w:rsidRDefault="003F4CFF" w:rsidP="003F4CFF">
            <w:pPr>
              <w:rPr>
                <w:rFonts w:ascii="Times New Roman" w:hAnsi="Times New Roman" w:cs="Times New Roman"/>
                <w:sz w:val="22"/>
                <w:szCs w:val="22"/>
              </w:rPr>
            </w:pPr>
          </w:p>
          <w:p w14:paraId="4F1481A4" w14:textId="77777777" w:rsidR="003F4CFF" w:rsidRPr="00647D59" w:rsidRDefault="00E3307E" w:rsidP="003F4CFF">
            <w:pPr>
              <w:rPr>
                <w:rFonts w:ascii="Times New Roman" w:hAnsi="Times New Roman" w:cs="Times New Roman"/>
                <w:sz w:val="22"/>
                <w:szCs w:val="22"/>
              </w:rPr>
            </w:pPr>
            <w:hyperlink r:id="rId226" w:history="1">
              <w:r w:rsidR="003F4CFF" w:rsidRPr="00647D59">
                <w:rPr>
                  <w:rStyle w:val="a3"/>
                  <w:rFonts w:ascii="Times New Roman" w:hAnsi="Times New Roman" w:cs="Times New Roman"/>
                  <w:color w:val="auto"/>
                  <w:sz w:val="22"/>
                  <w:szCs w:val="22"/>
                </w:rPr>
                <w:t>https://www.mupkbu.ru/index.php/o-predpriyatii/raskrytie-informatsii</w:t>
              </w:r>
            </w:hyperlink>
          </w:p>
        </w:tc>
      </w:tr>
      <w:tr w:rsidR="00647D59" w:rsidRPr="00CB7FCA" w14:paraId="18A3A292" w14:textId="77777777" w:rsidTr="00E77388">
        <w:trPr>
          <w:trHeight w:val="1644"/>
        </w:trPr>
        <w:tc>
          <w:tcPr>
            <w:tcW w:w="194" w:type="pct"/>
            <w:shd w:val="clear" w:color="auto" w:fill="auto"/>
          </w:tcPr>
          <w:p w14:paraId="0019F276" w14:textId="77777777" w:rsidR="003F4CFF" w:rsidRPr="00647D59" w:rsidRDefault="00647D59" w:rsidP="003F4CFF">
            <w:pPr>
              <w:rPr>
                <w:rFonts w:ascii="Times New Roman" w:hAnsi="Times New Roman" w:cs="Times New Roman"/>
                <w:sz w:val="22"/>
                <w:szCs w:val="22"/>
              </w:rPr>
            </w:pPr>
            <w:r w:rsidRPr="00647D59">
              <w:rPr>
                <w:rFonts w:ascii="Times New Roman" w:hAnsi="Times New Roman" w:cs="Times New Roman"/>
                <w:sz w:val="22"/>
                <w:szCs w:val="22"/>
              </w:rPr>
              <w:t>3</w:t>
            </w:r>
          </w:p>
        </w:tc>
        <w:tc>
          <w:tcPr>
            <w:tcW w:w="603" w:type="pct"/>
            <w:shd w:val="clear" w:color="auto" w:fill="auto"/>
          </w:tcPr>
          <w:p w14:paraId="7E773D5B" w14:textId="77777777" w:rsidR="003F4CFF" w:rsidRPr="00647D59" w:rsidRDefault="003F4CFF" w:rsidP="003F4CFF">
            <w:pPr>
              <w:rPr>
                <w:rFonts w:ascii="Times New Roman" w:hAnsi="Times New Roman" w:cs="Times New Roman"/>
                <w:sz w:val="22"/>
                <w:szCs w:val="22"/>
              </w:rPr>
            </w:pPr>
            <w:r w:rsidRPr="00647D59">
              <w:rPr>
                <w:rFonts w:ascii="Times New Roman" w:hAnsi="Times New Roman" w:cs="Times New Roman"/>
                <w:sz w:val="22"/>
                <w:szCs w:val="22"/>
              </w:rPr>
              <w:t>АО «Экспресс-пригород»</w:t>
            </w:r>
          </w:p>
        </w:tc>
        <w:tc>
          <w:tcPr>
            <w:tcW w:w="1127" w:type="pct"/>
            <w:shd w:val="clear" w:color="auto" w:fill="auto"/>
          </w:tcPr>
          <w:p w14:paraId="3F79B782" w14:textId="77777777" w:rsidR="003F4CFF" w:rsidRPr="00647D59" w:rsidRDefault="00E3307E" w:rsidP="003F4CFF">
            <w:pPr>
              <w:rPr>
                <w:sz w:val="22"/>
                <w:szCs w:val="22"/>
              </w:rPr>
            </w:pPr>
            <w:hyperlink r:id="rId227" w:history="1">
              <w:r w:rsidR="003F4CFF" w:rsidRPr="00647D59">
                <w:rPr>
                  <w:rFonts w:ascii="Times New Roman" w:hAnsi="Times New Roman" w:cs="Times New Roman"/>
                  <w:sz w:val="22"/>
                  <w:szCs w:val="22"/>
                </w:rPr>
                <w:t>http://express-prigorod.ru/express/informforms/</w:t>
              </w:r>
            </w:hyperlink>
          </w:p>
        </w:tc>
        <w:tc>
          <w:tcPr>
            <w:tcW w:w="1078" w:type="pct"/>
            <w:shd w:val="clear" w:color="auto" w:fill="auto"/>
          </w:tcPr>
          <w:p w14:paraId="3B81C99F" w14:textId="77777777" w:rsidR="003F4CFF" w:rsidRPr="00647D59" w:rsidRDefault="00E3307E" w:rsidP="003F4CFF">
            <w:pPr>
              <w:rPr>
                <w:sz w:val="22"/>
                <w:szCs w:val="22"/>
              </w:rPr>
            </w:pPr>
            <w:hyperlink r:id="rId228" w:history="1">
              <w:r w:rsidR="003F4CFF" w:rsidRPr="00647D59">
                <w:rPr>
                  <w:rFonts w:ascii="Times New Roman" w:hAnsi="Times New Roman" w:cs="Times New Roman"/>
                  <w:sz w:val="22"/>
                  <w:szCs w:val="22"/>
                </w:rPr>
                <w:t>http://express-prigorod.ru/express/informforms/</w:t>
              </w:r>
            </w:hyperlink>
          </w:p>
        </w:tc>
        <w:tc>
          <w:tcPr>
            <w:tcW w:w="933" w:type="pct"/>
            <w:shd w:val="clear" w:color="auto" w:fill="auto"/>
          </w:tcPr>
          <w:p w14:paraId="7D20B8F7" w14:textId="77777777" w:rsidR="003F4CFF" w:rsidRPr="00647D59" w:rsidRDefault="00E3307E" w:rsidP="003F4CFF">
            <w:pPr>
              <w:rPr>
                <w:sz w:val="22"/>
                <w:szCs w:val="22"/>
              </w:rPr>
            </w:pPr>
            <w:hyperlink r:id="rId229" w:history="1">
              <w:r w:rsidR="003F4CFF" w:rsidRPr="00647D59">
                <w:rPr>
                  <w:rFonts w:ascii="Times New Roman" w:hAnsi="Times New Roman" w:cs="Times New Roman"/>
                  <w:sz w:val="22"/>
                  <w:szCs w:val="22"/>
                </w:rPr>
                <w:t>http://express-prigorod.ru/express/informforms/</w:t>
              </w:r>
            </w:hyperlink>
          </w:p>
        </w:tc>
        <w:tc>
          <w:tcPr>
            <w:tcW w:w="1066" w:type="pct"/>
            <w:shd w:val="clear" w:color="auto" w:fill="auto"/>
          </w:tcPr>
          <w:p w14:paraId="6B64E49F" w14:textId="77777777" w:rsidR="003F4CFF" w:rsidRPr="00647D59" w:rsidRDefault="00E3307E" w:rsidP="003F4CFF">
            <w:pPr>
              <w:rPr>
                <w:rFonts w:ascii="Times New Roman" w:hAnsi="Times New Roman" w:cs="Times New Roman"/>
                <w:sz w:val="22"/>
                <w:szCs w:val="22"/>
              </w:rPr>
            </w:pPr>
            <w:hyperlink r:id="rId230" w:history="1">
              <w:r w:rsidR="003F4CFF" w:rsidRPr="00647D59">
                <w:rPr>
                  <w:rFonts w:ascii="Times New Roman" w:hAnsi="Times New Roman" w:cs="Times New Roman"/>
                  <w:sz w:val="22"/>
                  <w:szCs w:val="22"/>
                </w:rPr>
                <w:t>http://express-prigorod.ru/express/informforms/</w:t>
              </w:r>
            </w:hyperlink>
          </w:p>
        </w:tc>
      </w:tr>
      <w:tr w:rsidR="00647D59" w:rsidRPr="003D2429" w14:paraId="417DDA3E" w14:textId="77777777" w:rsidTr="00E77388">
        <w:trPr>
          <w:trHeight w:val="1644"/>
        </w:trPr>
        <w:tc>
          <w:tcPr>
            <w:tcW w:w="194" w:type="pct"/>
            <w:shd w:val="clear" w:color="auto" w:fill="auto"/>
          </w:tcPr>
          <w:p w14:paraId="58A089CA" w14:textId="77777777" w:rsidR="003F4CFF" w:rsidRPr="00647D59" w:rsidRDefault="00647D59" w:rsidP="003F4CFF">
            <w:pPr>
              <w:rPr>
                <w:rFonts w:ascii="Times New Roman" w:hAnsi="Times New Roman" w:cs="Times New Roman"/>
                <w:sz w:val="22"/>
                <w:szCs w:val="22"/>
              </w:rPr>
            </w:pPr>
            <w:r w:rsidRPr="00647D59">
              <w:rPr>
                <w:rFonts w:ascii="Times New Roman" w:hAnsi="Times New Roman" w:cs="Times New Roman"/>
                <w:sz w:val="22"/>
                <w:szCs w:val="22"/>
              </w:rPr>
              <w:lastRenderedPageBreak/>
              <w:t>4</w:t>
            </w:r>
          </w:p>
        </w:tc>
        <w:tc>
          <w:tcPr>
            <w:tcW w:w="603" w:type="pct"/>
            <w:shd w:val="clear" w:color="auto" w:fill="auto"/>
          </w:tcPr>
          <w:p w14:paraId="21D2E08D" w14:textId="77777777" w:rsidR="003F4CFF" w:rsidRPr="00647D59" w:rsidRDefault="003F4CFF" w:rsidP="003F4CFF">
            <w:pPr>
              <w:rPr>
                <w:rFonts w:ascii="Times New Roman" w:hAnsi="Times New Roman" w:cs="Times New Roman"/>
                <w:sz w:val="22"/>
                <w:szCs w:val="22"/>
              </w:rPr>
            </w:pPr>
            <w:r w:rsidRPr="00647D59">
              <w:rPr>
                <w:rFonts w:ascii="Times New Roman" w:hAnsi="Times New Roman" w:cs="Times New Roman"/>
                <w:sz w:val="22"/>
                <w:szCs w:val="22"/>
              </w:rPr>
              <w:t>АО «Аэропорт Толмачево»</w:t>
            </w:r>
          </w:p>
        </w:tc>
        <w:tc>
          <w:tcPr>
            <w:tcW w:w="1127" w:type="pct"/>
            <w:shd w:val="clear" w:color="auto" w:fill="auto"/>
          </w:tcPr>
          <w:p w14:paraId="31FD56B8" w14:textId="77777777" w:rsidR="003F4CFF" w:rsidRPr="00647D59" w:rsidRDefault="003F4CFF" w:rsidP="003F4CFF">
            <w:pPr>
              <w:rPr>
                <w:rFonts w:ascii="Times New Roman" w:hAnsi="Times New Roman" w:cs="Times New Roman"/>
                <w:sz w:val="22"/>
                <w:szCs w:val="22"/>
                <w:lang w:val="en-US"/>
              </w:rPr>
            </w:pPr>
            <w:r w:rsidRPr="00647D59">
              <w:rPr>
                <w:rFonts w:ascii="Times New Roman" w:hAnsi="Times New Roman" w:cs="Times New Roman"/>
                <w:sz w:val="22"/>
                <w:szCs w:val="22"/>
                <w:lang w:val="en-US"/>
              </w:rPr>
              <w:t xml:space="preserve">tolmachevo.ru/airport/open_info/monopolii/ </w:t>
            </w:r>
          </w:p>
        </w:tc>
        <w:tc>
          <w:tcPr>
            <w:tcW w:w="1078" w:type="pct"/>
            <w:shd w:val="clear" w:color="auto" w:fill="auto"/>
          </w:tcPr>
          <w:p w14:paraId="5EF48DFC" w14:textId="77777777" w:rsidR="003F4CFF" w:rsidRPr="00647D59" w:rsidRDefault="003F4CFF" w:rsidP="003F4CFF">
            <w:pPr>
              <w:rPr>
                <w:rFonts w:ascii="Times New Roman" w:hAnsi="Times New Roman" w:cs="Times New Roman"/>
                <w:sz w:val="22"/>
                <w:szCs w:val="22"/>
                <w:lang w:val="en-US"/>
              </w:rPr>
            </w:pPr>
            <w:r w:rsidRPr="00647D59">
              <w:rPr>
                <w:rFonts w:ascii="Times New Roman" w:hAnsi="Times New Roman" w:cs="Times New Roman"/>
                <w:sz w:val="22"/>
                <w:szCs w:val="22"/>
                <w:lang w:val="en-US"/>
              </w:rPr>
              <w:t xml:space="preserve">tolmachevo.ru/airport/open_info/monopolii/ </w:t>
            </w:r>
          </w:p>
        </w:tc>
        <w:tc>
          <w:tcPr>
            <w:tcW w:w="933" w:type="pct"/>
            <w:shd w:val="clear" w:color="auto" w:fill="auto"/>
          </w:tcPr>
          <w:p w14:paraId="66F7DEC7" w14:textId="77777777" w:rsidR="003F4CFF" w:rsidRPr="00647D59" w:rsidRDefault="003F4CFF" w:rsidP="003F4CFF">
            <w:pPr>
              <w:rPr>
                <w:rFonts w:ascii="Times New Roman" w:hAnsi="Times New Roman" w:cs="Times New Roman"/>
                <w:sz w:val="22"/>
                <w:szCs w:val="22"/>
                <w:lang w:val="en-US"/>
              </w:rPr>
            </w:pPr>
            <w:r w:rsidRPr="00647D59">
              <w:rPr>
                <w:rFonts w:ascii="Times New Roman" w:hAnsi="Times New Roman" w:cs="Times New Roman"/>
                <w:sz w:val="22"/>
                <w:szCs w:val="22"/>
                <w:lang w:val="en-US"/>
              </w:rPr>
              <w:t>tolmachevo.ru/partners/airlines/documents/</w:t>
            </w:r>
          </w:p>
        </w:tc>
        <w:tc>
          <w:tcPr>
            <w:tcW w:w="1066" w:type="pct"/>
            <w:shd w:val="clear" w:color="auto" w:fill="auto"/>
          </w:tcPr>
          <w:p w14:paraId="4E2A5727" w14:textId="77777777" w:rsidR="003F4CFF" w:rsidRPr="00647D59" w:rsidRDefault="003F4CFF" w:rsidP="003F4CFF">
            <w:pPr>
              <w:rPr>
                <w:rFonts w:ascii="Times New Roman" w:hAnsi="Times New Roman" w:cs="Times New Roman"/>
                <w:sz w:val="22"/>
                <w:szCs w:val="22"/>
                <w:lang w:val="en-US"/>
              </w:rPr>
            </w:pPr>
            <w:r w:rsidRPr="00647D59">
              <w:rPr>
                <w:rFonts w:ascii="Times New Roman" w:hAnsi="Times New Roman" w:cs="Times New Roman"/>
                <w:sz w:val="22"/>
                <w:szCs w:val="22"/>
                <w:lang w:val="en-US"/>
              </w:rPr>
              <w:t>tolmachevo.ru/airport/info/;</w:t>
            </w:r>
          </w:p>
          <w:p w14:paraId="495E4B5C" w14:textId="77777777" w:rsidR="003F4CFF" w:rsidRPr="00647D59" w:rsidRDefault="003F4CFF" w:rsidP="003F4CFF">
            <w:pPr>
              <w:rPr>
                <w:rFonts w:ascii="Times New Roman" w:hAnsi="Times New Roman" w:cs="Times New Roman"/>
                <w:sz w:val="22"/>
                <w:szCs w:val="22"/>
                <w:lang w:val="en-US"/>
              </w:rPr>
            </w:pPr>
            <w:r w:rsidRPr="00647D59">
              <w:rPr>
                <w:rFonts w:ascii="Times New Roman" w:hAnsi="Times New Roman" w:cs="Times New Roman"/>
                <w:sz w:val="22"/>
                <w:szCs w:val="22"/>
                <w:lang w:val="en-US"/>
              </w:rPr>
              <w:t>http://www.e-disclosure.ru/portal/company.aspx?id=1094</w:t>
            </w:r>
          </w:p>
        </w:tc>
      </w:tr>
      <w:tr w:rsidR="00647D59" w:rsidRPr="00CB7FCA" w14:paraId="0F092348" w14:textId="77777777" w:rsidTr="00E77388">
        <w:trPr>
          <w:trHeight w:val="1644"/>
        </w:trPr>
        <w:tc>
          <w:tcPr>
            <w:tcW w:w="194" w:type="pct"/>
            <w:shd w:val="clear" w:color="auto" w:fill="auto"/>
          </w:tcPr>
          <w:p w14:paraId="142A63DA" w14:textId="77777777" w:rsidR="003F4CFF" w:rsidRPr="00647D59" w:rsidRDefault="00647D59" w:rsidP="003F4CFF">
            <w:pPr>
              <w:rPr>
                <w:rFonts w:ascii="Times New Roman" w:hAnsi="Times New Roman" w:cs="Times New Roman"/>
                <w:sz w:val="22"/>
                <w:szCs w:val="22"/>
              </w:rPr>
            </w:pPr>
            <w:r w:rsidRPr="00647D59">
              <w:rPr>
                <w:rFonts w:ascii="Times New Roman" w:hAnsi="Times New Roman" w:cs="Times New Roman"/>
                <w:sz w:val="22"/>
                <w:szCs w:val="22"/>
              </w:rPr>
              <w:t>5</w:t>
            </w:r>
          </w:p>
        </w:tc>
        <w:tc>
          <w:tcPr>
            <w:tcW w:w="603" w:type="pct"/>
            <w:shd w:val="clear" w:color="auto" w:fill="auto"/>
          </w:tcPr>
          <w:p w14:paraId="3945682E" w14:textId="77777777" w:rsidR="003F4CFF" w:rsidRPr="00647D59" w:rsidRDefault="003F4CFF" w:rsidP="003F4CFF">
            <w:pPr>
              <w:rPr>
                <w:rFonts w:ascii="Times New Roman" w:hAnsi="Times New Roman" w:cs="Times New Roman"/>
                <w:sz w:val="22"/>
                <w:szCs w:val="22"/>
              </w:rPr>
            </w:pPr>
            <w:r w:rsidRPr="00647D59">
              <w:rPr>
                <w:rFonts w:ascii="Times New Roman" w:hAnsi="Times New Roman" w:cs="Times New Roman"/>
                <w:sz w:val="22"/>
                <w:szCs w:val="22"/>
              </w:rPr>
              <w:t>ОАО «Новосибирский речной порт»</w:t>
            </w:r>
          </w:p>
        </w:tc>
        <w:tc>
          <w:tcPr>
            <w:tcW w:w="1127" w:type="pct"/>
            <w:shd w:val="clear" w:color="auto" w:fill="auto"/>
          </w:tcPr>
          <w:p w14:paraId="36BA7937" w14:textId="77777777" w:rsidR="003F4CFF" w:rsidRPr="00647D59" w:rsidRDefault="00E3307E" w:rsidP="003F4CFF">
            <w:pPr>
              <w:rPr>
                <w:rFonts w:ascii="Times New Roman" w:hAnsi="Times New Roman" w:cs="Times New Roman"/>
                <w:sz w:val="22"/>
                <w:szCs w:val="22"/>
              </w:rPr>
            </w:pPr>
            <w:hyperlink r:id="rId231" w:history="1">
              <w:r w:rsidR="003F4CFF" w:rsidRPr="00647D59">
                <w:rPr>
                  <w:rStyle w:val="a3"/>
                  <w:rFonts w:ascii="Times New Roman" w:hAnsi="Times New Roman" w:cs="Times New Roman"/>
                  <w:color w:val="auto"/>
                  <w:sz w:val="22"/>
                  <w:szCs w:val="22"/>
                </w:rPr>
                <w:t>http://www.disclosure.ru/issuer/5407126140</w:t>
              </w:r>
            </w:hyperlink>
            <w:r w:rsidR="003F4CFF" w:rsidRPr="00647D59">
              <w:rPr>
                <w:rFonts w:ascii="Times New Roman" w:hAnsi="Times New Roman" w:cs="Times New Roman"/>
                <w:sz w:val="22"/>
                <w:szCs w:val="22"/>
              </w:rPr>
              <w:t xml:space="preserve"> /</w:t>
            </w:r>
          </w:p>
        </w:tc>
        <w:tc>
          <w:tcPr>
            <w:tcW w:w="1078" w:type="pct"/>
            <w:shd w:val="clear" w:color="auto" w:fill="auto"/>
          </w:tcPr>
          <w:p w14:paraId="2AC8F7EB" w14:textId="77777777" w:rsidR="003F4CFF" w:rsidRPr="00647D59" w:rsidRDefault="003F4CFF" w:rsidP="003F4CFF">
            <w:pPr>
              <w:rPr>
                <w:rFonts w:ascii="Times New Roman" w:hAnsi="Times New Roman" w:cs="Times New Roman"/>
                <w:sz w:val="22"/>
                <w:szCs w:val="22"/>
              </w:rPr>
            </w:pPr>
            <w:r w:rsidRPr="00647D59">
              <w:rPr>
                <w:rFonts w:ascii="Times New Roman" w:hAnsi="Times New Roman" w:cs="Times New Roman"/>
                <w:sz w:val="22"/>
                <w:szCs w:val="22"/>
              </w:rPr>
              <w:t>http://www.disclosure.ru/issuer/5407126140/</w:t>
            </w:r>
          </w:p>
        </w:tc>
        <w:tc>
          <w:tcPr>
            <w:tcW w:w="933" w:type="pct"/>
            <w:shd w:val="clear" w:color="auto" w:fill="auto"/>
          </w:tcPr>
          <w:p w14:paraId="7ADBAA0A" w14:textId="77777777" w:rsidR="003F4CFF" w:rsidRPr="00647D59" w:rsidRDefault="003F4CFF" w:rsidP="003F4CFF">
            <w:pPr>
              <w:rPr>
                <w:rFonts w:ascii="Times New Roman" w:hAnsi="Times New Roman" w:cs="Times New Roman"/>
                <w:sz w:val="22"/>
                <w:szCs w:val="22"/>
              </w:rPr>
            </w:pPr>
            <w:r w:rsidRPr="00647D59">
              <w:rPr>
                <w:rFonts w:ascii="Times New Roman" w:hAnsi="Times New Roman" w:cs="Times New Roman"/>
                <w:sz w:val="22"/>
                <w:szCs w:val="22"/>
              </w:rPr>
              <w:t>http://www.disclosure.ru/issuer/5407126140/</w:t>
            </w:r>
          </w:p>
        </w:tc>
        <w:tc>
          <w:tcPr>
            <w:tcW w:w="1066" w:type="pct"/>
            <w:shd w:val="clear" w:color="auto" w:fill="auto"/>
          </w:tcPr>
          <w:p w14:paraId="58174043" w14:textId="77777777" w:rsidR="003F4CFF" w:rsidRPr="00647D59" w:rsidRDefault="003F4CFF" w:rsidP="003F4CFF">
            <w:pPr>
              <w:rPr>
                <w:rFonts w:ascii="Times New Roman" w:hAnsi="Times New Roman" w:cs="Times New Roman"/>
                <w:sz w:val="22"/>
                <w:szCs w:val="22"/>
              </w:rPr>
            </w:pPr>
            <w:r w:rsidRPr="00647D59">
              <w:rPr>
                <w:rFonts w:ascii="Times New Roman" w:hAnsi="Times New Roman" w:cs="Times New Roman"/>
                <w:sz w:val="22"/>
                <w:szCs w:val="22"/>
              </w:rPr>
              <w:t>http://www.disclosure.ru/issuer/5407126140/</w:t>
            </w:r>
          </w:p>
        </w:tc>
      </w:tr>
    </w:tbl>
    <w:p w14:paraId="6C9B4BEF" w14:textId="77777777" w:rsidR="00647D59" w:rsidRDefault="00647D59" w:rsidP="003F4CFF">
      <w:pPr>
        <w:rPr>
          <w:rFonts w:ascii="Times New Roman" w:hAnsi="Times New Roman" w:cs="Times New Roman"/>
          <w:sz w:val="24"/>
          <w:szCs w:val="24"/>
        </w:rPr>
        <w:sectPr w:rsidR="00647D59" w:rsidSect="00647D59">
          <w:pgSz w:w="16838" w:h="11906" w:orient="landscape" w:code="9"/>
          <w:pgMar w:top="1418" w:right="1134" w:bottom="567" w:left="1134" w:header="709" w:footer="709" w:gutter="0"/>
          <w:cols w:space="708"/>
          <w:docGrid w:linePitch="360"/>
        </w:sectPr>
      </w:pPr>
    </w:p>
    <w:p w14:paraId="1CBCF44E" w14:textId="77777777" w:rsidR="003F4CFF" w:rsidRPr="00A83F60" w:rsidRDefault="003F4CFF" w:rsidP="003F4CFF">
      <w:pPr>
        <w:pStyle w:val="aa"/>
        <w:spacing w:after="0"/>
        <w:outlineLvl w:val="0"/>
        <w:rPr>
          <w:rFonts w:ascii="Times New Roman" w:hAnsi="Times New Roman"/>
          <w:b/>
          <w:sz w:val="28"/>
          <w:szCs w:val="28"/>
        </w:rPr>
      </w:pPr>
      <w:bookmarkStart w:id="152" w:name="_Toc31983994"/>
      <w:bookmarkStart w:id="153" w:name="_Toc32240334"/>
      <w:bookmarkStart w:id="154" w:name="_Toc32421919"/>
      <w:bookmarkStart w:id="155" w:name="_Toc34129199"/>
      <w:r w:rsidRPr="003B09FE">
        <w:rPr>
          <w:rFonts w:ascii="Times New Roman" w:hAnsi="Times New Roman"/>
          <w:b/>
          <w:color w:val="C00000"/>
          <w:sz w:val="28"/>
          <w:szCs w:val="28"/>
        </w:rPr>
        <w:lastRenderedPageBreak/>
        <w:t>Раздел 3. </w:t>
      </w:r>
      <w:r w:rsidRPr="00A83F60">
        <w:rPr>
          <w:rFonts w:ascii="Times New Roman" w:hAnsi="Times New Roman"/>
          <w:b/>
          <w:sz w:val="28"/>
          <w:szCs w:val="28"/>
        </w:rPr>
        <w:t>Сведения о достижении целевых значений КЛЮЧЕВЫХ показателей эффективности, установленных в плане мероприятий «дорожной карте»</w:t>
      </w:r>
      <w:bookmarkEnd w:id="152"/>
      <w:bookmarkEnd w:id="153"/>
      <w:bookmarkEnd w:id="154"/>
      <w:bookmarkEnd w:id="155"/>
    </w:p>
    <w:p w14:paraId="17F51E25" w14:textId="77777777" w:rsidR="003F4CFF" w:rsidRPr="00D02EBE" w:rsidRDefault="003F4CFF" w:rsidP="003F4CFF">
      <w:pPr>
        <w:rPr>
          <w:rFonts w:ascii="Times New Roman" w:hAnsi="Times New Roman" w:cs="Times New Roman"/>
          <w:sz w:val="28"/>
          <w:szCs w:val="28"/>
        </w:rPr>
      </w:pPr>
    </w:p>
    <w:p w14:paraId="319221B2" w14:textId="77777777" w:rsidR="00DE6337" w:rsidRDefault="00FE0C6F" w:rsidP="00FE0C6F">
      <w:pPr>
        <w:pStyle w:val="ConsPlusTitle"/>
        <w:ind w:firstLine="567"/>
        <w:jc w:val="both"/>
        <w:rPr>
          <w:rFonts w:ascii="Times New Roman" w:hAnsi="Times New Roman" w:cs="Times New Roman"/>
          <w:b w:val="0"/>
          <w:sz w:val="28"/>
        </w:rPr>
      </w:pPr>
      <w:r>
        <w:rPr>
          <w:rFonts w:ascii="Times New Roman" w:hAnsi="Times New Roman" w:cs="Times New Roman"/>
          <w:b w:val="0"/>
          <w:sz w:val="28"/>
        </w:rPr>
        <w:t xml:space="preserve">В </w:t>
      </w:r>
      <w:r>
        <w:rPr>
          <w:rFonts w:ascii="Times New Roman" w:hAnsi="Times New Roman" w:cs="Times New Roman"/>
          <w:b w:val="0"/>
          <w:sz w:val="28"/>
          <w:szCs w:val="28"/>
        </w:rPr>
        <w:t>плане мероприятий («дорожной карте</w:t>
      </w:r>
      <w:r w:rsidRPr="00FE0C6F">
        <w:rPr>
          <w:rFonts w:ascii="Times New Roman" w:hAnsi="Times New Roman" w:cs="Times New Roman"/>
          <w:b w:val="0"/>
          <w:sz w:val="28"/>
          <w:szCs w:val="28"/>
        </w:rPr>
        <w:t>») по содействию развитию конкуренции в Новосибирской области</w:t>
      </w:r>
      <w:r w:rsidR="006E5E0E">
        <w:rPr>
          <w:rFonts w:ascii="Times New Roman" w:hAnsi="Times New Roman" w:cs="Times New Roman"/>
          <w:b w:val="0"/>
          <w:sz w:val="28"/>
          <w:szCs w:val="28"/>
        </w:rPr>
        <w:t xml:space="preserve"> (далее – дорожная карта) </w:t>
      </w:r>
      <w:r>
        <w:rPr>
          <w:rFonts w:ascii="Times New Roman" w:hAnsi="Times New Roman" w:cs="Times New Roman"/>
          <w:b w:val="0"/>
          <w:sz w:val="28"/>
        </w:rPr>
        <w:t>установлено</w:t>
      </w:r>
      <w:r w:rsidR="00BE512F" w:rsidRPr="00FE0C6F">
        <w:rPr>
          <w:rFonts w:ascii="Times New Roman" w:hAnsi="Times New Roman" w:cs="Times New Roman"/>
          <w:b w:val="0"/>
          <w:sz w:val="28"/>
        </w:rPr>
        <w:t xml:space="preserve"> </w:t>
      </w:r>
      <w:r>
        <w:rPr>
          <w:rFonts w:ascii="Times New Roman" w:hAnsi="Times New Roman" w:cs="Times New Roman"/>
          <w:b w:val="0"/>
          <w:sz w:val="28"/>
        </w:rPr>
        <w:t>38</w:t>
      </w:r>
      <w:r w:rsidR="00BE512F" w:rsidRPr="00FE0C6F">
        <w:rPr>
          <w:rFonts w:ascii="Times New Roman" w:hAnsi="Times New Roman" w:cs="Times New Roman"/>
          <w:b w:val="0"/>
          <w:sz w:val="28"/>
        </w:rPr>
        <w:t xml:space="preserve"> ключевых показателей </w:t>
      </w:r>
      <w:r>
        <w:rPr>
          <w:rFonts w:ascii="Times New Roman" w:hAnsi="Times New Roman" w:cs="Times New Roman"/>
          <w:b w:val="0"/>
          <w:sz w:val="28"/>
        </w:rPr>
        <w:t xml:space="preserve">эффективности </w:t>
      </w:r>
      <w:r w:rsidR="00DE6337">
        <w:rPr>
          <w:rFonts w:ascii="Times New Roman" w:hAnsi="Times New Roman" w:cs="Times New Roman"/>
          <w:b w:val="0"/>
          <w:sz w:val="28"/>
        </w:rPr>
        <w:t>на</w:t>
      </w:r>
      <w:r w:rsidR="00BE512F" w:rsidRPr="00FE0C6F">
        <w:rPr>
          <w:rFonts w:ascii="Times New Roman" w:hAnsi="Times New Roman" w:cs="Times New Roman"/>
          <w:b w:val="0"/>
          <w:sz w:val="28"/>
        </w:rPr>
        <w:t xml:space="preserve"> </w:t>
      </w:r>
      <w:r w:rsidR="00DE6337">
        <w:rPr>
          <w:rFonts w:ascii="Times New Roman" w:hAnsi="Times New Roman" w:cs="Times New Roman"/>
          <w:b w:val="0"/>
          <w:sz w:val="28"/>
        </w:rPr>
        <w:t>33</w:t>
      </w:r>
      <w:r w:rsidR="00BE512F" w:rsidRPr="00FE0C6F">
        <w:rPr>
          <w:rFonts w:ascii="Times New Roman" w:hAnsi="Times New Roman" w:cs="Times New Roman"/>
          <w:b w:val="0"/>
          <w:sz w:val="28"/>
        </w:rPr>
        <w:t xml:space="preserve"> товарных рынк</w:t>
      </w:r>
      <w:r w:rsidR="00DE6337">
        <w:rPr>
          <w:rFonts w:ascii="Times New Roman" w:hAnsi="Times New Roman" w:cs="Times New Roman"/>
          <w:b w:val="0"/>
          <w:sz w:val="28"/>
        </w:rPr>
        <w:t>ах</w:t>
      </w:r>
      <w:r w:rsidR="00BE512F" w:rsidRPr="00FE0C6F">
        <w:rPr>
          <w:rFonts w:ascii="Times New Roman" w:hAnsi="Times New Roman" w:cs="Times New Roman"/>
          <w:b w:val="0"/>
          <w:sz w:val="28"/>
        </w:rPr>
        <w:t xml:space="preserve"> региона. </w:t>
      </w:r>
    </w:p>
    <w:p w14:paraId="4E23829A" w14:textId="77777777" w:rsidR="00A346BF" w:rsidRDefault="00BE512F" w:rsidP="004673CF">
      <w:pPr>
        <w:pStyle w:val="ConsPlusTitle"/>
        <w:ind w:firstLine="567"/>
        <w:jc w:val="both"/>
        <w:rPr>
          <w:rFonts w:ascii="Times New Roman" w:hAnsi="Times New Roman" w:cs="Times New Roman"/>
          <w:b w:val="0"/>
          <w:sz w:val="28"/>
        </w:rPr>
      </w:pPr>
      <w:r w:rsidRPr="00FE0C6F">
        <w:rPr>
          <w:rFonts w:ascii="Times New Roman" w:hAnsi="Times New Roman" w:cs="Times New Roman"/>
          <w:b w:val="0"/>
          <w:sz w:val="28"/>
        </w:rPr>
        <w:t xml:space="preserve">Все плановые значения ключевых показателей, установленные </w:t>
      </w:r>
      <w:r w:rsidR="00DE6337">
        <w:rPr>
          <w:rFonts w:ascii="Times New Roman" w:hAnsi="Times New Roman" w:cs="Times New Roman"/>
          <w:b w:val="0"/>
          <w:sz w:val="28"/>
          <w:szCs w:val="28"/>
        </w:rPr>
        <w:t>дорожной картой</w:t>
      </w:r>
      <w:r w:rsidR="00DE6337" w:rsidRPr="00FE0C6F">
        <w:rPr>
          <w:rFonts w:ascii="Times New Roman" w:hAnsi="Times New Roman" w:cs="Times New Roman"/>
          <w:b w:val="0"/>
          <w:sz w:val="28"/>
          <w:szCs w:val="28"/>
        </w:rPr>
        <w:t xml:space="preserve"> </w:t>
      </w:r>
      <w:r w:rsidRPr="00FE0C6F">
        <w:rPr>
          <w:rFonts w:ascii="Times New Roman" w:hAnsi="Times New Roman" w:cs="Times New Roman"/>
          <w:b w:val="0"/>
          <w:sz w:val="28"/>
        </w:rPr>
        <w:t>на 2019</w:t>
      </w:r>
      <w:r w:rsidR="004673CF">
        <w:rPr>
          <w:rFonts w:ascii="Times New Roman" w:hAnsi="Times New Roman" w:cs="Times New Roman"/>
          <w:b w:val="0"/>
          <w:sz w:val="28"/>
        </w:rPr>
        <w:t xml:space="preserve"> год, достигнуты, </w:t>
      </w:r>
      <w:r w:rsidR="006E5E0E">
        <w:rPr>
          <w:rFonts w:ascii="Times New Roman" w:hAnsi="Times New Roman" w:cs="Times New Roman"/>
          <w:b w:val="0"/>
          <w:sz w:val="28"/>
        </w:rPr>
        <w:t xml:space="preserve">из них </w:t>
      </w:r>
      <w:r w:rsidR="00DE6337">
        <w:rPr>
          <w:rFonts w:ascii="Times New Roman" w:hAnsi="Times New Roman" w:cs="Times New Roman"/>
          <w:b w:val="0"/>
          <w:sz w:val="28"/>
        </w:rPr>
        <w:t>9</w:t>
      </w:r>
      <w:r w:rsidR="006E5E0E">
        <w:rPr>
          <w:rFonts w:ascii="Times New Roman" w:hAnsi="Times New Roman" w:cs="Times New Roman"/>
          <w:b w:val="0"/>
          <w:sz w:val="28"/>
        </w:rPr>
        <w:t> </w:t>
      </w:r>
      <w:r w:rsidRPr="00FE0C6F">
        <w:rPr>
          <w:rFonts w:ascii="Times New Roman" w:hAnsi="Times New Roman" w:cs="Times New Roman"/>
          <w:b w:val="0"/>
          <w:sz w:val="28"/>
        </w:rPr>
        <w:t>ключевых показателей (23,7%) превысили плановое значение 2019 года,</w:t>
      </w:r>
      <w:r w:rsidR="006E5E0E">
        <w:rPr>
          <w:rFonts w:ascii="Times New Roman" w:hAnsi="Times New Roman" w:cs="Times New Roman"/>
          <w:b w:val="0"/>
          <w:sz w:val="28"/>
        </w:rPr>
        <w:t xml:space="preserve"> 16</w:t>
      </w:r>
      <w:r w:rsidRPr="00FE0C6F">
        <w:rPr>
          <w:rFonts w:ascii="Times New Roman" w:hAnsi="Times New Roman" w:cs="Times New Roman"/>
          <w:b w:val="0"/>
          <w:sz w:val="28"/>
        </w:rPr>
        <w:t xml:space="preserve"> ключевых показателей (42,1%) </w:t>
      </w:r>
      <w:r w:rsidR="004673CF">
        <w:rPr>
          <w:rFonts w:ascii="Times New Roman" w:hAnsi="Times New Roman" w:cs="Times New Roman"/>
          <w:b w:val="0"/>
          <w:sz w:val="28"/>
        </w:rPr>
        <w:t>превысили значения</w:t>
      </w:r>
      <w:r w:rsidRPr="00FE0C6F">
        <w:rPr>
          <w:rFonts w:ascii="Times New Roman" w:hAnsi="Times New Roman" w:cs="Times New Roman"/>
          <w:b w:val="0"/>
          <w:sz w:val="28"/>
        </w:rPr>
        <w:t xml:space="preserve"> 2018 года.</w:t>
      </w:r>
    </w:p>
    <w:p w14:paraId="43563F16" w14:textId="77777777" w:rsidR="004673CF" w:rsidRDefault="00A346BF" w:rsidP="004673CF">
      <w:pPr>
        <w:pStyle w:val="ConsPlusTitle"/>
        <w:ind w:firstLine="567"/>
        <w:jc w:val="both"/>
        <w:rPr>
          <w:rFonts w:ascii="Times New Roman" w:hAnsi="Times New Roman" w:cs="Times New Roman"/>
          <w:b w:val="0"/>
          <w:sz w:val="28"/>
        </w:rPr>
      </w:pPr>
      <w:r>
        <w:rPr>
          <w:rFonts w:ascii="Times New Roman" w:hAnsi="Times New Roman" w:cs="Times New Roman"/>
          <w:b w:val="0"/>
          <w:sz w:val="28"/>
        </w:rPr>
        <w:t>Дорожной картой также установлено 14 ключевых пока</w:t>
      </w:r>
      <w:r w:rsidR="004673CF">
        <w:rPr>
          <w:rFonts w:ascii="Times New Roman" w:hAnsi="Times New Roman" w:cs="Times New Roman"/>
          <w:b w:val="0"/>
          <w:sz w:val="28"/>
        </w:rPr>
        <w:t xml:space="preserve">зателей по системным мероприятиям. </w:t>
      </w:r>
      <w:r w:rsidR="00BE512F" w:rsidRPr="006E5E0E">
        <w:rPr>
          <w:rFonts w:ascii="Times New Roman" w:hAnsi="Times New Roman" w:cs="Times New Roman"/>
          <w:b w:val="0"/>
          <w:sz w:val="28"/>
        </w:rPr>
        <w:t xml:space="preserve">Фактическое исполнение плановых значений целевых показателей системных мероприятий составило 71,4%.  </w:t>
      </w:r>
    </w:p>
    <w:p w14:paraId="5EBF1378" w14:textId="77777777" w:rsidR="001C2474" w:rsidRDefault="004673CF" w:rsidP="004673CF">
      <w:pPr>
        <w:pStyle w:val="ConsPlusTitle"/>
        <w:ind w:firstLine="567"/>
        <w:jc w:val="both"/>
        <w:rPr>
          <w:rFonts w:ascii="Times New Roman" w:hAnsi="Times New Roman" w:cs="Times New Roman"/>
          <w:b w:val="0"/>
          <w:sz w:val="28"/>
        </w:rPr>
      </w:pPr>
      <w:r>
        <w:rPr>
          <w:rFonts w:ascii="Times New Roman" w:hAnsi="Times New Roman" w:cs="Times New Roman"/>
          <w:b w:val="0"/>
          <w:sz w:val="28"/>
        </w:rPr>
        <w:t>Не достигнуты плановые значения</w:t>
      </w:r>
      <w:r w:rsidR="00BE512F" w:rsidRPr="006E5E0E">
        <w:rPr>
          <w:rFonts w:ascii="Times New Roman" w:hAnsi="Times New Roman" w:cs="Times New Roman"/>
          <w:b w:val="0"/>
          <w:sz w:val="28"/>
        </w:rPr>
        <w:t xml:space="preserve"> </w:t>
      </w:r>
      <w:r>
        <w:rPr>
          <w:rFonts w:ascii="Times New Roman" w:hAnsi="Times New Roman" w:cs="Times New Roman"/>
          <w:b w:val="0"/>
          <w:sz w:val="28"/>
        </w:rPr>
        <w:t>по 4</w:t>
      </w:r>
      <w:r w:rsidR="00BE512F" w:rsidRPr="006E5E0E">
        <w:rPr>
          <w:rFonts w:ascii="Times New Roman" w:hAnsi="Times New Roman" w:cs="Times New Roman"/>
          <w:b w:val="0"/>
          <w:sz w:val="28"/>
        </w:rPr>
        <w:t xml:space="preserve"> показателя</w:t>
      </w:r>
      <w:r>
        <w:rPr>
          <w:rFonts w:ascii="Times New Roman" w:hAnsi="Times New Roman" w:cs="Times New Roman"/>
          <w:b w:val="0"/>
          <w:sz w:val="28"/>
        </w:rPr>
        <w:t>м</w:t>
      </w:r>
      <w:r w:rsidR="00BE512F" w:rsidRPr="006E5E0E">
        <w:rPr>
          <w:rFonts w:ascii="Times New Roman" w:hAnsi="Times New Roman" w:cs="Times New Roman"/>
          <w:b w:val="0"/>
          <w:sz w:val="28"/>
        </w:rPr>
        <w:t xml:space="preserve"> по направлению «Обеспечение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r w:rsidR="001C2474">
        <w:rPr>
          <w:rFonts w:ascii="Times New Roman" w:hAnsi="Times New Roman" w:cs="Times New Roman"/>
          <w:b w:val="0"/>
          <w:sz w:val="28"/>
        </w:rPr>
        <w:t>»:</w:t>
      </w:r>
    </w:p>
    <w:p w14:paraId="635AD2AF" w14:textId="77777777" w:rsidR="001C2474" w:rsidRPr="001C2474" w:rsidRDefault="001C2474" w:rsidP="00EB4C50">
      <w:pPr>
        <w:autoSpaceDE w:val="0"/>
        <w:autoSpaceDN w:val="0"/>
        <w:adjustRightInd w:val="0"/>
        <w:ind w:firstLine="567"/>
        <w:jc w:val="both"/>
        <w:rPr>
          <w:rFonts w:ascii="Times New Roman" w:hAnsi="Times New Roman" w:cs="Times New Roman"/>
          <w:sz w:val="28"/>
          <w:szCs w:val="28"/>
        </w:rPr>
      </w:pPr>
      <w:r w:rsidRPr="001C2474">
        <w:rPr>
          <w:rFonts w:ascii="Times New Roman" w:hAnsi="Times New Roman" w:cs="Times New Roman"/>
          <w:sz w:val="28"/>
          <w:szCs w:val="28"/>
        </w:rPr>
        <w:t>1.</w:t>
      </w:r>
      <w:r w:rsidR="00C66439">
        <w:rPr>
          <w:rFonts w:ascii="Times New Roman" w:hAnsi="Times New Roman" w:cs="Times New Roman"/>
          <w:sz w:val="28"/>
          <w:szCs w:val="28"/>
        </w:rPr>
        <w:t> </w:t>
      </w:r>
      <w:r w:rsidR="00EB4C50">
        <w:rPr>
          <w:rFonts w:ascii="Times New Roman" w:hAnsi="Times New Roman" w:cs="Times New Roman"/>
          <w:sz w:val="28"/>
          <w:szCs w:val="28"/>
        </w:rPr>
        <w:t>По мероприятию «</w:t>
      </w:r>
      <w:r w:rsidRPr="001C2474">
        <w:rPr>
          <w:rFonts w:ascii="Times New Roman" w:hAnsi="Times New Roman" w:cs="Times New Roman"/>
          <w:sz w:val="28"/>
          <w:szCs w:val="28"/>
        </w:rPr>
        <w:t>Осуществление закупок конкурентными способами определения поставщиков (подрядчиков, исполнителей)</w:t>
      </w:r>
      <w:r>
        <w:rPr>
          <w:rFonts w:ascii="Times New Roman" w:hAnsi="Times New Roman" w:cs="Times New Roman"/>
          <w:sz w:val="28"/>
          <w:szCs w:val="28"/>
        </w:rPr>
        <w:t xml:space="preserve"> </w:t>
      </w:r>
      <w:r w:rsidRPr="001C2474">
        <w:rPr>
          <w:rFonts w:ascii="Times New Roman" w:hAnsi="Times New Roman" w:cs="Times New Roman"/>
          <w:sz w:val="28"/>
          <w:szCs w:val="28"/>
        </w:rPr>
        <w:t>в соответствии с Федеральным законом от 18.07.2011 № 223-ФЗ «О закупках товаров, работ, услуг отдельными видами юридических лиц»</w:t>
      </w:r>
      <w:r w:rsidR="00EB4C50">
        <w:rPr>
          <w:rFonts w:ascii="Times New Roman" w:hAnsi="Times New Roman" w:cs="Times New Roman"/>
          <w:sz w:val="28"/>
          <w:szCs w:val="28"/>
        </w:rPr>
        <w:t xml:space="preserve"> к</w:t>
      </w:r>
      <w:r w:rsidRPr="001C2474">
        <w:rPr>
          <w:rFonts w:ascii="Times New Roman" w:hAnsi="Times New Roman" w:cs="Times New Roman"/>
          <w:sz w:val="28"/>
          <w:szCs w:val="28"/>
        </w:rPr>
        <w:t>лючевой показатель «Среднее число участников закупок по результатам конкурентных способов определения поставщиков (подрядчиков, исполнителей) в соответствии с Федеральным законом от 18.07.2011 № 223-ФЗ «О закупках товаров, работ, услуг отдельными видами юридических лиц» установлен на 2019 год в размере 3 участника. Ключевой показатель за 2019 год не достигнут и составил 2,0 участника.</w:t>
      </w:r>
    </w:p>
    <w:p w14:paraId="2E517996" w14:textId="77777777" w:rsidR="00EB4C50" w:rsidRPr="00EB4C50" w:rsidRDefault="00C66439" w:rsidP="00EB4C50">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2. </w:t>
      </w:r>
      <w:r w:rsidR="00EB4C50">
        <w:rPr>
          <w:rFonts w:ascii="Times New Roman" w:hAnsi="Times New Roman" w:cs="Times New Roman"/>
          <w:sz w:val="28"/>
          <w:szCs w:val="28"/>
        </w:rPr>
        <w:t>По мероприятию «</w:t>
      </w:r>
      <w:r w:rsidR="001C2474" w:rsidRPr="001C2474">
        <w:rPr>
          <w:rFonts w:ascii="Times New Roman" w:hAnsi="Times New Roman" w:cs="Times New Roman"/>
          <w:sz w:val="28"/>
          <w:szCs w:val="28"/>
        </w:rPr>
        <w:t>Осуществление закупок конкурентными способами определения поставщиков (подрядчиков, исполнителей)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00EB4C50">
        <w:rPr>
          <w:rFonts w:ascii="Times New Roman" w:hAnsi="Times New Roman" w:cs="Times New Roman"/>
          <w:sz w:val="28"/>
          <w:szCs w:val="28"/>
        </w:rPr>
        <w:t xml:space="preserve"> к</w:t>
      </w:r>
      <w:r w:rsidR="00EB4C50" w:rsidRPr="00EB4C50">
        <w:rPr>
          <w:rFonts w:ascii="Times New Roman" w:hAnsi="Times New Roman" w:cs="Times New Roman"/>
          <w:sz w:val="28"/>
          <w:szCs w:val="28"/>
        </w:rPr>
        <w:t>лючевой показатель «Среднее число участников закупок по результатам конкурентных способов определения поставщиков (подрядчиков, исполнителей)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установлен на 2019 год в размере 3 участника. Ключевой показатель за 2019 не достигнут и составил 2,9 участника.</w:t>
      </w:r>
    </w:p>
    <w:p w14:paraId="06B24C8F" w14:textId="77777777" w:rsidR="001C2474" w:rsidRPr="00EB4C50" w:rsidRDefault="001C2474" w:rsidP="00EB4C50">
      <w:pPr>
        <w:autoSpaceDE w:val="0"/>
        <w:autoSpaceDN w:val="0"/>
        <w:adjustRightInd w:val="0"/>
        <w:ind w:firstLine="567"/>
        <w:jc w:val="both"/>
        <w:rPr>
          <w:rFonts w:ascii="Times New Roman" w:hAnsi="Times New Roman" w:cs="Times New Roman"/>
          <w:sz w:val="28"/>
          <w:szCs w:val="28"/>
        </w:rPr>
      </w:pPr>
      <w:r w:rsidRPr="00EB4C50">
        <w:rPr>
          <w:rFonts w:ascii="Times New Roman" w:hAnsi="Times New Roman" w:cs="Times New Roman"/>
          <w:sz w:val="28"/>
          <w:szCs w:val="28"/>
        </w:rPr>
        <w:t>3.</w:t>
      </w:r>
      <w:r w:rsidR="00C66439">
        <w:rPr>
          <w:rFonts w:ascii="Times New Roman" w:hAnsi="Times New Roman" w:cs="Times New Roman"/>
          <w:sz w:val="28"/>
          <w:szCs w:val="28"/>
        </w:rPr>
        <w:t> </w:t>
      </w:r>
      <w:r w:rsidR="00EB4C50">
        <w:rPr>
          <w:rFonts w:ascii="Times New Roman" w:hAnsi="Times New Roman" w:cs="Times New Roman"/>
          <w:sz w:val="28"/>
          <w:szCs w:val="28"/>
        </w:rPr>
        <w:t>По мероприятию «</w:t>
      </w:r>
      <w:r w:rsidR="00EB4C50" w:rsidRPr="00EB4C50">
        <w:rPr>
          <w:rFonts w:ascii="Times New Roman" w:hAnsi="Times New Roman" w:cs="Times New Roman"/>
          <w:sz w:val="28"/>
          <w:szCs w:val="28"/>
        </w:rPr>
        <w:t xml:space="preserve">Размещение и осуществление «малых» закупок в электронной форме (в рамках Федерального закона от 18.07.2011 № 223-ФЗ «О закупках товаров, работ, услуг отдельными видами юридических лиц» и Федерального закона от 05.04.2013 № 44-ФЗ «О контрактной системе в сфере </w:t>
      </w:r>
      <w:r w:rsidR="00EB4C50" w:rsidRPr="00EB4C50">
        <w:rPr>
          <w:rFonts w:ascii="Times New Roman" w:hAnsi="Times New Roman" w:cs="Times New Roman"/>
          <w:sz w:val="28"/>
          <w:szCs w:val="28"/>
        </w:rPr>
        <w:lastRenderedPageBreak/>
        <w:t>закупок товаров, работ, услуг для обеспечения государственных и муниципальных нужд»)</w:t>
      </w:r>
      <w:r w:rsidR="00EB4C50">
        <w:rPr>
          <w:rFonts w:ascii="Times New Roman" w:hAnsi="Times New Roman" w:cs="Times New Roman"/>
          <w:sz w:val="28"/>
          <w:szCs w:val="28"/>
        </w:rPr>
        <w:t>»</w:t>
      </w:r>
      <w:r w:rsidR="00D674E2">
        <w:rPr>
          <w:rFonts w:ascii="Times New Roman" w:hAnsi="Times New Roman" w:cs="Times New Roman"/>
          <w:sz w:val="28"/>
          <w:szCs w:val="28"/>
        </w:rPr>
        <w:t>:</w:t>
      </w:r>
    </w:p>
    <w:p w14:paraId="012FADFE" w14:textId="77777777" w:rsidR="00EB4C50" w:rsidRPr="00EB4C50" w:rsidRDefault="00D674E2" w:rsidP="00EB4C50">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к</w:t>
      </w:r>
      <w:r w:rsidR="00EB4C50" w:rsidRPr="00EB4C50">
        <w:rPr>
          <w:rFonts w:ascii="Times New Roman" w:hAnsi="Times New Roman" w:cs="Times New Roman"/>
          <w:sz w:val="28"/>
          <w:szCs w:val="28"/>
        </w:rPr>
        <w:t>лючевой показатель «Доля «малых» закупок, размещенных в электронной форме в рамках Федерального закона от 18.07.2011 №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 установлен на 2019 год в размере 50 %. Ключевой показатель за 2019 год</w:t>
      </w:r>
      <w:r>
        <w:rPr>
          <w:rFonts w:ascii="Times New Roman" w:hAnsi="Times New Roman" w:cs="Times New Roman"/>
          <w:sz w:val="28"/>
          <w:szCs w:val="28"/>
        </w:rPr>
        <w:t xml:space="preserve"> не достигнут и составил 25,9%;</w:t>
      </w:r>
    </w:p>
    <w:p w14:paraId="1D32AAEA" w14:textId="77777777" w:rsidR="001C2474" w:rsidRPr="00EB4C50" w:rsidRDefault="00D674E2" w:rsidP="00EB4C50">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к</w:t>
      </w:r>
      <w:r w:rsidR="00EB4C50" w:rsidRPr="00EB4C50">
        <w:rPr>
          <w:rFonts w:ascii="Times New Roman" w:hAnsi="Times New Roman" w:cs="Times New Roman"/>
          <w:sz w:val="28"/>
          <w:szCs w:val="28"/>
        </w:rPr>
        <w:t>лючевой показатель «Доля «малых» закупок, осуществленных в электронной форме в рамках Федерального закона от 18.07.2011 №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 установлен на 2019 год в размере 35%. Ключевой показатель за 2019 год не достигнут и составил 22,7%.</w:t>
      </w:r>
    </w:p>
    <w:p w14:paraId="3BD38AFB" w14:textId="77777777" w:rsidR="00961841" w:rsidRDefault="003F4CFF" w:rsidP="003F4CFF">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Сведения о</w:t>
      </w:r>
      <w:r w:rsidRPr="0009096E">
        <w:rPr>
          <w:rFonts w:ascii="Times New Roman" w:eastAsia="Times New Roman" w:hAnsi="Times New Roman" w:cs="Times New Roman"/>
          <w:sz w:val="28"/>
          <w:szCs w:val="28"/>
        </w:rPr>
        <w:t xml:space="preserve"> достижения </w:t>
      </w:r>
      <w:r>
        <w:rPr>
          <w:rFonts w:ascii="Times New Roman" w:eastAsia="Times New Roman" w:hAnsi="Times New Roman" w:cs="Times New Roman"/>
          <w:sz w:val="28"/>
          <w:szCs w:val="28"/>
        </w:rPr>
        <w:t>целевых</w:t>
      </w:r>
      <w:r w:rsidRPr="0009096E">
        <w:rPr>
          <w:rFonts w:ascii="Times New Roman" w:eastAsia="Times New Roman" w:hAnsi="Times New Roman" w:cs="Times New Roman"/>
          <w:sz w:val="28"/>
          <w:szCs w:val="28"/>
        </w:rPr>
        <w:t xml:space="preserve"> значений </w:t>
      </w:r>
      <w:r>
        <w:rPr>
          <w:rFonts w:ascii="Times New Roman" w:eastAsia="Times New Roman" w:hAnsi="Times New Roman" w:cs="Times New Roman"/>
          <w:sz w:val="28"/>
          <w:szCs w:val="28"/>
        </w:rPr>
        <w:t>ключевых</w:t>
      </w:r>
      <w:r w:rsidRPr="0009096E">
        <w:rPr>
          <w:rFonts w:ascii="Times New Roman" w:eastAsia="Times New Roman" w:hAnsi="Times New Roman" w:cs="Times New Roman"/>
          <w:sz w:val="28"/>
          <w:szCs w:val="28"/>
        </w:rPr>
        <w:t xml:space="preserve"> показателей, установленных </w:t>
      </w:r>
      <w:r>
        <w:rPr>
          <w:rFonts w:ascii="Times New Roman" w:eastAsia="Times New Roman" w:hAnsi="Times New Roman" w:cs="Times New Roman"/>
          <w:sz w:val="28"/>
          <w:szCs w:val="28"/>
        </w:rPr>
        <w:t>планом меропри</w:t>
      </w:r>
      <w:r w:rsidRPr="00B66EBE">
        <w:rPr>
          <w:rFonts w:ascii="Times New Roman" w:eastAsia="Times New Roman" w:hAnsi="Times New Roman" w:cs="Times New Roman"/>
          <w:sz w:val="28"/>
          <w:szCs w:val="28"/>
        </w:rPr>
        <w:t xml:space="preserve">ятий («дорожной картой») по содействию развитию конкуренции в Новосибирской области, представлены в </w:t>
      </w:r>
      <w:r>
        <w:rPr>
          <w:rFonts w:ascii="Times New Roman" w:eastAsia="Times New Roman" w:hAnsi="Times New Roman" w:cs="Times New Roman"/>
          <w:sz w:val="28"/>
          <w:szCs w:val="28"/>
        </w:rPr>
        <w:t>таблице </w:t>
      </w:r>
      <w:r w:rsidRPr="00B66EBE">
        <w:rPr>
          <w:rFonts w:ascii="Times New Roman" w:eastAsia="Times New Roman" w:hAnsi="Times New Roman" w:cs="Times New Roman"/>
          <w:sz w:val="28"/>
          <w:szCs w:val="28"/>
        </w:rPr>
        <w:t>3</w:t>
      </w:r>
      <w:r w:rsidR="0044228C">
        <w:rPr>
          <w:rFonts w:ascii="Times New Roman" w:eastAsia="Times New Roman" w:hAnsi="Times New Roman" w:cs="Times New Roman"/>
          <w:sz w:val="28"/>
          <w:szCs w:val="28"/>
        </w:rPr>
        <w:t>2</w:t>
      </w:r>
      <w:r w:rsidRPr="00B66EBE">
        <w:rPr>
          <w:rFonts w:ascii="Times New Roman" w:eastAsia="Times New Roman" w:hAnsi="Times New Roman" w:cs="Times New Roman"/>
          <w:sz w:val="28"/>
          <w:szCs w:val="28"/>
        </w:rPr>
        <w:t>.</w:t>
      </w:r>
    </w:p>
    <w:p w14:paraId="3D879876" w14:textId="77777777" w:rsidR="00F41852" w:rsidRDefault="00F41852" w:rsidP="003F4CFF">
      <w:pPr>
        <w:ind w:firstLine="567"/>
        <w:jc w:val="both"/>
        <w:rPr>
          <w:rFonts w:ascii="Times New Roman" w:eastAsia="Times New Roman" w:hAnsi="Times New Roman" w:cs="Times New Roman"/>
          <w:sz w:val="28"/>
          <w:szCs w:val="28"/>
        </w:rPr>
      </w:pPr>
    </w:p>
    <w:p w14:paraId="15F0BDC9" w14:textId="77777777" w:rsidR="00D674E2" w:rsidRDefault="00D674E2" w:rsidP="003F4CFF">
      <w:pPr>
        <w:ind w:firstLine="567"/>
        <w:jc w:val="both"/>
        <w:rPr>
          <w:rFonts w:ascii="Times New Roman" w:eastAsia="Times New Roman" w:hAnsi="Times New Roman" w:cs="Times New Roman"/>
          <w:sz w:val="28"/>
          <w:szCs w:val="28"/>
        </w:rPr>
        <w:sectPr w:rsidR="00D674E2" w:rsidSect="00D674E2">
          <w:pgSz w:w="11906" w:h="16838" w:code="9"/>
          <w:pgMar w:top="1134" w:right="567" w:bottom="1134" w:left="1418" w:header="709" w:footer="709" w:gutter="0"/>
          <w:cols w:space="708"/>
          <w:docGrid w:linePitch="360"/>
        </w:sectPr>
      </w:pPr>
    </w:p>
    <w:p w14:paraId="4FAD9678" w14:textId="77777777" w:rsidR="00F41852" w:rsidRDefault="00F41852" w:rsidP="003F4CFF">
      <w:pPr>
        <w:ind w:firstLine="567"/>
        <w:jc w:val="both"/>
        <w:rPr>
          <w:rFonts w:ascii="Times New Roman" w:eastAsia="Times New Roman" w:hAnsi="Times New Roman" w:cs="Times New Roman"/>
          <w:sz w:val="28"/>
          <w:szCs w:val="28"/>
        </w:rPr>
      </w:pPr>
    </w:p>
    <w:p w14:paraId="51725A40" w14:textId="77777777" w:rsidR="00F41852" w:rsidRDefault="00F41852" w:rsidP="00F4185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w:t>
      </w:r>
      <w:r w:rsidRPr="00B66EBE">
        <w:rPr>
          <w:rFonts w:ascii="Times New Roman" w:eastAsia="Times New Roman" w:hAnsi="Times New Roman" w:cs="Times New Roman"/>
          <w:sz w:val="28"/>
          <w:szCs w:val="28"/>
        </w:rPr>
        <w:t>3</w:t>
      </w:r>
      <w:r w:rsidR="0044228C">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Сведения о</w:t>
      </w:r>
      <w:r w:rsidRPr="0009096E">
        <w:rPr>
          <w:rFonts w:ascii="Times New Roman" w:eastAsia="Times New Roman" w:hAnsi="Times New Roman" w:cs="Times New Roman"/>
          <w:sz w:val="28"/>
          <w:szCs w:val="28"/>
        </w:rPr>
        <w:t xml:space="preserve"> достижения </w:t>
      </w:r>
      <w:r>
        <w:rPr>
          <w:rFonts w:ascii="Times New Roman" w:eastAsia="Times New Roman" w:hAnsi="Times New Roman" w:cs="Times New Roman"/>
          <w:sz w:val="28"/>
          <w:szCs w:val="28"/>
        </w:rPr>
        <w:t>целевых</w:t>
      </w:r>
      <w:r w:rsidRPr="0009096E">
        <w:rPr>
          <w:rFonts w:ascii="Times New Roman" w:eastAsia="Times New Roman" w:hAnsi="Times New Roman" w:cs="Times New Roman"/>
          <w:sz w:val="28"/>
          <w:szCs w:val="28"/>
        </w:rPr>
        <w:t xml:space="preserve"> значений </w:t>
      </w:r>
      <w:r>
        <w:rPr>
          <w:rFonts w:ascii="Times New Roman" w:eastAsia="Times New Roman" w:hAnsi="Times New Roman" w:cs="Times New Roman"/>
          <w:sz w:val="28"/>
          <w:szCs w:val="28"/>
        </w:rPr>
        <w:t>ключевых</w:t>
      </w:r>
      <w:r w:rsidRPr="0009096E">
        <w:rPr>
          <w:rFonts w:ascii="Times New Roman" w:eastAsia="Times New Roman" w:hAnsi="Times New Roman" w:cs="Times New Roman"/>
          <w:sz w:val="28"/>
          <w:szCs w:val="28"/>
        </w:rPr>
        <w:t xml:space="preserve"> показателей, установленных </w:t>
      </w:r>
      <w:r>
        <w:rPr>
          <w:rFonts w:ascii="Times New Roman" w:eastAsia="Times New Roman" w:hAnsi="Times New Roman" w:cs="Times New Roman"/>
          <w:sz w:val="28"/>
          <w:szCs w:val="28"/>
        </w:rPr>
        <w:t>планом меропри</w:t>
      </w:r>
      <w:r w:rsidRPr="00B66EBE">
        <w:rPr>
          <w:rFonts w:ascii="Times New Roman" w:eastAsia="Times New Roman" w:hAnsi="Times New Roman" w:cs="Times New Roman"/>
          <w:sz w:val="28"/>
          <w:szCs w:val="28"/>
        </w:rPr>
        <w:t>ятий («дорожной картой») по содействию развитию конкуренции в Новосибирской области</w:t>
      </w:r>
    </w:p>
    <w:p w14:paraId="2AFD2F3B" w14:textId="77777777" w:rsidR="00F41852" w:rsidRDefault="00F41852" w:rsidP="00F41852">
      <w:pPr>
        <w:jc w:val="both"/>
        <w:rPr>
          <w:rFonts w:ascii="Times New Roman" w:eastAsia="Times New Roman" w:hAnsi="Times New Roman" w:cs="Times New Roman"/>
          <w:sz w:val="28"/>
          <w:szCs w:val="28"/>
        </w:rPr>
      </w:pPr>
    </w:p>
    <w:tbl>
      <w:tblPr>
        <w:tblStyle w:val="af8"/>
        <w:tblW w:w="14744" w:type="dxa"/>
        <w:tblInd w:w="-147" w:type="dxa"/>
        <w:tblLayout w:type="fixed"/>
        <w:tblLook w:val="04A0" w:firstRow="1" w:lastRow="0" w:firstColumn="1" w:lastColumn="0" w:noHBand="0" w:noVBand="1"/>
      </w:tblPr>
      <w:tblGrid>
        <w:gridCol w:w="536"/>
        <w:gridCol w:w="1460"/>
        <w:gridCol w:w="2115"/>
        <w:gridCol w:w="993"/>
        <w:gridCol w:w="1275"/>
        <w:gridCol w:w="993"/>
        <w:gridCol w:w="2551"/>
        <w:gridCol w:w="1701"/>
        <w:gridCol w:w="1701"/>
        <w:gridCol w:w="1419"/>
      </w:tblGrid>
      <w:tr w:rsidR="00F41852" w:rsidRPr="00DF030D" w14:paraId="184D9A37" w14:textId="77777777" w:rsidTr="00E77388">
        <w:trPr>
          <w:trHeight w:val="20"/>
          <w:tblHeader/>
        </w:trPr>
        <w:tc>
          <w:tcPr>
            <w:tcW w:w="536" w:type="dxa"/>
            <w:shd w:val="clear" w:color="auto" w:fill="auto"/>
            <w:hideMark/>
          </w:tcPr>
          <w:p w14:paraId="4E09A613" w14:textId="77777777" w:rsidR="00BE512F" w:rsidRPr="00A52C2F" w:rsidRDefault="00F41852" w:rsidP="00D674E2">
            <w:pPr>
              <w:rPr>
                <w:rFonts w:ascii="Times New Roman" w:hAnsi="Times New Roman" w:cs="Times New Roman"/>
                <w:bCs/>
                <w:sz w:val="20"/>
                <w:szCs w:val="20"/>
              </w:rPr>
            </w:pPr>
            <w:r w:rsidRPr="00A52C2F">
              <w:rPr>
                <w:rFonts w:ascii="Times New Roman" w:hAnsi="Times New Roman" w:cs="Times New Roman"/>
                <w:bCs/>
                <w:sz w:val="20"/>
                <w:szCs w:val="20"/>
              </w:rPr>
              <w:t>№</w:t>
            </w:r>
          </w:p>
          <w:p w14:paraId="63351738" w14:textId="77777777" w:rsidR="00F41852" w:rsidRPr="009B4FC0" w:rsidRDefault="00F41852" w:rsidP="00D674E2">
            <w:pPr>
              <w:rPr>
                <w:rFonts w:ascii="Times New Roman" w:hAnsi="Times New Roman" w:cs="Times New Roman"/>
                <w:bCs/>
                <w:sz w:val="20"/>
                <w:szCs w:val="20"/>
              </w:rPr>
            </w:pPr>
            <w:r w:rsidRPr="009B4FC0">
              <w:rPr>
                <w:rFonts w:ascii="Times New Roman" w:hAnsi="Times New Roman" w:cs="Times New Roman"/>
                <w:bCs/>
                <w:sz w:val="20"/>
                <w:szCs w:val="20"/>
              </w:rPr>
              <w:t xml:space="preserve"> п/п</w:t>
            </w:r>
          </w:p>
        </w:tc>
        <w:tc>
          <w:tcPr>
            <w:tcW w:w="1460" w:type="dxa"/>
            <w:shd w:val="clear" w:color="auto" w:fill="auto"/>
            <w:hideMark/>
          </w:tcPr>
          <w:p w14:paraId="06C8A3E7" w14:textId="77777777" w:rsidR="00F41852" w:rsidRPr="00A52C2F" w:rsidRDefault="00F41852" w:rsidP="00D674E2">
            <w:pPr>
              <w:rPr>
                <w:rFonts w:ascii="Times New Roman" w:hAnsi="Times New Roman" w:cs="Times New Roman"/>
                <w:bCs/>
                <w:sz w:val="20"/>
                <w:szCs w:val="20"/>
              </w:rPr>
            </w:pPr>
            <w:r w:rsidRPr="00A52C2F">
              <w:rPr>
                <w:rFonts w:ascii="Times New Roman" w:hAnsi="Times New Roman" w:cs="Times New Roman"/>
                <w:bCs/>
                <w:sz w:val="20"/>
                <w:szCs w:val="20"/>
              </w:rPr>
              <w:t>Наименование рынка (направления системного мероприятия)</w:t>
            </w:r>
          </w:p>
        </w:tc>
        <w:tc>
          <w:tcPr>
            <w:tcW w:w="2115" w:type="dxa"/>
            <w:shd w:val="clear" w:color="auto" w:fill="auto"/>
            <w:hideMark/>
          </w:tcPr>
          <w:p w14:paraId="5A447F40" w14:textId="77777777" w:rsidR="00F41852" w:rsidRPr="00A52C2F" w:rsidRDefault="00F41852" w:rsidP="00D674E2">
            <w:pPr>
              <w:rPr>
                <w:rFonts w:ascii="Times New Roman" w:hAnsi="Times New Roman" w:cs="Times New Roman"/>
                <w:bCs/>
                <w:sz w:val="20"/>
                <w:szCs w:val="20"/>
              </w:rPr>
            </w:pPr>
            <w:r w:rsidRPr="00A52C2F">
              <w:rPr>
                <w:rFonts w:ascii="Times New Roman" w:hAnsi="Times New Roman" w:cs="Times New Roman"/>
                <w:bCs/>
                <w:sz w:val="20"/>
                <w:szCs w:val="20"/>
              </w:rPr>
              <w:t xml:space="preserve">Наименование показателя, </w:t>
            </w:r>
          </w:p>
          <w:p w14:paraId="10D2AC25" w14:textId="77777777" w:rsidR="00F41852" w:rsidRPr="00A52C2F" w:rsidRDefault="00F41852" w:rsidP="00D674E2">
            <w:pPr>
              <w:rPr>
                <w:rFonts w:ascii="Times New Roman" w:hAnsi="Times New Roman" w:cs="Times New Roman"/>
                <w:bCs/>
                <w:sz w:val="20"/>
                <w:szCs w:val="20"/>
              </w:rPr>
            </w:pPr>
            <w:r w:rsidRPr="00A52C2F">
              <w:rPr>
                <w:rFonts w:ascii="Times New Roman" w:hAnsi="Times New Roman" w:cs="Times New Roman"/>
                <w:bCs/>
                <w:sz w:val="20"/>
                <w:szCs w:val="20"/>
              </w:rPr>
              <w:t>ед. измерения</w:t>
            </w:r>
          </w:p>
        </w:tc>
        <w:tc>
          <w:tcPr>
            <w:tcW w:w="993" w:type="dxa"/>
            <w:shd w:val="clear" w:color="auto" w:fill="auto"/>
            <w:hideMark/>
          </w:tcPr>
          <w:p w14:paraId="7D22BE83" w14:textId="77777777" w:rsidR="00F41852" w:rsidRPr="00A52C2F" w:rsidRDefault="00F41852" w:rsidP="00D674E2">
            <w:pPr>
              <w:rPr>
                <w:rFonts w:ascii="Times New Roman" w:hAnsi="Times New Roman" w:cs="Times New Roman"/>
                <w:bCs/>
                <w:sz w:val="20"/>
                <w:szCs w:val="20"/>
              </w:rPr>
            </w:pPr>
            <w:r w:rsidRPr="00A52C2F">
              <w:rPr>
                <w:rFonts w:ascii="Times New Roman" w:hAnsi="Times New Roman" w:cs="Times New Roman"/>
                <w:bCs/>
                <w:sz w:val="20"/>
                <w:szCs w:val="20"/>
              </w:rPr>
              <w:t>Исходное значение показателя в 2019 году (фактическое за 2018 год)</w:t>
            </w:r>
          </w:p>
        </w:tc>
        <w:tc>
          <w:tcPr>
            <w:tcW w:w="1275" w:type="dxa"/>
            <w:shd w:val="clear" w:color="auto" w:fill="auto"/>
            <w:hideMark/>
          </w:tcPr>
          <w:p w14:paraId="38F394D6" w14:textId="77777777" w:rsidR="00F41852" w:rsidRPr="00A52C2F" w:rsidRDefault="00F41852" w:rsidP="00D674E2">
            <w:pPr>
              <w:rPr>
                <w:rFonts w:ascii="Times New Roman" w:hAnsi="Times New Roman" w:cs="Times New Roman"/>
                <w:bCs/>
                <w:sz w:val="20"/>
                <w:szCs w:val="20"/>
              </w:rPr>
            </w:pPr>
            <w:r w:rsidRPr="00A52C2F">
              <w:rPr>
                <w:rFonts w:ascii="Times New Roman" w:hAnsi="Times New Roman" w:cs="Times New Roman"/>
                <w:bCs/>
                <w:sz w:val="20"/>
                <w:szCs w:val="20"/>
              </w:rPr>
              <w:t>Целевое значения показателя, установленное в «Дорожной карте» на 2019 год</w:t>
            </w:r>
          </w:p>
        </w:tc>
        <w:tc>
          <w:tcPr>
            <w:tcW w:w="993" w:type="dxa"/>
            <w:shd w:val="clear" w:color="auto" w:fill="auto"/>
            <w:hideMark/>
          </w:tcPr>
          <w:p w14:paraId="73A1A949" w14:textId="24EF1803" w:rsidR="00F41852" w:rsidRPr="00A52C2F" w:rsidRDefault="004673CF" w:rsidP="00D674E2">
            <w:pPr>
              <w:rPr>
                <w:rFonts w:ascii="Times New Roman" w:hAnsi="Times New Roman" w:cs="Times New Roman"/>
                <w:bCs/>
                <w:sz w:val="20"/>
                <w:szCs w:val="20"/>
              </w:rPr>
            </w:pPr>
            <w:r w:rsidRPr="00A52C2F">
              <w:rPr>
                <w:rFonts w:ascii="Times New Roman" w:hAnsi="Times New Roman" w:cs="Times New Roman"/>
                <w:bCs/>
                <w:sz w:val="20"/>
                <w:szCs w:val="20"/>
              </w:rPr>
              <w:t>Ф</w:t>
            </w:r>
            <w:r w:rsidR="001D2D74" w:rsidRPr="00A52C2F">
              <w:rPr>
                <w:rFonts w:ascii="Times New Roman" w:hAnsi="Times New Roman" w:cs="Times New Roman"/>
                <w:bCs/>
                <w:sz w:val="20"/>
                <w:szCs w:val="20"/>
              </w:rPr>
              <w:t>актическое значение</w:t>
            </w:r>
            <w:r w:rsidRPr="00A52C2F">
              <w:rPr>
                <w:rFonts w:ascii="Times New Roman" w:hAnsi="Times New Roman" w:cs="Times New Roman"/>
                <w:bCs/>
                <w:sz w:val="20"/>
                <w:szCs w:val="20"/>
              </w:rPr>
              <w:t xml:space="preserve"> показателя </w:t>
            </w:r>
            <w:r w:rsidR="00953807" w:rsidRPr="00A52C2F">
              <w:rPr>
                <w:rFonts w:ascii="Times New Roman" w:hAnsi="Times New Roman" w:cs="Times New Roman"/>
                <w:bCs/>
                <w:sz w:val="20"/>
                <w:szCs w:val="20"/>
              </w:rPr>
              <w:t xml:space="preserve">  </w:t>
            </w:r>
            <w:r w:rsidR="001D2D74" w:rsidRPr="00A52C2F">
              <w:rPr>
                <w:rFonts w:ascii="Times New Roman" w:hAnsi="Times New Roman" w:cs="Times New Roman"/>
                <w:bCs/>
                <w:sz w:val="20"/>
                <w:szCs w:val="20"/>
              </w:rPr>
              <w:t>в отчетном году</w:t>
            </w:r>
          </w:p>
        </w:tc>
        <w:tc>
          <w:tcPr>
            <w:tcW w:w="2551" w:type="dxa"/>
            <w:shd w:val="clear" w:color="auto" w:fill="auto"/>
            <w:hideMark/>
          </w:tcPr>
          <w:p w14:paraId="1BE843AB" w14:textId="77777777" w:rsidR="00F41852" w:rsidRPr="00A52C2F" w:rsidRDefault="004673CF" w:rsidP="00D674E2">
            <w:pPr>
              <w:rPr>
                <w:rFonts w:ascii="Times New Roman" w:hAnsi="Times New Roman" w:cs="Times New Roman"/>
                <w:bCs/>
                <w:sz w:val="20"/>
                <w:szCs w:val="20"/>
              </w:rPr>
            </w:pPr>
            <w:r w:rsidRPr="00A52C2F">
              <w:rPr>
                <w:rFonts w:ascii="Times New Roman" w:hAnsi="Times New Roman" w:cs="Times New Roman"/>
                <w:bCs/>
                <w:sz w:val="20"/>
                <w:szCs w:val="20"/>
              </w:rPr>
              <w:t>И</w:t>
            </w:r>
            <w:r w:rsidR="001D2D74" w:rsidRPr="00A52C2F">
              <w:rPr>
                <w:rFonts w:ascii="Times New Roman" w:hAnsi="Times New Roman" w:cs="Times New Roman"/>
                <w:bCs/>
                <w:sz w:val="20"/>
                <w:szCs w:val="20"/>
              </w:rPr>
              <w:t>сточник данных для расчета показателя</w:t>
            </w:r>
          </w:p>
        </w:tc>
        <w:tc>
          <w:tcPr>
            <w:tcW w:w="1701" w:type="dxa"/>
            <w:shd w:val="clear" w:color="auto" w:fill="auto"/>
            <w:hideMark/>
          </w:tcPr>
          <w:p w14:paraId="3878AB32" w14:textId="77777777" w:rsidR="00F41852" w:rsidRPr="00A52C2F" w:rsidRDefault="004673CF" w:rsidP="00D674E2">
            <w:pPr>
              <w:rPr>
                <w:rFonts w:ascii="Times New Roman" w:hAnsi="Times New Roman" w:cs="Times New Roman"/>
                <w:bCs/>
                <w:sz w:val="20"/>
                <w:szCs w:val="20"/>
              </w:rPr>
            </w:pPr>
            <w:r w:rsidRPr="00A52C2F">
              <w:rPr>
                <w:rFonts w:ascii="Times New Roman" w:hAnsi="Times New Roman" w:cs="Times New Roman"/>
                <w:bCs/>
                <w:sz w:val="20"/>
                <w:szCs w:val="20"/>
              </w:rPr>
              <w:t>М</w:t>
            </w:r>
            <w:r w:rsidR="001D2D74" w:rsidRPr="00A52C2F">
              <w:rPr>
                <w:rFonts w:ascii="Times New Roman" w:hAnsi="Times New Roman" w:cs="Times New Roman"/>
                <w:bCs/>
                <w:sz w:val="20"/>
                <w:szCs w:val="20"/>
              </w:rPr>
              <w:t>етодика расчета показателя</w:t>
            </w:r>
          </w:p>
        </w:tc>
        <w:tc>
          <w:tcPr>
            <w:tcW w:w="1701" w:type="dxa"/>
            <w:shd w:val="clear" w:color="auto" w:fill="auto"/>
            <w:hideMark/>
          </w:tcPr>
          <w:p w14:paraId="084C8039" w14:textId="77777777" w:rsidR="00F41852" w:rsidRPr="00A52C2F" w:rsidRDefault="00F41852" w:rsidP="00D674E2">
            <w:pPr>
              <w:rPr>
                <w:rFonts w:ascii="Times New Roman" w:hAnsi="Times New Roman" w:cs="Times New Roman"/>
                <w:bCs/>
                <w:sz w:val="20"/>
                <w:szCs w:val="20"/>
              </w:rPr>
            </w:pPr>
            <w:r w:rsidRPr="00A52C2F">
              <w:rPr>
                <w:rFonts w:ascii="Times New Roman" w:hAnsi="Times New Roman" w:cs="Times New Roman"/>
                <w:bCs/>
                <w:sz w:val="20"/>
                <w:szCs w:val="20"/>
              </w:rPr>
              <w:t>Удовлетворенность потребителей качеством товаров, работ и услуг на рынках НСО и состоянием ценовой конкуренции, процентов</w:t>
            </w:r>
            <w:r w:rsidRPr="00A52C2F">
              <w:rPr>
                <w:rFonts w:ascii="Times New Roman" w:hAnsi="Times New Roman" w:cs="Times New Roman"/>
                <w:bCs/>
                <w:sz w:val="20"/>
                <w:szCs w:val="20"/>
              </w:rPr>
              <w:br/>
              <w:t>(качество/цена/доступность)</w:t>
            </w:r>
          </w:p>
        </w:tc>
        <w:tc>
          <w:tcPr>
            <w:tcW w:w="1419" w:type="dxa"/>
            <w:shd w:val="clear" w:color="auto" w:fill="auto"/>
            <w:hideMark/>
          </w:tcPr>
          <w:p w14:paraId="79DFC320" w14:textId="77777777" w:rsidR="00F41852" w:rsidRPr="00A52C2F" w:rsidRDefault="00F41852" w:rsidP="00D674E2">
            <w:pPr>
              <w:rPr>
                <w:rFonts w:ascii="Times New Roman" w:hAnsi="Times New Roman" w:cs="Times New Roman"/>
                <w:bCs/>
                <w:sz w:val="20"/>
                <w:szCs w:val="20"/>
              </w:rPr>
            </w:pPr>
            <w:r w:rsidRPr="00A52C2F">
              <w:rPr>
                <w:rFonts w:ascii="Times New Roman" w:hAnsi="Times New Roman" w:cs="Times New Roman"/>
                <w:bCs/>
                <w:sz w:val="20"/>
                <w:szCs w:val="20"/>
              </w:rPr>
              <w:t>Удовлетворенность предпринимателей действиями органов власти региона, процентов</w:t>
            </w:r>
          </w:p>
        </w:tc>
      </w:tr>
      <w:tr w:rsidR="00F41852" w:rsidRPr="00DF030D" w14:paraId="528A57E6" w14:textId="77777777" w:rsidTr="00D674E2">
        <w:trPr>
          <w:trHeight w:val="20"/>
        </w:trPr>
        <w:tc>
          <w:tcPr>
            <w:tcW w:w="14744" w:type="dxa"/>
            <w:gridSpan w:val="10"/>
            <w:hideMark/>
          </w:tcPr>
          <w:p w14:paraId="7421DF8F" w14:textId="77777777" w:rsidR="00F41852" w:rsidRPr="009B4FC0" w:rsidRDefault="001D2D74" w:rsidP="00D674E2">
            <w:pPr>
              <w:rPr>
                <w:rFonts w:ascii="Times New Roman" w:hAnsi="Times New Roman" w:cs="Times New Roman"/>
                <w:b/>
                <w:sz w:val="20"/>
                <w:szCs w:val="20"/>
              </w:rPr>
            </w:pPr>
            <w:r w:rsidRPr="00A52C2F">
              <w:rPr>
                <w:rFonts w:ascii="Times New Roman" w:hAnsi="Times New Roman" w:cs="Times New Roman"/>
                <w:b/>
                <w:sz w:val="20"/>
                <w:szCs w:val="20"/>
              </w:rPr>
              <w:t>ЗНАЧЕНИЯ КЛЮЧЕВЫХ ПОКАЗАТЕЛЕЙ ПО ТОВАРНЫМ РЫНКАМ</w:t>
            </w:r>
          </w:p>
        </w:tc>
      </w:tr>
      <w:tr w:rsidR="00DF030D" w:rsidRPr="00DF030D" w14:paraId="71992DE6" w14:textId="77777777" w:rsidTr="00D674E2">
        <w:trPr>
          <w:trHeight w:val="20"/>
        </w:trPr>
        <w:tc>
          <w:tcPr>
            <w:tcW w:w="536" w:type="dxa"/>
            <w:vMerge w:val="restart"/>
            <w:hideMark/>
          </w:tcPr>
          <w:p w14:paraId="205B0293"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1.</w:t>
            </w:r>
          </w:p>
        </w:tc>
        <w:tc>
          <w:tcPr>
            <w:tcW w:w="1460" w:type="dxa"/>
            <w:vMerge w:val="restart"/>
            <w:hideMark/>
          </w:tcPr>
          <w:p w14:paraId="5E7E8A15" w14:textId="77777777" w:rsidR="00DF030D" w:rsidRPr="009B4FC0" w:rsidRDefault="00DF030D" w:rsidP="00D674E2">
            <w:pPr>
              <w:rPr>
                <w:rFonts w:ascii="Times New Roman" w:hAnsi="Times New Roman" w:cs="Times New Roman"/>
                <w:sz w:val="20"/>
                <w:szCs w:val="20"/>
              </w:rPr>
            </w:pPr>
            <w:r w:rsidRPr="009B4FC0">
              <w:rPr>
                <w:rFonts w:ascii="Times New Roman" w:hAnsi="Times New Roman" w:cs="Times New Roman"/>
                <w:sz w:val="20"/>
                <w:szCs w:val="20"/>
              </w:rPr>
              <w:t>Рынок услуг дошкольного образования</w:t>
            </w:r>
          </w:p>
          <w:p w14:paraId="378428D0"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w:t>
            </w:r>
          </w:p>
        </w:tc>
        <w:tc>
          <w:tcPr>
            <w:tcW w:w="2115" w:type="dxa"/>
            <w:hideMark/>
          </w:tcPr>
          <w:p w14:paraId="641E7D97" w14:textId="0378FEB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1. Доля обучающихся дошкольного возраста</w:t>
            </w:r>
            <w:r w:rsidRPr="00A52C2F">
              <w:rPr>
                <w:rFonts w:ascii="Times New Roman" w:hAnsi="Times New Roman" w:cs="Times New Roman"/>
                <w:sz w:val="20"/>
                <w:szCs w:val="20"/>
              </w:rPr>
              <w:br/>
              <w:t>в частных образовательных организациях,</w:t>
            </w:r>
            <w:r w:rsidRPr="00A52C2F">
              <w:rPr>
                <w:rFonts w:ascii="Times New Roman" w:hAnsi="Times New Roman" w:cs="Times New Roman"/>
                <w:sz w:val="20"/>
                <w:szCs w:val="20"/>
              </w:rPr>
              <w:br/>
              <w:t xml:space="preserve">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w:t>
            </w:r>
            <w:r w:rsidRPr="00A52C2F">
              <w:rPr>
                <w:rFonts w:ascii="Times New Roman" w:hAnsi="Times New Roman" w:cs="Times New Roman"/>
                <w:sz w:val="20"/>
                <w:szCs w:val="20"/>
              </w:rPr>
              <w:lastRenderedPageBreak/>
              <w:t xml:space="preserve">общеобразовательные программы – образовательные программы дошкольного образования, </w:t>
            </w:r>
            <w:r w:rsidRPr="00A52C2F">
              <w:rPr>
                <w:rFonts w:ascii="Times New Roman" w:hAnsi="Times New Roman" w:cs="Times New Roman"/>
                <w:b/>
                <w:sz w:val="20"/>
                <w:szCs w:val="20"/>
              </w:rPr>
              <w:t>%</w:t>
            </w:r>
          </w:p>
        </w:tc>
        <w:tc>
          <w:tcPr>
            <w:tcW w:w="993" w:type="dxa"/>
            <w:hideMark/>
          </w:tcPr>
          <w:p w14:paraId="00C4F562"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1,8</w:t>
            </w:r>
          </w:p>
        </w:tc>
        <w:tc>
          <w:tcPr>
            <w:tcW w:w="1275" w:type="dxa"/>
            <w:hideMark/>
          </w:tcPr>
          <w:p w14:paraId="1F0656D1"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1,85</w:t>
            </w:r>
          </w:p>
        </w:tc>
        <w:tc>
          <w:tcPr>
            <w:tcW w:w="993" w:type="dxa"/>
            <w:hideMark/>
          </w:tcPr>
          <w:p w14:paraId="513D5BD4"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1,85</w:t>
            </w:r>
          </w:p>
        </w:tc>
        <w:tc>
          <w:tcPr>
            <w:tcW w:w="2551" w:type="dxa"/>
            <w:hideMark/>
          </w:tcPr>
          <w:p w14:paraId="39F8B96F"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Федеральная государственная система доступности дошкольного образования</w:t>
            </w:r>
          </w:p>
        </w:tc>
        <w:tc>
          <w:tcPr>
            <w:tcW w:w="1701" w:type="dxa"/>
            <w:hideMark/>
          </w:tcPr>
          <w:p w14:paraId="15EE9837" w14:textId="0A0DF5E3"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Методика по расчету ключевого показателя развития конкуренции на рынке услуг дошкольного образования в субъектах </w:t>
            </w:r>
            <w:r w:rsidRPr="00A52C2F">
              <w:rPr>
                <w:rFonts w:ascii="Times New Roman" w:hAnsi="Times New Roman" w:cs="Times New Roman"/>
                <w:sz w:val="20"/>
                <w:szCs w:val="20"/>
              </w:rPr>
              <w:br/>
              <w:t>Российской Федерации (приложение № 5 к приказу ФАС России от 29.08.2018 № 1232/18)</w:t>
            </w:r>
          </w:p>
        </w:tc>
        <w:tc>
          <w:tcPr>
            <w:tcW w:w="1701" w:type="dxa"/>
            <w:vMerge w:val="restart"/>
            <w:hideMark/>
          </w:tcPr>
          <w:p w14:paraId="7D5234FE"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62,5/52,7/60,4</w:t>
            </w:r>
          </w:p>
        </w:tc>
        <w:tc>
          <w:tcPr>
            <w:tcW w:w="1419" w:type="dxa"/>
            <w:vMerge w:val="restart"/>
            <w:hideMark/>
          </w:tcPr>
          <w:p w14:paraId="55C7EB42"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47,3</w:t>
            </w:r>
          </w:p>
        </w:tc>
      </w:tr>
      <w:tr w:rsidR="00DF030D" w:rsidRPr="00DF030D" w14:paraId="025175ED" w14:textId="77777777" w:rsidTr="00D674E2">
        <w:trPr>
          <w:trHeight w:val="20"/>
        </w:trPr>
        <w:tc>
          <w:tcPr>
            <w:tcW w:w="536" w:type="dxa"/>
            <w:vMerge/>
            <w:hideMark/>
          </w:tcPr>
          <w:p w14:paraId="1C82B21D" w14:textId="77777777" w:rsidR="00DF030D" w:rsidRPr="00A52C2F" w:rsidRDefault="00DF030D" w:rsidP="00D674E2">
            <w:pPr>
              <w:rPr>
                <w:rFonts w:ascii="Times New Roman" w:hAnsi="Times New Roman" w:cs="Times New Roman"/>
                <w:sz w:val="20"/>
                <w:szCs w:val="20"/>
              </w:rPr>
            </w:pPr>
          </w:p>
        </w:tc>
        <w:tc>
          <w:tcPr>
            <w:tcW w:w="1460" w:type="dxa"/>
            <w:vMerge/>
            <w:hideMark/>
          </w:tcPr>
          <w:p w14:paraId="5CF7C931" w14:textId="77777777" w:rsidR="00DF030D" w:rsidRPr="00A52C2F" w:rsidRDefault="00DF030D" w:rsidP="00D674E2">
            <w:pPr>
              <w:rPr>
                <w:rFonts w:ascii="Times New Roman" w:hAnsi="Times New Roman" w:cs="Times New Roman"/>
                <w:sz w:val="20"/>
                <w:szCs w:val="20"/>
              </w:rPr>
            </w:pPr>
          </w:p>
        </w:tc>
        <w:tc>
          <w:tcPr>
            <w:tcW w:w="2115" w:type="dxa"/>
            <w:hideMark/>
          </w:tcPr>
          <w:p w14:paraId="28EE41A8"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2. Количество частных организаций, </w:t>
            </w:r>
            <w:r w:rsidRPr="00A52C2F">
              <w:rPr>
                <w:rFonts w:ascii="Times New Roman" w:hAnsi="Times New Roman" w:cs="Times New Roman"/>
                <w:b/>
                <w:sz w:val="20"/>
                <w:szCs w:val="20"/>
              </w:rPr>
              <w:t>ед</w:t>
            </w:r>
          </w:p>
        </w:tc>
        <w:tc>
          <w:tcPr>
            <w:tcW w:w="993" w:type="dxa"/>
            <w:hideMark/>
          </w:tcPr>
          <w:p w14:paraId="5759903D"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23</w:t>
            </w:r>
          </w:p>
        </w:tc>
        <w:tc>
          <w:tcPr>
            <w:tcW w:w="1275" w:type="dxa"/>
            <w:hideMark/>
          </w:tcPr>
          <w:p w14:paraId="21FF5592"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23</w:t>
            </w:r>
          </w:p>
        </w:tc>
        <w:tc>
          <w:tcPr>
            <w:tcW w:w="993" w:type="dxa"/>
            <w:hideMark/>
          </w:tcPr>
          <w:p w14:paraId="5B827A9C"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23</w:t>
            </w:r>
          </w:p>
        </w:tc>
        <w:tc>
          <w:tcPr>
            <w:tcW w:w="2551" w:type="dxa"/>
            <w:hideMark/>
          </w:tcPr>
          <w:p w14:paraId="37A691D5" w14:textId="53D05ADE" w:rsidR="00DF030D" w:rsidRPr="00A52C2F" w:rsidRDefault="00DF030D" w:rsidP="00953807">
            <w:pPr>
              <w:rPr>
                <w:rFonts w:ascii="Times New Roman" w:hAnsi="Times New Roman" w:cs="Times New Roman"/>
                <w:sz w:val="20"/>
                <w:szCs w:val="20"/>
              </w:rPr>
            </w:pPr>
            <w:r w:rsidRPr="00A52C2F">
              <w:rPr>
                <w:rFonts w:ascii="Times New Roman" w:hAnsi="Times New Roman" w:cs="Times New Roman"/>
                <w:sz w:val="20"/>
                <w:szCs w:val="20"/>
              </w:rPr>
              <w:t>Федеральная государственная система доступности дошкольного образования;</w:t>
            </w:r>
            <w:r w:rsidR="00953807" w:rsidRPr="00A52C2F" w:rsidDel="00953807">
              <w:rPr>
                <w:rFonts w:ascii="Times New Roman" w:hAnsi="Times New Roman" w:cs="Times New Roman"/>
                <w:sz w:val="20"/>
                <w:szCs w:val="20"/>
              </w:rPr>
              <w:t xml:space="preserve"> </w:t>
            </w:r>
            <w:r w:rsidRPr="00A52C2F">
              <w:rPr>
                <w:rFonts w:ascii="Times New Roman" w:hAnsi="Times New Roman" w:cs="Times New Roman"/>
                <w:sz w:val="20"/>
                <w:szCs w:val="20"/>
              </w:rPr>
              <w:t xml:space="preserve">статистический сборник по каталогу 15.3.  </w:t>
            </w:r>
          </w:p>
        </w:tc>
        <w:tc>
          <w:tcPr>
            <w:tcW w:w="1701" w:type="dxa"/>
            <w:hideMark/>
          </w:tcPr>
          <w:p w14:paraId="0C356615"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Методика расчета статистического показателя</w:t>
            </w:r>
          </w:p>
        </w:tc>
        <w:tc>
          <w:tcPr>
            <w:tcW w:w="1701" w:type="dxa"/>
            <w:vMerge/>
            <w:noWrap/>
            <w:hideMark/>
          </w:tcPr>
          <w:p w14:paraId="7799F4F7" w14:textId="77777777" w:rsidR="00DF030D" w:rsidRPr="00A52C2F" w:rsidRDefault="00DF030D" w:rsidP="00D674E2">
            <w:pPr>
              <w:rPr>
                <w:rFonts w:ascii="Times New Roman" w:hAnsi="Times New Roman" w:cs="Times New Roman"/>
                <w:sz w:val="20"/>
                <w:szCs w:val="20"/>
              </w:rPr>
            </w:pPr>
          </w:p>
        </w:tc>
        <w:tc>
          <w:tcPr>
            <w:tcW w:w="1419" w:type="dxa"/>
            <w:vMerge/>
            <w:noWrap/>
            <w:hideMark/>
          </w:tcPr>
          <w:p w14:paraId="6857908E" w14:textId="77777777" w:rsidR="00DF030D" w:rsidRPr="00A52C2F" w:rsidRDefault="00DF030D" w:rsidP="00D674E2">
            <w:pPr>
              <w:rPr>
                <w:rFonts w:ascii="Times New Roman" w:hAnsi="Times New Roman" w:cs="Times New Roman"/>
                <w:sz w:val="20"/>
                <w:szCs w:val="20"/>
              </w:rPr>
            </w:pPr>
          </w:p>
        </w:tc>
      </w:tr>
      <w:tr w:rsidR="00DF030D" w:rsidRPr="00DF030D" w14:paraId="2D6D52BC" w14:textId="77777777" w:rsidTr="00D674E2">
        <w:trPr>
          <w:trHeight w:val="20"/>
        </w:trPr>
        <w:tc>
          <w:tcPr>
            <w:tcW w:w="536" w:type="dxa"/>
            <w:vMerge w:val="restart"/>
            <w:hideMark/>
          </w:tcPr>
          <w:p w14:paraId="0A25AC83"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2.</w:t>
            </w:r>
          </w:p>
          <w:p w14:paraId="6257E5E5" w14:textId="77777777" w:rsidR="00DF030D" w:rsidRPr="009B4FC0" w:rsidRDefault="00DF030D" w:rsidP="00D674E2">
            <w:pPr>
              <w:rPr>
                <w:rFonts w:ascii="Times New Roman" w:hAnsi="Times New Roman" w:cs="Times New Roman"/>
                <w:sz w:val="20"/>
                <w:szCs w:val="20"/>
              </w:rPr>
            </w:pPr>
            <w:r w:rsidRPr="009B4FC0">
              <w:rPr>
                <w:rFonts w:ascii="Times New Roman" w:hAnsi="Times New Roman" w:cs="Times New Roman"/>
                <w:sz w:val="20"/>
                <w:szCs w:val="20"/>
              </w:rPr>
              <w:t> </w:t>
            </w:r>
          </w:p>
        </w:tc>
        <w:tc>
          <w:tcPr>
            <w:tcW w:w="1460" w:type="dxa"/>
            <w:vMerge w:val="restart"/>
            <w:hideMark/>
          </w:tcPr>
          <w:p w14:paraId="611B7DE3"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Рынок услуг общего образования</w:t>
            </w:r>
          </w:p>
          <w:p w14:paraId="76B95A1C"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w:t>
            </w:r>
          </w:p>
        </w:tc>
        <w:tc>
          <w:tcPr>
            <w:tcW w:w="2115" w:type="dxa"/>
            <w:hideMark/>
          </w:tcPr>
          <w:p w14:paraId="3FC2CC8C"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1. Доля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w:t>
            </w:r>
            <w:r w:rsidRPr="00A52C2F">
              <w:rPr>
                <w:rFonts w:ascii="Times New Roman" w:hAnsi="Times New Roman" w:cs="Times New Roman"/>
                <w:sz w:val="20"/>
                <w:szCs w:val="20"/>
              </w:rPr>
              <w:lastRenderedPageBreak/>
              <w:t xml:space="preserve">программы  –образовательные программы начального общего, основного общего, среднего общего образования, </w:t>
            </w:r>
            <w:r w:rsidRPr="00A52C2F">
              <w:rPr>
                <w:rFonts w:ascii="Times New Roman" w:hAnsi="Times New Roman" w:cs="Times New Roman"/>
                <w:b/>
                <w:sz w:val="20"/>
                <w:szCs w:val="20"/>
              </w:rPr>
              <w:t>%</w:t>
            </w:r>
          </w:p>
        </w:tc>
        <w:tc>
          <w:tcPr>
            <w:tcW w:w="993" w:type="dxa"/>
            <w:hideMark/>
          </w:tcPr>
          <w:p w14:paraId="2F2DF1C0"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0,52</w:t>
            </w:r>
          </w:p>
        </w:tc>
        <w:tc>
          <w:tcPr>
            <w:tcW w:w="1275" w:type="dxa"/>
            <w:hideMark/>
          </w:tcPr>
          <w:p w14:paraId="10A012E4"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0,53</w:t>
            </w:r>
          </w:p>
        </w:tc>
        <w:tc>
          <w:tcPr>
            <w:tcW w:w="993" w:type="dxa"/>
            <w:hideMark/>
          </w:tcPr>
          <w:p w14:paraId="68017AE2"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0,53</w:t>
            </w:r>
          </w:p>
        </w:tc>
        <w:tc>
          <w:tcPr>
            <w:tcW w:w="2551" w:type="dxa"/>
            <w:hideMark/>
          </w:tcPr>
          <w:p w14:paraId="1BD429F0"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Федеральное статистическое наблюдение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w:t>
            </w:r>
          </w:p>
        </w:tc>
        <w:tc>
          <w:tcPr>
            <w:tcW w:w="1701" w:type="dxa"/>
            <w:hideMark/>
          </w:tcPr>
          <w:p w14:paraId="35599D00"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Методика расчета статистического показателя</w:t>
            </w:r>
          </w:p>
        </w:tc>
        <w:tc>
          <w:tcPr>
            <w:tcW w:w="1701" w:type="dxa"/>
            <w:vMerge w:val="restart"/>
            <w:hideMark/>
          </w:tcPr>
          <w:p w14:paraId="49E8E769"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54,1/55,4/56,6</w:t>
            </w:r>
          </w:p>
          <w:p w14:paraId="07027BE4"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 </w:t>
            </w:r>
          </w:p>
        </w:tc>
        <w:tc>
          <w:tcPr>
            <w:tcW w:w="1419" w:type="dxa"/>
            <w:vMerge w:val="restart"/>
            <w:hideMark/>
          </w:tcPr>
          <w:p w14:paraId="05579E04"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50</w:t>
            </w:r>
          </w:p>
          <w:p w14:paraId="0D55BE2C"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 </w:t>
            </w:r>
          </w:p>
        </w:tc>
      </w:tr>
      <w:tr w:rsidR="00DF030D" w:rsidRPr="00DF030D" w14:paraId="1C943BC4" w14:textId="77777777" w:rsidTr="00D674E2">
        <w:trPr>
          <w:trHeight w:val="20"/>
        </w:trPr>
        <w:tc>
          <w:tcPr>
            <w:tcW w:w="536" w:type="dxa"/>
            <w:vMerge/>
            <w:hideMark/>
          </w:tcPr>
          <w:p w14:paraId="560BCB57" w14:textId="77777777" w:rsidR="00DF030D" w:rsidRPr="00A52C2F" w:rsidRDefault="00DF030D" w:rsidP="00D674E2">
            <w:pPr>
              <w:rPr>
                <w:rFonts w:ascii="Times New Roman" w:hAnsi="Times New Roman" w:cs="Times New Roman"/>
                <w:sz w:val="20"/>
                <w:szCs w:val="20"/>
              </w:rPr>
            </w:pPr>
          </w:p>
        </w:tc>
        <w:tc>
          <w:tcPr>
            <w:tcW w:w="1460" w:type="dxa"/>
            <w:vMerge/>
            <w:hideMark/>
          </w:tcPr>
          <w:p w14:paraId="1D84A8AA" w14:textId="77777777" w:rsidR="00DF030D" w:rsidRPr="00A52C2F" w:rsidRDefault="00DF030D" w:rsidP="00D674E2">
            <w:pPr>
              <w:rPr>
                <w:rFonts w:ascii="Times New Roman" w:hAnsi="Times New Roman" w:cs="Times New Roman"/>
                <w:sz w:val="20"/>
                <w:szCs w:val="20"/>
              </w:rPr>
            </w:pPr>
          </w:p>
        </w:tc>
        <w:tc>
          <w:tcPr>
            <w:tcW w:w="2115" w:type="dxa"/>
            <w:hideMark/>
          </w:tcPr>
          <w:p w14:paraId="0547565B"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2. Количество частных организаций, </w:t>
            </w:r>
            <w:r w:rsidRPr="00A52C2F">
              <w:rPr>
                <w:rFonts w:ascii="Times New Roman" w:hAnsi="Times New Roman" w:cs="Times New Roman"/>
                <w:b/>
                <w:sz w:val="20"/>
                <w:szCs w:val="20"/>
              </w:rPr>
              <w:t>ед.</w:t>
            </w:r>
          </w:p>
        </w:tc>
        <w:tc>
          <w:tcPr>
            <w:tcW w:w="993" w:type="dxa"/>
            <w:hideMark/>
          </w:tcPr>
          <w:p w14:paraId="1CC8974F"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17</w:t>
            </w:r>
          </w:p>
        </w:tc>
        <w:tc>
          <w:tcPr>
            <w:tcW w:w="1275" w:type="dxa"/>
            <w:hideMark/>
          </w:tcPr>
          <w:p w14:paraId="566178A8"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17</w:t>
            </w:r>
          </w:p>
        </w:tc>
        <w:tc>
          <w:tcPr>
            <w:tcW w:w="993" w:type="dxa"/>
            <w:hideMark/>
          </w:tcPr>
          <w:p w14:paraId="745E9F64"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17</w:t>
            </w:r>
          </w:p>
        </w:tc>
        <w:tc>
          <w:tcPr>
            <w:tcW w:w="2551" w:type="dxa"/>
            <w:hideMark/>
          </w:tcPr>
          <w:p w14:paraId="6D15C1C7"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Данные ведомственной статистики министерства образования Новосибирской области </w:t>
            </w:r>
          </w:p>
        </w:tc>
        <w:tc>
          <w:tcPr>
            <w:tcW w:w="1701" w:type="dxa"/>
            <w:hideMark/>
          </w:tcPr>
          <w:p w14:paraId="76B7D245"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noProof/>
                <w:sz w:val="20"/>
                <w:szCs w:val="20"/>
              </w:rPr>
              <mc:AlternateContent>
                <mc:Choice Requires="wps">
                  <w:drawing>
                    <wp:anchor distT="0" distB="0" distL="114300" distR="114300" simplePos="0" relativeHeight="251685888" behindDoc="0" locked="0" layoutInCell="1" allowOverlap="1" wp14:anchorId="1A4E6557" wp14:editId="4C928409">
                      <wp:simplePos x="0" y="0"/>
                      <wp:positionH relativeFrom="column">
                        <wp:posOffset>1885950</wp:posOffset>
                      </wp:positionH>
                      <wp:positionV relativeFrom="paragraph">
                        <wp:posOffset>152400</wp:posOffset>
                      </wp:positionV>
                      <wp:extent cx="0" cy="171450"/>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7A1F5A30" id="_x0000_t202" coordsize="21600,21600" o:spt="202" path="m,l,21600r21600,l21600,xe">
                      <v:stroke joinstyle="miter"/>
                      <v:path gradientshapeok="t" o:connecttype="rect"/>
                    </v:shapetype>
                    <v:shape id="Надпись 33" o:spid="_x0000_s1026" type="#_x0000_t202" style="position:absolute;margin-left:148.5pt;margin-top:12pt;width:0;height:13.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" filled="f" stroked="f">
                      <v:textbox style="mso-fit-shape-to-text:t" inset="0,0,0,0"/>
                    </v:shape>
                  </w:pict>
                </mc:Fallback>
              </mc:AlternateContent>
            </w:r>
            <w:r w:rsidRPr="00A52C2F">
              <w:rPr>
                <w:rFonts w:ascii="Times New Roman" w:hAnsi="Times New Roman" w:cs="Times New Roman"/>
                <w:sz w:val="20"/>
                <w:szCs w:val="20"/>
              </w:rPr>
              <w:t>Анализ отчетных данных</w:t>
            </w:r>
          </w:p>
        </w:tc>
        <w:tc>
          <w:tcPr>
            <w:tcW w:w="1701" w:type="dxa"/>
            <w:vMerge/>
            <w:noWrap/>
            <w:hideMark/>
          </w:tcPr>
          <w:p w14:paraId="050A9F53" w14:textId="77777777" w:rsidR="00DF030D" w:rsidRPr="00A52C2F" w:rsidRDefault="00DF030D" w:rsidP="00D674E2">
            <w:pPr>
              <w:rPr>
                <w:rFonts w:ascii="Times New Roman" w:hAnsi="Times New Roman" w:cs="Times New Roman"/>
                <w:sz w:val="20"/>
                <w:szCs w:val="20"/>
              </w:rPr>
            </w:pPr>
          </w:p>
        </w:tc>
        <w:tc>
          <w:tcPr>
            <w:tcW w:w="1419" w:type="dxa"/>
            <w:vMerge/>
            <w:noWrap/>
            <w:hideMark/>
          </w:tcPr>
          <w:p w14:paraId="038EE92E" w14:textId="77777777" w:rsidR="00DF030D" w:rsidRPr="00A52C2F" w:rsidRDefault="00DF030D" w:rsidP="00D674E2">
            <w:pPr>
              <w:rPr>
                <w:rFonts w:ascii="Times New Roman" w:hAnsi="Times New Roman" w:cs="Times New Roman"/>
                <w:sz w:val="20"/>
                <w:szCs w:val="20"/>
              </w:rPr>
            </w:pPr>
          </w:p>
        </w:tc>
      </w:tr>
      <w:tr w:rsidR="00DF030D" w:rsidRPr="00DF030D" w14:paraId="5271BA33" w14:textId="77777777" w:rsidTr="00D674E2">
        <w:trPr>
          <w:trHeight w:val="20"/>
        </w:trPr>
        <w:tc>
          <w:tcPr>
            <w:tcW w:w="536" w:type="dxa"/>
            <w:vMerge w:val="restart"/>
            <w:hideMark/>
          </w:tcPr>
          <w:p w14:paraId="7DC58E90"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3.</w:t>
            </w:r>
          </w:p>
          <w:p w14:paraId="1EFB2BA4" w14:textId="77777777" w:rsidR="00DF030D" w:rsidRPr="009B4FC0" w:rsidRDefault="00DF030D" w:rsidP="00D674E2">
            <w:pPr>
              <w:rPr>
                <w:rFonts w:ascii="Times New Roman" w:hAnsi="Times New Roman" w:cs="Times New Roman"/>
                <w:sz w:val="20"/>
                <w:szCs w:val="20"/>
              </w:rPr>
            </w:pPr>
          </w:p>
        </w:tc>
        <w:tc>
          <w:tcPr>
            <w:tcW w:w="1460" w:type="dxa"/>
            <w:vMerge w:val="restart"/>
            <w:hideMark/>
          </w:tcPr>
          <w:p w14:paraId="24C5F9D6"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Рынок услуг среднего профессионального образования</w:t>
            </w:r>
          </w:p>
          <w:p w14:paraId="5A0E569D"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w:t>
            </w:r>
          </w:p>
        </w:tc>
        <w:tc>
          <w:tcPr>
            <w:tcW w:w="2115" w:type="dxa"/>
            <w:hideMark/>
          </w:tcPr>
          <w:p w14:paraId="731DB700"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1. 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w:t>
            </w:r>
            <w:r w:rsidRPr="00A52C2F">
              <w:rPr>
                <w:rFonts w:ascii="Times New Roman" w:hAnsi="Times New Roman" w:cs="Times New Roman"/>
                <w:sz w:val="20"/>
                <w:szCs w:val="20"/>
              </w:rPr>
              <w:lastRenderedPageBreak/>
              <w:t xml:space="preserve">образовательные программы среднего профессионального образования, </w:t>
            </w:r>
            <w:r w:rsidRPr="00A52C2F">
              <w:rPr>
                <w:rFonts w:ascii="Times New Roman" w:hAnsi="Times New Roman" w:cs="Times New Roman"/>
                <w:b/>
                <w:sz w:val="20"/>
                <w:szCs w:val="20"/>
              </w:rPr>
              <w:t>%</w:t>
            </w:r>
          </w:p>
        </w:tc>
        <w:tc>
          <w:tcPr>
            <w:tcW w:w="993" w:type="dxa"/>
            <w:hideMark/>
          </w:tcPr>
          <w:p w14:paraId="56025F67"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11,7</w:t>
            </w:r>
          </w:p>
        </w:tc>
        <w:tc>
          <w:tcPr>
            <w:tcW w:w="1275" w:type="dxa"/>
            <w:hideMark/>
          </w:tcPr>
          <w:p w14:paraId="3412DB8B"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12</w:t>
            </w:r>
          </w:p>
        </w:tc>
        <w:tc>
          <w:tcPr>
            <w:tcW w:w="993" w:type="dxa"/>
            <w:hideMark/>
          </w:tcPr>
          <w:p w14:paraId="527D3744"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12</w:t>
            </w:r>
          </w:p>
        </w:tc>
        <w:tc>
          <w:tcPr>
            <w:tcW w:w="2551" w:type="dxa"/>
            <w:hideMark/>
          </w:tcPr>
          <w:p w14:paraId="28BE0864"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Данные ведомственной статистики министерства образования Новосибирской области </w:t>
            </w:r>
          </w:p>
        </w:tc>
        <w:tc>
          <w:tcPr>
            <w:tcW w:w="1701" w:type="dxa"/>
            <w:hideMark/>
          </w:tcPr>
          <w:p w14:paraId="1D54B242" w14:textId="7B3ACCD0"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Методика расчета ключевого показателя развития конкуренции на рынке услуг среднего профессионального образования в субъектах Российской Федерации  </w:t>
            </w:r>
            <w:r w:rsidRPr="00A52C2F">
              <w:rPr>
                <w:rFonts w:ascii="Times New Roman" w:hAnsi="Times New Roman" w:cs="Times New Roman"/>
                <w:sz w:val="20"/>
                <w:szCs w:val="20"/>
              </w:rPr>
              <w:br/>
              <w:t xml:space="preserve">(приложение № 7 к приказу ФАС России от 29.08.2018 № 1232/18)  </w:t>
            </w:r>
          </w:p>
        </w:tc>
        <w:tc>
          <w:tcPr>
            <w:tcW w:w="1701" w:type="dxa"/>
            <w:vMerge w:val="restart"/>
            <w:hideMark/>
          </w:tcPr>
          <w:p w14:paraId="55473DDB"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52,2/43,6/54,0</w:t>
            </w:r>
          </w:p>
        </w:tc>
        <w:tc>
          <w:tcPr>
            <w:tcW w:w="1419" w:type="dxa"/>
            <w:vMerge w:val="restart"/>
            <w:hideMark/>
          </w:tcPr>
          <w:p w14:paraId="291CD706"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60</w:t>
            </w:r>
          </w:p>
        </w:tc>
      </w:tr>
      <w:tr w:rsidR="00DF030D" w:rsidRPr="00DF030D" w14:paraId="59F597FA" w14:textId="77777777" w:rsidTr="00D674E2">
        <w:trPr>
          <w:trHeight w:val="20"/>
        </w:trPr>
        <w:tc>
          <w:tcPr>
            <w:tcW w:w="536" w:type="dxa"/>
            <w:vMerge/>
            <w:hideMark/>
          </w:tcPr>
          <w:p w14:paraId="70011921" w14:textId="77777777" w:rsidR="00DF030D" w:rsidRPr="00A52C2F" w:rsidRDefault="00DF030D" w:rsidP="00D674E2">
            <w:pPr>
              <w:rPr>
                <w:rFonts w:ascii="Times New Roman" w:hAnsi="Times New Roman" w:cs="Times New Roman"/>
                <w:sz w:val="20"/>
                <w:szCs w:val="20"/>
              </w:rPr>
            </w:pPr>
          </w:p>
        </w:tc>
        <w:tc>
          <w:tcPr>
            <w:tcW w:w="1460" w:type="dxa"/>
            <w:vMerge/>
            <w:hideMark/>
          </w:tcPr>
          <w:p w14:paraId="752E08B0" w14:textId="77777777" w:rsidR="00DF030D" w:rsidRPr="00A52C2F" w:rsidRDefault="00DF030D" w:rsidP="00D674E2">
            <w:pPr>
              <w:rPr>
                <w:rFonts w:ascii="Times New Roman" w:hAnsi="Times New Roman" w:cs="Times New Roman"/>
                <w:sz w:val="20"/>
                <w:szCs w:val="20"/>
              </w:rPr>
            </w:pPr>
          </w:p>
        </w:tc>
        <w:tc>
          <w:tcPr>
            <w:tcW w:w="2115" w:type="dxa"/>
            <w:hideMark/>
          </w:tcPr>
          <w:p w14:paraId="021031F7"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2. Количество частных организаций, </w:t>
            </w:r>
            <w:r w:rsidRPr="00A52C2F">
              <w:rPr>
                <w:rFonts w:ascii="Times New Roman" w:hAnsi="Times New Roman" w:cs="Times New Roman"/>
                <w:b/>
                <w:sz w:val="20"/>
                <w:szCs w:val="20"/>
              </w:rPr>
              <w:t>ед.</w:t>
            </w:r>
          </w:p>
        </w:tc>
        <w:tc>
          <w:tcPr>
            <w:tcW w:w="993" w:type="dxa"/>
            <w:hideMark/>
          </w:tcPr>
          <w:p w14:paraId="4259851B"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4</w:t>
            </w:r>
          </w:p>
        </w:tc>
        <w:tc>
          <w:tcPr>
            <w:tcW w:w="1275" w:type="dxa"/>
            <w:hideMark/>
          </w:tcPr>
          <w:p w14:paraId="7F54355F"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4</w:t>
            </w:r>
          </w:p>
        </w:tc>
        <w:tc>
          <w:tcPr>
            <w:tcW w:w="993" w:type="dxa"/>
            <w:hideMark/>
          </w:tcPr>
          <w:p w14:paraId="5C90892D"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6</w:t>
            </w:r>
          </w:p>
        </w:tc>
        <w:tc>
          <w:tcPr>
            <w:tcW w:w="2551" w:type="dxa"/>
            <w:hideMark/>
          </w:tcPr>
          <w:p w14:paraId="2FEB735E"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Данные ведомственной статистики министерства образования Новосибирской области </w:t>
            </w:r>
          </w:p>
        </w:tc>
        <w:tc>
          <w:tcPr>
            <w:tcW w:w="1701" w:type="dxa"/>
            <w:hideMark/>
          </w:tcPr>
          <w:p w14:paraId="76B5A5D3"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Анализ отчетных данных</w:t>
            </w:r>
          </w:p>
        </w:tc>
        <w:tc>
          <w:tcPr>
            <w:tcW w:w="1701" w:type="dxa"/>
            <w:vMerge/>
            <w:hideMark/>
          </w:tcPr>
          <w:p w14:paraId="31A79733" w14:textId="77777777" w:rsidR="00DF030D" w:rsidRPr="00A52C2F" w:rsidRDefault="00DF030D" w:rsidP="00D674E2">
            <w:pPr>
              <w:rPr>
                <w:rFonts w:ascii="Times New Roman" w:hAnsi="Times New Roman" w:cs="Times New Roman"/>
                <w:sz w:val="20"/>
                <w:szCs w:val="20"/>
              </w:rPr>
            </w:pPr>
          </w:p>
        </w:tc>
        <w:tc>
          <w:tcPr>
            <w:tcW w:w="1419" w:type="dxa"/>
            <w:vMerge/>
            <w:hideMark/>
          </w:tcPr>
          <w:p w14:paraId="056049A3" w14:textId="77777777" w:rsidR="00DF030D" w:rsidRPr="00A52C2F" w:rsidRDefault="00DF030D" w:rsidP="00D674E2">
            <w:pPr>
              <w:rPr>
                <w:rFonts w:ascii="Times New Roman" w:hAnsi="Times New Roman" w:cs="Times New Roman"/>
                <w:sz w:val="20"/>
                <w:szCs w:val="20"/>
              </w:rPr>
            </w:pPr>
          </w:p>
        </w:tc>
      </w:tr>
      <w:tr w:rsidR="00F41852" w:rsidRPr="00DF030D" w14:paraId="0C3E3427" w14:textId="77777777" w:rsidTr="00D674E2">
        <w:trPr>
          <w:trHeight w:val="20"/>
        </w:trPr>
        <w:tc>
          <w:tcPr>
            <w:tcW w:w="536" w:type="dxa"/>
            <w:hideMark/>
          </w:tcPr>
          <w:p w14:paraId="3DD440A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4. </w:t>
            </w:r>
          </w:p>
        </w:tc>
        <w:tc>
          <w:tcPr>
            <w:tcW w:w="1460" w:type="dxa"/>
            <w:hideMark/>
          </w:tcPr>
          <w:p w14:paraId="12C09FDC"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услуг дополнительного образования детей</w:t>
            </w:r>
          </w:p>
        </w:tc>
        <w:tc>
          <w:tcPr>
            <w:tcW w:w="2115" w:type="dxa"/>
            <w:hideMark/>
          </w:tcPr>
          <w:p w14:paraId="02C16AF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в сфере услуг дополнительного образования детей, </w:t>
            </w:r>
            <w:r w:rsidRPr="00A52C2F">
              <w:rPr>
                <w:rFonts w:ascii="Times New Roman" w:hAnsi="Times New Roman" w:cs="Times New Roman"/>
                <w:b/>
                <w:sz w:val="20"/>
                <w:szCs w:val="20"/>
              </w:rPr>
              <w:t>%</w:t>
            </w:r>
          </w:p>
        </w:tc>
        <w:tc>
          <w:tcPr>
            <w:tcW w:w="993" w:type="dxa"/>
            <w:hideMark/>
          </w:tcPr>
          <w:p w14:paraId="5130D6A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3,4</w:t>
            </w:r>
          </w:p>
        </w:tc>
        <w:tc>
          <w:tcPr>
            <w:tcW w:w="1275" w:type="dxa"/>
            <w:hideMark/>
          </w:tcPr>
          <w:p w14:paraId="59A881F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3,8</w:t>
            </w:r>
          </w:p>
        </w:tc>
        <w:tc>
          <w:tcPr>
            <w:tcW w:w="993" w:type="dxa"/>
            <w:hideMark/>
          </w:tcPr>
          <w:p w14:paraId="308FC145"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3,8</w:t>
            </w:r>
          </w:p>
        </w:tc>
        <w:tc>
          <w:tcPr>
            <w:tcW w:w="2551" w:type="dxa"/>
            <w:hideMark/>
          </w:tcPr>
          <w:p w14:paraId="15F63F4C"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Федеральное статистическое наблюдение № 1-доп «Сведения о дополнительном образовании и спортивной подготовке детей»</w:t>
            </w:r>
          </w:p>
        </w:tc>
        <w:tc>
          <w:tcPr>
            <w:tcW w:w="1701" w:type="dxa"/>
            <w:hideMark/>
          </w:tcPr>
          <w:p w14:paraId="22E7082C"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Методика по расчету ключевого показателя развития конкуренции на рынке услуг дополнительного образования детей в субъектах Российской Федерации</w:t>
            </w:r>
            <w:r w:rsidRPr="00A52C2F">
              <w:rPr>
                <w:rFonts w:ascii="Times New Roman" w:hAnsi="Times New Roman" w:cs="Times New Roman"/>
                <w:sz w:val="20"/>
                <w:szCs w:val="20"/>
              </w:rPr>
              <w:br/>
              <w:t>(приложение № 10 к приказу ФАС России</w:t>
            </w:r>
            <w:r w:rsidRPr="00A52C2F">
              <w:rPr>
                <w:rFonts w:ascii="Times New Roman" w:hAnsi="Times New Roman" w:cs="Times New Roman"/>
                <w:sz w:val="20"/>
                <w:szCs w:val="20"/>
              </w:rPr>
              <w:br/>
              <w:t>от 29.08.2018 № 1232/18)</w:t>
            </w:r>
          </w:p>
        </w:tc>
        <w:tc>
          <w:tcPr>
            <w:tcW w:w="1701" w:type="dxa"/>
            <w:noWrap/>
            <w:hideMark/>
          </w:tcPr>
          <w:p w14:paraId="1431575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60,3/44,0/56,8</w:t>
            </w:r>
          </w:p>
        </w:tc>
        <w:tc>
          <w:tcPr>
            <w:tcW w:w="1419" w:type="dxa"/>
            <w:noWrap/>
            <w:hideMark/>
          </w:tcPr>
          <w:p w14:paraId="43F0E99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13,3</w:t>
            </w:r>
          </w:p>
        </w:tc>
      </w:tr>
      <w:tr w:rsidR="00F41852" w:rsidRPr="00DF030D" w14:paraId="4A0FE21D" w14:textId="77777777" w:rsidTr="00D674E2">
        <w:trPr>
          <w:trHeight w:val="20"/>
        </w:trPr>
        <w:tc>
          <w:tcPr>
            <w:tcW w:w="536" w:type="dxa"/>
            <w:hideMark/>
          </w:tcPr>
          <w:p w14:paraId="49637E0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5. </w:t>
            </w:r>
          </w:p>
        </w:tc>
        <w:tc>
          <w:tcPr>
            <w:tcW w:w="1460" w:type="dxa"/>
            <w:hideMark/>
          </w:tcPr>
          <w:p w14:paraId="08E6C5C9"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услуг детского отдыха и оздоровления</w:t>
            </w:r>
          </w:p>
        </w:tc>
        <w:tc>
          <w:tcPr>
            <w:tcW w:w="2115" w:type="dxa"/>
            <w:hideMark/>
          </w:tcPr>
          <w:p w14:paraId="183E716F"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отдыха и оздоровления детей частной формы собственности, </w:t>
            </w:r>
            <w:r w:rsidRPr="00A52C2F">
              <w:rPr>
                <w:rFonts w:ascii="Times New Roman" w:hAnsi="Times New Roman" w:cs="Times New Roman"/>
                <w:b/>
                <w:sz w:val="20"/>
                <w:szCs w:val="20"/>
              </w:rPr>
              <w:t>%</w:t>
            </w:r>
          </w:p>
        </w:tc>
        <w:tc>
          <w:tcPr>
            <w:tcW w:w="993" w:type="dxa"/>
            <w:hideMark/>
          </w:tcPr>
          <w:p w14:paraId="2E9278C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23</w:t>
            </w:r>
          </w:p>
        </w:tc>
        <w:tc>
          <w:tcPr>
            <w:tcW w:w="1275" w:type="dxa"/>
            <w:hideMark/>
          </w:tcPr>
          <w:p w14:paraId="442F5E4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23</w:t>
            </w:r>
          </w:p>
        </w:tc>
        <w:tc>
          <w:tcPr>
            <w:tcW w:w="993" w:type="dxa"/>
            <w:hideMark/>
          </w:tcPr>
          <w:p w14:paraId="683FAAC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23,7</w:t>
            </w:r>
          </w:p>
        </w:tc>
        <w:tc>
          <w:tcPr>
            <w:tcW w:w="2551" w:type="dxa"/>
            <w:hideMark/>
          </w:tcPr>
          <w:p w14:paraId="6D881D0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Реестр организаций отдыха детей и их оздоровления и индивидуальных предпринимателей, осуществляющих </w:t>
            </w:r>
            <w:r w:rsidRPr="00A52C2F">
              <w:rPr>
                <w:rFonts w:ascii="Times New Roman" w:hAnsi="Times New Roman" w:cs="Times New Roman"/>
                <w:sz w:val="20"/>
                <w:szCs w:val="20"/>
              </w:rPr>
              <w:lastRenderedPageBreak/>
              <w:t xml:space="preserve">деятельность в сфере отдыха и оздоровления детей, актуализированный по состоянию на 19.08.2019 </w:t>
            </w:r>
            <w:hyperlink r:id="rId232" w:history="1">
              <w:r w:rsidRPr="009B4FC0">
                <w:rPr>
                  <w:rStyle w:val="a3"/>
                  <w:rFonts w:ascii="Times New Roman" w:hAnsi="Times New Roman" w:cs="Times New Roman"/>
                  <w:sz w:val="20"/>
                  <w:szCs w:val="20"/>
                </w:rPr>
                <w:t>https://mtsr.nso.ru/page/5680</w:t>
              </w:r>
            </w:hyperlink>
          </w:p>
          <w:p w14:paraId="19CDF22E" w14:textId="77777777" w:rsidR="00F41852" w:rsidRPr="009B4FC0" w:rsidRDefault="00F41852" w:rsidP="00D674E2">
            <w:pPr>
              <w:rPr>
                <w:rFonts w:ascii="Times New Roman" w:hAnsi="Times New Roman" w:cs="Times New Roman"/>
                <w:sz w:val="20"/>
                <w:szCs w:val="20"/>
              </w:rPr>
            </w:pPr>
          </w:p>
        </w:tc>
        <w:tc>
          <w:tcPr>
            <w:tcW w:w="1701" w:type="dxa"/>
            <w:hideMark/>
          </w:tcPr>
          <w:p w14:paraId="0CD08C6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 xml:space="preserve">Методика по расчету ключевого показателя развития конкуренции на </w:t>
            </w:r>
            <w:r w:rsidRPr="00A52C2F">
              <w:rPr>
                <w:rFonts w:ascii="Times New Roman" w:hAnsi="Times New Roman" w:cs="Times New Roman"/>
                <w:sz w:val="20"/>
                <w:szCs w:val="20"/>
              </w:rPr>
              <w:lastRenderedPageBreak/>
              <w:t>рынке услуг детского отдыха и оздоровления в субъектах Российской Федерации (Приложение № 9 к приказу ФАС России от 29.08.2018 № 1232/18)</w:t>
            </w:r>
          </w:p>
        </w:tc>
        <w:tc>
          <w:tcPr>
            <w:tcW w:w="1701" w:type="dxa"/>
            <w:noWrap/>
            <w:hideMark/>
          </w:tcPr>
          <w:p w14:paraId="37A62B8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45,9/35,0/43,7</w:t>
            </w:r>
          </w:p>
        </w:tc>
        <w:tc>
          <w:tcPr>
            <w:tcW w:w="1419" w:type="dxa"/>
            <w:noWrap/>
            <w:hideMark/>
          </w:tcPr>
          <w:p w14:paraId="7CE075B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50</w:t>
            </w:r>
          </w:p>
        </w:tc>
      </w:tr>
      <w:tr w:rsidR="00F41852" w:rsidRPr="00DF030D" w14:paraId="1E77EA73" w14:textId="77777777" w:rsidTr="00D674E2">
        <w:trPr>
          <w:trHeight w:val="20"/>
        </w:trPr>
        <w:tc>
          <w:tcPr>
            <w:tcW w:w="536" w:type="dxa"/>
            <w:hideMark/>
          </w:tcPr>
          <w:p w14:paraId="5E62521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6.</w:t>
            </w:r>
          </w:p>
        </w:tc>
        <w:tc>
          <w:tcPr>
            <w:tcW w:w="1460" w:type="dxa"/>
            <w:hideMark/>
          </w:tcPr>
          <w:p w14:paraId="7CF346B7" w14:textId="77777777" w:rsidR="00F41852" w:rsidRPr="00A52C2F"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услуг розничной торговли лекарственными препаратами, медицинскими изд</w:t>
            </w:r>
            <w:r w:rsidRPr="00A52C2F">
              <w:rPr>
                <w:rFonts w:ascii="Times New Roman" w:hAnsi="Times New Roman" w:cs="Times New Roman"/>
                <w:sz w:val="20"/>
                <w:szCs w:val="20"/>
              </w:rPr>
              <w:t>елиями</w:t>
            </w:r>
            <w:r w:rsidRPr="00A52C2F">
              <w:rPr>
                <w:rFonts w:ascii="Times New Roman" w:hAnsi="Times New Roman" w:cs="Times New Roman"/>
                <w:sz w:val="20"/>
                <w:szCs w:val="20"/>
              </w:rPr>
              <w:br/>
              <w:t>и сопутствующими товарами</w:t>
            </w:r>
          </w:p>
        </w:tc>
        <w:tc>
          <w:tcPr>
            <w:tcW w:w="2115" w:type="dxa"/>
            <w:hideMark/>
          </w:tcPr>
          <w:p w14:paraId="1BECD3F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w:t>
            </w:r>
            <w:r w:rsidRPr="00A52C2F">
              <w:rPr>
                <w:rFonts w:ascii="Times New Roman" w:hAnsi="Times New Roman" w:cs="Times New Roman"/>
                <w:sz w:val="20"/>
                <w:szCs w:val="20"/>
              </w:rPr>
              <w:br/>
              <w:t xml:space="preserve">в сфере услуг розничной торговли лекарственными препаратами, медицинскими изделиями и сопутствующими товарами, </w:t>
            </w:r>
            <w:r w:rsidRPr="00A52C2F">
              <w:rPr>
                <w:rFonts w:ascii="Times New Roman" w:hAnsi="Times New Roman" w:cs="Times New Roman"/>
                <w:b/>
                <w:sz w:val="20"/>
                <w:szCs w:val="20"/>
              </w:rPr>
              <w:t>%</w:t>
            </w:r>
          </w:p>
        </w:tc>
        <w:tc>
          <w:tcPr>
            <w:tcW w:w="993" w:type="dxa"/>
            <w:hideMark/>
          </w:tcPr>
          <w:p w14:paraId="678B88F5"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89,8</w:t>
            </w:r>
          </w:p>
        </w:tc>
        <w:tc>
          <w:tcPr>
            <w:tcW w:w="1275" w:type="dxa"/>
            <w:hideMark/>
          </w:tcPr>
          <w:p w14:paraId="6F1218FC"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89,8</w:t>
            </w:r>
          </w:p>
        </w:tc>
        <w:tc>
          <w:tcPr>
            <w:tcW w:w="993" w:type="dxa"/>
            <w:hideMark/>
          </w:tcPr>
          <w:p w14:paraId="245570A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90,4</w:t>
            </w:r>
          </w:p>
        </w:tc>
        <w:tc>
          <w:tcPr>
            <w:tcW w:w="2551" w:type="dxa"/>
            <w:hideMark/>
          </w:tcPr>
          <w:p w14:paraId="7CCFD9A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Единый реестр</w:t>
            </w:r>
            <w:r w:rsidRPr="00A52C2F">
              <w:rPr>
                <w:rFonts w:ascii="Times New Roman" w:hAnsi="Times New Roman" w:cs="Times New Roman"/>
                <w:sz w:val="20"/>
                <w:szCs w:val="20"/>
              </w:rPr>
              <w:br/>
              <w:t>лицензий, в ПО</w:t>
            </w:r>
            <w:r w:rsidRPr="00A52C2F">
              <w:rPr>
                <w:rFonts w:ascii="Times New Roman" w:hAnsi="Times New Roman" w:cs="Times New Roman"/>
                <w:sz w:val="20"/>
                <w:szCs w:val="20"/>
              </w:rPr>
              <w:br/>
              <w:t>«АИС.</w:t>
            </w:r>
            <w:r w:rsidRPr="00A52C2F">
              <w:rPr>
                <w:rFonts w:ascii="Times New Roman" w:hAnsi="Times New Roman" w:cs="Times New Roman"/>
                <w:sz w:val="20"/>
                <w:szCs w:val="20"/>
              </w:rPr>
              <w:br/>
              <w:t>РОСЗДРАВНАДЗОР»</w:t>
            </w:r>
          </w:p>
          <w:p w14:paraId="4CDD1EAD" w14:textId="77777777" w:rsidR="00F41852" w:rsidRPr="00A52C2F" w:rsidRDefault="00E3307E" w:rsidP="00D674E2">
            <w:pPr>
              <w:rPr>
                <w:rFonts w:ascii="Times New Roman" w:hAnsi="Times New Roman" w:cs="Times New Roman"/>
                <w:sz w:val="20"/>
                <w:szCs w:val="20"/>
              </w:rPr>
            </w:pPr>
            <w:hyperlink r:id="rId233" w:history="1">
              <w:r w:rsidR="00F41852" w:rsidRPr="009B4FC0">
                <w:rPr>
                  <w:rFonts w:ascii="Times New Roman" w:hAnsi="Times New Roman" w:cs="Times New Roman"/>
                  <w:color w:val="0000FF"/>
                  <w:sz w:val="20"/>
                  <w:szCs w:val="20"/>
                  <w:u w:val="single"/>
                </w:rPr>
                <w:t>https://www.roszdravnadzor.ru/services/licenses</w:t>
              </w:r>
            </w:hyperlink>
          </w:p>
        </w:tc>
        <w:tc>
          <w:tcPr>
            <w:tcW w:w="1701" w:type="dxa"/>
            <w:hideMark/>
          </w:tcPr>
          <w:p w14:paraId="59EEB261" w14:textId="77777777" w:rsidR="00F41852" w:rsidRPr="00A52C2F"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Методика по расчету ключевого показателя развития конкуренции на рынке услуг розничной торговли лекарственными препаратами, медицинскими издел</w:t>
            </w:r>
            <w:r w:rsidRPr="00A52C2F">
              <w:rPr>
                <w:rFonts w:ascii="Times New Roman" w:hAnsi="Times New Roman" w:cs="Times New Roman"/>
                <w:sz w:val="20"/>
                <w:szCs w:val="20"/>
              </w:rPr>
              <w:t>иями и сопутствующими товарами в субъектах Российской Федерации</w:t>
            </w:r>
            <w:r w:rsidRPr="00A52C2F">
              <w:rPr>
                <w:rFonts w:ascii="Times New Roman" w:hAnsi="Times New Roman" w:cs="Times New Roman"/>
                <w:sz w:val="20"/>
                <w:szCs w:val="20"/>
              </w:rPr>
              <w:br/>
              <w:t xml:space="preserve">Расчет ключевого </w:t>
            </w:r>
            <w:r w:rsidRPr="00A52C2F">
              <w:rPr>
                <w:rFonts w:ascii="Times New Roman" w:hAnsi="Times New Roman" w:cs="Times New Roman"/>
                <w:sz w:val="20"/>
                <w:szCs w:val="20"/>
              </w:rPr>
              <w:lastRenderedPageBreak/>
              <w:t>показателя на рынке услуг розничной торговли лекарственными препаратами, медицинскими изделиями и</w:t>
            </w:r>
            <w:r w:rsidRPr="00A52C2F">
              <w:rPr>
                <w:rFonts w:ascii="Times New Roman" w:hAnsi="Times New Roman" w:cs="Times New Roman"/>
                <w:sz w:val="20"/>
                <w:szCs w:val="20"/>
              </w:rPr>
              <w:br/>
              <w:t xml:space="preserve"> сопутствующими товарами (приложение № 1 к приказу ФАС России от 29.08.2018 № 1232/18)</w:t>
            </w:r>
          </w:p>
        </w:tc>
        <w:tc>
          <w:tcPr>
            <w:tcW w:w="1701" w:type="dxa"/>
            <w:noWrap/>
            <w:hideMark/>
          </w:tcPr>
          <w:p w14:paraId="353E23C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76/46,5/82,2</w:t>
            </w:r>
          </w:p>
        </w:tc>
        <w:tc>
          <w:tcPr>
            <w:tcW w:w="1419" w:type="dxa"/>
            <w:noWrap/>
            <w:hideMark/>
          </w:tcPr>
          <w:p w14:paraId="2BEF82C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20</w:t>
            </w:r>
          </w:p>
        </w:tc>
      </w:tr>
      <w:tr w:rsidR="00DF030D" w:rsidRPr="00DF030D" w14:paraId="552ABEF6" w14:textId="77777777" w:rsidTr="00D674E2">
        <w:trPr>
          <w:trHeight w:val="20"/>
        </w:trPr>
        <w:tc>
          <w:tcPr>
            <w:tcW w:w="536" w:type="dxa"/>
            <w:vMerge w:val="restart"/>
            <w:hideMark/>
          </w:tcPr>
          <w:p w14:paraId="796A0A6D"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7.</w:t>
            </w:r>
          </w:p>
          <w:p w14:paraId="741EF0D4" w14:textId="77777777" w:rsidR="00DF030D" w:rsidRPr="009B4FC0" w:rsidRDefault="00DF030D" w:rsidP="00D674E2">
            <w:pPr>
              <w:rPr>
                <w:rFonts w:ascii="Times New Roman" w:hAnsi="Times New Roman" w:cs="Times New Roman"/>
                <w:sz w:val="20"/>
                <w:szCs w:val="20"/>
              </w:rPr>
            </w:pPr>
            <w:r w:rsidRPr="009B4FC0">
              <w:rPr>
                <w:rFonts w:ascii="Times New Roman" w:hAnsi="Times New Roman" w:cs="Times New Roman"/>
                <w:sz w:val="20"/>
                <w:szCs w:val="20"/>
              </w:rPr>
              <w:t> </w:t>
            </w:r>
          </w:p>
        </w:tc>
        <w:tc>
          <w:tcPr>
            <w:tcW w:w="1460" w:type="dxa"/>
            <w:vMerge w:val="restart"/>
            <w:hideMark/>
          </w:tcPr>
          <w:p w14:paraId="6209F152"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Рынок психолого-педагогического сопровождения детей с ограниченными возможностями здоровья</w:t>
            </w:r>
          </w:p>
          <w:p w14:paraId="327BBDD1"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w:t>
            </w:r>
          </w:p>
        </w:tc>
        <w:tc>
          <w:tcPr>
            <w:tcW w:w="2115" w:type="dxa"/>
            <w:hideMark/>
          </w:tcPr>
          <w:p w14:paraId="502DCB66"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1. Доля организаций частной формы собственности </w:t>
            </w:r>
            <w:r w:rsidRPr="00A52C2F">
              <w:rPr>
                <w:rFonts w:ascii="Times New Roman" w:hAnsi="Times New Roman" w:cs="Times New Roman"/>
                <w:sz w:val="20"/>
                <w:szCs w:val="20"/>
              </w:rPr>
              <w:br/>
              <w:t xml:space="preserve">в сфере услуг психолого-педагогического сопровождения детей с ограниченными возможностями здоровья, </w:t>
            </w:r>
            <w:r w:rsidRPr="00A52C2F">
              <w:rPr>
                <w:rFonts w:ascii="Times New Roman" w:hAnsi="Times New Roman" w:cs="Times New Roman"/>
                <w:b/>
                <w:sz w:val="20"/>
                <w:szCs w:val="20"/>
              </w:rPr>
              <w:t>%</w:t>
            </w:r>
          </w:p>
        </w:tc>
        <w:tc>
          <w:tcPr>
            <w:tcW w:w="993" w:type="dxa"/>
            <w:hideMark/>
          </w:tcPr>
          <w:p w14:paraId="07E0E50B"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22,7</w:t>
            </w:r>
          </w:p>
        </w:tc>
        <w:tc>
          <w:tcPr>
            <w:tcW w:w="1275" w:type="dxa"/>
            <w:hideMark/>
          </w:tcPr>
          <w:p w14:paraId="59BF9A6E"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22,7</w:t>
            </w:r>
          </w:p>
        </w:tc>
        <w:tc>
          <w:tcPr>
            <w:tcW w:w="993" w:type="dxa"/>
            <w:hideMark/>
          </w:tcPr>
          <w:p w14:paraId="26945A16"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22,7</w:t>
            </w:r>
          </w:p>
        </w:tc>
        <w:tc>
          <w:tcPr>
            <w:tcW w:w="2551" w:type="dxa"/>
            <w:hideMark/>
          </w:tcPr>
          <w:p w14:paraId="2450B597"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Ведомственные данные министерства труда и социального развития Новосибирской области (соглашения с получателями субсидий, приказы о перечислении средств)</w:t>
            </w:r>
          </w:p>
        </w:tc>
        <w:tc>
          <w:tcPr>
            <w:tcW w:w="1701" w:type="dxa"/>
            <w:hideMark/>
          </w:tcPr>
          <w:p w14:paraId="47533327"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Методика по расчету ключевых показателей развития конкуренции на рынке услуг психолого-педагогического сопровождения детей с ограниченными возможностями здоровья в субъектах </w:t>
            </w:r>
            <w:r w:rsidRPr="00A52C2F">
              <w:rPr>
                <w:rFonts w:ascii="Times New Roman" w:hAnsi="Times New Roman" w:cs="Times New Roman"/>
                <w:sz w:val="20"/>
                <w:szCs w:val="20"/>
              </w:rPr>
              <w:lastRenderedPageBreak/>
              <w:t>Российской Федерации</w:t>
            </w:r>
            <w:r w:rsidRPr="00A52C2F">
              <w:rPr>
                <w:rFonts w:ascii="Times New Roman" w:hAnsi="Times New Roman" w:cs="Times New Roman"/>
                <w:sz w:val="20"/>
                <w:szCs w:val="20"/>
              </w:rPr>
              <w:br/>
              <w:t>(приложение № 3 к приказу ФАС России</w:t>
            </w:r>
            <w:r w:rsidRPr="00A52C2F">
              <w:rPr>
                <w:rFonts w:ascii="Times New Roman" w:hAnsi="Times New Roman" w:cs="Times New Roman"/>
                <w:sz w:val="20"/>
                <w:szCs w:val="20"/>
              </w:rPr>
              <w:br/>
              <w:t>от 29.08.2018 № 1232/18)</w:t>
            </w:r>
          </w:p>
        </w:tc>
        <w:tc>
          <w:tcPr>
            <w:tcW w:w="1701" w:type="dxa"/>
            <w:vMerge w:val="restart"/>
            <w:noWrap/>
            <w:hideMark/>
          </w:tcPr>
          <w:p w14:paraId="5DDE3C14"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40,5/38,9/43,2</w:t>
            </w:r>
          </w:p>
        </w:tc>
        <w:tc>
          <w:tcPr>
            <w:tcW w:w="1419" w:type="dxa"/>
            <w:vMerge w:val="restart"/>
            <w:noWrap/>
            <w:hideMark/>
          </w:tcPr>
          <w:p w14:paraId="31B3AE19"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36,7</w:t>
            </w:r>
          </w:p>
        </w:tc>
      </w:tr>
      <w:tr w:rsidR="00DF030D" w:rsidRPr="00DF030D" w14:paraId="7621E728" w14:textId="77777777" w:rsidTr="00D674E2">
        <w:trPr>
          <w:trHeight w:val="20"/>
        </w:trPr>
        <w:tc>
          <w:tcPr>
            <w:tcW w:w="536" w:type="dxa"/>
            <w:vMerge/>
            <w:hideMark/>
          </w:tcPr>
          <w:p w14:paraId="63ECC0F3" w14:textId="77777777" w:rsidR="00DF030D" w:rsidRPr="00A52C2F" w:rsidRDefault="00DF030D" w:rsidP="00D674E2">
            <w:pPr>
              <w:rPr>
                <w:rFonts w:ascii="Times New Roman" w:hAnsi="Times New Roman" w:cs="Times New Roman"/>
                <w:sz w:val="20"/>
                <w:szCs w:val="20"/>
              </w:rPr>
            </w:pPr>
          </w:p>
        </w:tc>
        <w:tc>
          <w:tcPr>
            <w:tcW w:w="1460" w:type="dxa"/>
            <w:vMerge/>
            <w:hideMark/>
          </w:tcPr>
          <w:p w14:paraId="0CB32577" w14:textId="77777777" w:rsidR="00DF030D" w:rsidRPr="00A52C2F" w:rsidRDefault="00DF030D" w:rsidP="00D674E2">
            <w:pPr>
              <w:rPr>
                <w:rFonts w:ascii="Times New Roman" w:hAnsi="Times New Roman" w:cs="Times New Roman"/>
                <w:sz w:val="20"/>
                <w:szCs w:val="20"/>
              </w:rPr>
            </w:pPr>
          </w:p>
        </w:tc>
        <w:tc>
          <w:tcPr>
            <w:tcW w:w="2115" w:type="dxa"/>
            <w:hideMark/>
          </w:tcPr>
          <w:p w14:paraId="4FB0EB05"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2. Доля детей с ограниченными возможностями здоровья (в возрасте до 3 лет), получающих услуги ранней диагностики, социализации </w:t>
            </w:r>
            <w:r w:rsidRPr="00A52C2F">
              <w:rPr>
                <w:rFonts w:ascii="Times New Roman" w:hAnsi="Times New Roman" w:cs="Times New Roman"/>
                <w:sz w:val="20"/>
                <w:szCs w:val="20"/>
              </w:rPr>
              <w:br/>
              <w:t xml:space="preserve">и реабилитации в частных организациях сферы услуг психолого-педагогического сопровождения детей, в общей численности детей </w:t>
            </w:r>
            <w:r w:rsidRPr="00A52C2F">
              <w:rPr>
                <w:rFonts w:ascii="Times New Roman" w:hAnsi="Times New Roman" w:cs="Times New Roman"/>
                <w:sz w:val="20"/>
                <w:szCs w:val="20"/>
              </w:rPr>
              <w:br/>
              <w:t xml:space="preserve">с ограниченными возможностями здоровья </w:t>
            </w:r>
            <w:r w:rsidRPr="00A52C2F">
              <w:rPr>
                <w:rFonts w:ascii="Times New Roman" w:hAnsi="Times New Roman" w:cs="Times New Roman"/>
                <w:sz w:val="20"/>
                <w:szCs w:val="20"/>
              </w:rPr>
              <w:br/>
              <w:t xml:space="preserve">(в возрасте до 3 лет), получающих услуги ранней диагностики, </w:t>
            </w:r>
            <w:r w:rsidRPr="00A52C2F">
              <w:rPr>
                <w:rFonts w:ascii="Times New Roman" w:hAnsi="Times New Roman" w:cs="Times New Roman"/>
                <w:sz w:val="20"/>
                <w:szCs w:val="20"/>
              </w:rPr>
              <w:lastRenderedPageBreak/>
              <w:t xml:space="preserve">социализации и реабилитации, </w:t>
            </w:r>
            <w:r w:rsidRPr="00A52C2F">
              <w:rPr>
                <w:rFonts w:ascii="Times New Roman" w:hAnsi="Times New Roman" w:cs="Times New Roman"/>
                <w:b/>
                <w:sz w:val="20"/>
                <w:szCs w:val="20"/>
              </w:rPr>
              <w:t>%</w:t>
            </w:r>
          </w:p>
        </w:tc>
        <w:tc>
          <w:tcPr>
            <w:tcW w:w="993" w:type="dxa"/>
            <w:hideMark/>
          </w:tcPr>
          <w:p w14:paraId="5134FFC6"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5,2</w:t>
            </w:r>
          </w:p>
        </w:tc>
        <w:tc>
          <w:tcPr>
            <w:tcW w:w="1275" w:type="dxa"/>
            <w:hideMark/>
          </w:tcPr>
          <w:p w14:paraId="79452A6A"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8</w:t>
            </w:r>
          </w:p>
        </w:tc>
        <w:tc>
          <w:tcPr>
            <w:tcW w:w="993" w:type="dxa"/>
            <w:hideMark/>
          </w:tcPr>
          <w:p w14:paraId="6D791C64"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8,12</w:t>
            </w:r>
          </w:p>
        </w:tc>
        <w:tc>
          <w:tcPr>
            <w:tcW w:w="2551" w:type="dxa"/>
            <w:hideMark/>
          </w:tcPr>
          <w:p w14:paraId="5A431A25"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Ведомственные данные министерства труда и социального развития Новосибирской области </w:t>
            </w:r>
          </w:p>
        </w:tc>
        <w:tc>
          <w:tcPr>
            <w:tcW w:w="1701" w:type="dxa"/>
            <w:hideMark/>
          </w:tcPr>
          <w:p w14:paraId="5B4ED3FB" w14:textId="77777777" w:rsidR="00DF030D" w:rsidRPr="00A52C2F" w:rsidRDefault="00DF030D" w:rsidP="00D674E2">
            <w:pPr>
              <w:rPr>
                <w:rFonts w:ascii="Times New Roman" w:hAnsi="Times New Roman" w:cs="Times New Roman"/>
                <w:sz w:val="20"/>
                <w:szCs w:val="20"/>
              </w:rPr>
            </w:pPr>
            <w:r w:rsidRPr="00A52C2F">
              <w:rPr>
                <w:rFonts w:ascii="Times New Roman" w:hAnsi="Times New Roman" w:cs="Times New Roman"/>
                <w:sz w:val="20"/>
                <w:szCs w:val="20"/>
              </w:rPr>
              <w:t xml:space="preserve"> Методика по расчету ключевых показателей развития конкуренции на рынке услуг психолого-педагогического сопровождения детей с ограниченными возможностями здоровья в субъектах Российской Федерации</w:t>
            </w:r>
            <w:r w:rsidRPr="00A52C2F">
              <w:rPr>
                <w:rFonts w:ascii="Times New Roman" w:hAnsi="Times New Roman" w:cs="Times New Roman"/>
                <w:sz w:val="20"/>
                <w:szCs w:val="20"/>
              </w:rPr>
              <w:br/>
              <w:t>(приложение № 3 к приказу ФАС России</w:t>
            </w:r>
            <w:r w:rsidRPr="00A52C2F">
              <w:rPr>
                <w:rFonts w:ascii="Times New Roman" w:hAnsi="Times New Roman" w:cs="Times New Roman"/>
                <w:sz w:val="20"/>
                <w:szCs w:val="20"/>
              </w:rPr>
              <w:br/>
              <w:t>от 29.08.2018 N 1232/18)</w:t>
            </w:r>
          </w:p>
        </w:tc>
        <w:tc>
          <w:tcPr>
            <w:tcW w:w="1701" w:type="dxa"/>
            <w:vMerge/>
            <w:noWrap/>
            <w:hideMark/>
          </w:tcPr>
          <w:p w14:paraId="7A273C84" w14:textId="77777777" w:rsidR="00DF030D" w:rsidRPr="00A52C2F" w:rsidRDefault="00DF030D" w:rsidP="00D674E2">
            <w:pPr>
              <w:rPr>
                <w:rFonts w:ascii="Times New Roman" w:hAnsi="Times New Roman" w:cs="Times New Roman"/>
                <w:sz w:val="20"/>
                <w:szCs w:val="20"/>
              </w:rPr>
            </w:pPr>
          </w:p>
        </w:tc>
        <w:tc>
          <w:tcPr>
            <w:tcW w:w="1419" w:type="dxa"/>
            <w:vMerge/>
            <w:noWrap/>
            <w:hideMark/>
          </w:tcPr>
          <w:p w14:paraId="4E498937" w14:textId="77777777" w:rsidR="00DF030D" w:rsidRPr="00A52C2F" w:rsidRDefault="00DF030D" w:rsidP="00D674E2">
            <w:pPr>
              <w:rPr>
                <w:rFonts w:ascii="Times New Roman" w:hAnsi="Times New Roman" w:cs="Times New Roman"/>
                <w:sz w:val="20"/>
                <w:szCs w:val="20"/>
              </w:rPr>
            </w:pPr>
          </w:p>
        </w:tc>
      </w:tr>
      <w:tr w:rsidR="00F41852" w:rsidRPr="00DF030D" w14:paraId="2BB0F361" w14:textId="77777777" w:rsidTr="00D674E2">
        <w:trPr>
          <w:trHeight w:val="20"/>
        </w:trPr>
        <w:tc>
          <w:tcPr>
            <w:tcW w:w="536" w:type="dxa"/>
            <w:hideMark/>
          </w:tcPr>
          <w:p w14:paraId="0DADE41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8.</w:t>
            </w:r>
          </w:p>
        </w:tc>
        <w:tc>
          <w:tcPr>
            <w:tcW w:w="1460" w:type="dxa"/>
            <w:hideMark/>
          </w:tcPr>
          <w:p w14:paraId="63150CAB"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социальных услуг</w:t>
            </w:r>
          </w:p>
        </w:tc>
        <w:tc>
          <w:tcPr>
            <w:tcW w:w="2115" w:type="dxa"/>
            <w:hideMark/>
          </w:tcPr>
          <w:p w14:paraId="3993D7AF"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негосударственных организаций социального обслуживания, предоставляющих социальные услуги, </w:t>
            </w:r>
            <w:r w:rsidRPr="00A52C2F">
              <w:rPr>
                <w:rFonts w:ascii="Times New Roman" w:hAnsi="Times New Roman" w:cs="Times New Roman"/>
                <w:b/>
                <w:sz w:val="20"/>
                <w:szCs w:val="20"/>
              </w:rPr>
              <w:t>%</w:t>
            </w:r>
          </w:p>
        </w:tc>
        <w:tc>
          <w:tcPr>
            <w:tcW w:w="993" w:type="dxa"/>
            <w:hideMark/>
          </w:tcPr>
          <w:p w14:paraId="77C62D1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28,6</w:t>
            </w:r>
          </w:p>
        </w:tc>
        <w:tc>
          <w:tcPr>
            <w:tcW w:w="1275" w:type="dxa"/>
            <w:hideMark/>
          </w:tcPr>
          <w:p w14:paraId="08BBAC8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29</w:t>
            </w:r>
          </w:p>
        </w:tc>
        <w:tc>
          <w:tcPr>
            <w:tcW w:w="993" w:type="dxa"/>
            <w:hideMark/>
          </w:tcPr>
          <w:p w14:paraId="22D5CE1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30</w:t>
            </w:r>
          </w:p>
        </w:tc>
        <w:tc>
          <w:tcPr>
            <w:tcW w:w="2551" w:type="dxa"/>
            <w:hideMark/>
          </w:tcPr>
          <w:p w14:paraId="7F4F500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Ведомственные данные министерства труда и социального развития Новосибирской области (соглашения с получателями субсидий, приказы о перечислении средств)</w:t>
            </w:r>
          </w:p>
        </w:tc>
        <w:tc>
          <w:tcPr>
            <w:tcW w:w="1701" w:type="dxa"/>
            <w:hideMark/>
          </w:tcPr>
          <w:p w14:paraId="20BDB49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Методика по расчету ключевого показателя развития конкуренции на рынке социальных услуг в субъектах Российской Федерации</w:t>
            </w:r>
            <w:r w:rsidRPr="00A52C2F">
              <w:rPr>
                <w:rFonts w:ascii="Times New Roman" w:hAnsi="Times New Roman" w:cs="Times New Roman"/>
                <w:sz w:val="20"/>
                <w:szCs w:val="20"/>
              </w:rPr>
              <w:br/>
              <w:t>(приложение № 4 к приказу ФАС России</w:t>
            </w:r>
            <w:r w:rsidRPr="00A52C2F">
              <w:rPr>
                <w:rFonts w:ascii="Times New Roman" w:hAnsi="Times New Roman" w:cs="Times New Roman"/>
                <w:sz w:val="20"/>
                <w:szCs w:val="20"/>
              </w:rPr>
              <w:br/>
              <w:t>от 29.08.2018 № 1232/1)</w:t>
            </w:r>
          </w:p>
        </w:tc>
        <w:tc>
          <w:tcPr>
            <w:tcW w:w="1701" w:type="dxa"/>
            <w:noWrap/>
            <w:hideMark/>
          </w:tcPr>
          <w:p w14:paraId="28C610E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48,4/45,1/47,0</w:t>
            </w:r>
          </w:p>
        </w:tc>
        <w:tc>
          <w:tcPr>
            <w:tcW w:w="1419" w:type="dxa"/>
            <w:noWrap/>
            <w:hideMark/>
          </w:tcPr>
          <w:p w14:paraId="51830DB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33,3</w:t>
            </w:r>
          </w:p>
        </w:tc>
      </w:tr>
      <w:tr w:rsidR="00F41852" w:rsidRPr="00DF030D" w14:paraId="5D4869AD" w14:textId="77777777" w:rsidTr="00D674E2">
        <w:trPr>
          <w:trHeight w:val="20"/>
        </w:trPr>
        <w:tc>
          <w:tcPr>
            <w:tcW w:w="536" w:type="dxa"/>
            <w:hideMark/>
          </w:tcPr>
          <w:p w14:paraId="3E758CE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w:t>
            </w:r>
          </w:p>
        </w:tc>
        <w:tc>
          <w:tcPr>
            <w:tcW w:w="1460" w:type="dxa"/>
            <w:hideMark/>
          </w:tcPr>
          <w:p w14:paraId="3EAC653F"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теплоснабжения (производство тепловой энергии)</w:t>
            </w:r>
          </w:p>
        </w:tc>
        <w:tc>
          <w:tcPr>
            <w:tcW w:w="2115" w:type="dxa"/>
            <w:hideMark/>
          </w:tcPr>
          <w:p w14:paraId="76B4F31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w:t>
            </w:r>
            <w:r w:rsidRPr="00A52C2F">
              <w:rPr>
                <w:rFonts w:ascii="Times New Roman" w:hAnsi="Times New Roman" w:cs="Times New Roman"/>
                <w:sz w:val="20"/>
                <w:szCs w:val="20"/>
              </w:rPr>
              <w:br/>
              <w:t xml:space="preserve">в сфере теплоснабжения (производство тепловой энергии), </w:t>
            </w:r>
            <w:r w:rsidRPr="00A52C2F">
              <w:rPr>
                <w:rFonts w:ascii="Times New Roman" w:hAnsi="Times New Roman" w:cs="Times New Roman"/>
                <w:b/>
                <w:sz w:val="20"/>
                <w:szCs w:val="20"/>
              </w:rPr>
              <w:t>%</w:t>
            </w:r>
          </w:p>
        </w:tc>
        <w:tc>
          <w:tcPr>
            <w:tcW w:w="993" w:type="dxa"/>
            <w:hideMark/>
          </w:tcPr>
          <w:p w14:paraId="16DF4F1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81,3</w:t>
            </w:r>
          </w:p>
        </w:tc>
        <w:tc>
          <w:tcPr>
            <w:tcW w:w="1275" w:type="dxa"/>
            <w:hideMark/>
          </w:tcPr>
          <w:p w14:paraId="0FEAF29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81,3</w:t>
            </w:r>
          </w:p>
        </w:tc>
        <w:tc>
          <w:tcPr>
            <w:tcW w:w="993" w:type="dxa"/>
            <w:hideMark/>
          </w:tcPr>
          <w:p w14:paraId="43684EC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88</w:t>
            </w:r>
          </w:p>
        </w:tc>
        <w:tc>
          <w:tcPr>
            <w:tcW w:w="2551" w:type="dxa"/>
            <w:hideMark/>
          </w:tcPr>
          <w:p w14:paraId="13A3520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 Данные ФГИС «ЕИАС». SUMMARY.BALANCE.CALC.TARIFF.WARM.2018.FACT Новосибирская область</w:t>
            </w:r>
          </w:p>
        </w:tc>
        <w:tc>
          <w:tcPr>
            <w:tcW w:w="1701" w:type="dxa"/>
            <w:hideMark/>
          </w:tcPr>
          <w:p w14:paraId="7B8DDA2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Методика по расчету ключевого показателя развития конкуренции на рынке теплоснабжения (производства тепловой энергии) в субъектах Российской Федерации (приложение № 24</w:t>
            </w:r>
            <w:r w:rsidRPr="00A52C2F">
              <w:rPr>
                <w:rFonts w:ascii="Times New Roman" w:hAnsi="Times New Roman" w:cs="Times New Roman"/>
                <w:sz w:val="20"/>
                <w:szCs w:val="20"/>
              </w:rPr>
              <w:br/>
            </w:r>
            <w:r w:rsidRPr="00A52C2F">
              <w:rPr>
                <w:rFonts w:ascii="Times New Roman" w:hAnsi="Times New Roman" w:cs="Times New Roman"/>
                <w:sz w:val="20"/>
                <w:szCs w:val="20"/>
              </w:rPr>
              <w:lastRenderedPageBreak/>
              <w:t>к приказу ФАС России от 29.08.2018 № 1232/18)</w:t>
            </w:r>
          </w:p>
        </w:tc>
        <w:tc>
          <w:tcPr>
            <w:tcW w:w="1701" w:type="dxa"/>
            <w:noWrap/>
            <w:hideMark/>
          </w:tcPr>
          <w:p w14:paraId="0BF74305"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58,7/40,0/45,5</w:t>
            </w:r>
          </w:p>
        </w:tc>
        <w:tc>
          <w:tcPr>
            <w:tcW w:w="1419" w:type="dxa"/>
            <w:noWrap/>
            <w:hideMark/>
          </w:tcPr>
          <w:p w14:paraId="27D2CE7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50</w:t>
            </w:r>
          </w:p>
        </w:tc>
      </w:tr>
      <w:tr w:rsidR="00F41852" w:rsidRPr="00DF030D" w14:paraId="488727F0" w14:textId="77777777" w:rsidTr="00D674E2">
        <w:trPr>
          <w:trHeight w:val="20"/>
        </w:trPr>
        <w:tc>
          <w:tcPr>
            <w:tcW w:w="536" w:type="dxa"/>
            <w:hideMark/>
          </w:tcPr>
          <w:p w14:paraId="3E0AEAA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w:t>
            </w:r>
          </w:p>
        </w:tc>
        <w:tc>
          <w:tcPr>
            <w:tcW w:w="1460" w:type="dxa"/>
            <w:hideMark/>
          </w:tcPr>
          <w:p w14:paraId="43D8526C"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услуг по сбору и транспортированию твердых коммунальных отходов</w:t>
            </w:r>
          </w:p>
        </w:tc>
        <w:tc>
          <w:tcPr>
            <w:tcW w:w="2115" w:type="dxa"/>
            <w:hideMark/>
          </w:tcPr>
          <w:p w14:paraId="5CDEBF97"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в сфере услуг по сбору и транспортированию твердых коммунальных отходов, </w:t>
            </w:r>
            <w:r w:rsidRPr="00A52C2F">
              <w:rPr>
                <w:rFonts w:ascii="Times New Roman" w:hAnsi="Times New Roman" w:cs="Times New Roman"/>
                <w:b/>
                <w:sz w:val="20"/>
                <w:szCs w:val="20"/>
              </w:rPr>
              <w:t>%</w:t>
            </w:r>
          </w:p>
        </w:tc>
        <w:tc>
          <w:tcPr>
            <w:tcW w:w="993" w:type="dxa"/>
            <w:hideMark/>
          </w:tcPr>
          <w:p w14:paraId="6868F33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50</w:t>
            </w:r>
          </w:p>
        </w:tc>
        <w:tc>
          <w:tcPr>
            <w:tcW w:w="1275" w:type="dxa"/>
            <w:hideMark/>
          </w:tcPr>
          <w:p w14:paraId="1D46C23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94</w:t>
            </w:r>
          </w:p>
        </w:tc>
        <w:tc>
          <w:tcPr>
            <w:tcW w:w="993" w:type="dxa"/>
            <w:hideMark/>
          </w:tcPr>
          <w:p w14:paraId="3E95BE4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95,3</w:t>
            </w:r>
          </w:p>
        </w:tc>
        <w:tc>
          <w:tcPr>
            <w:tcW w:w="2551" w:type="dxa"/>
            <w:hideMark/>
          </w:tcPr>
          <w:p w14:paraId="11B08A4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Ежемесячные отчеты регионального оператора по обращению с твердыми коммунальными отходами на территории Новосибирской области – ООО «Экология-Новосибирск»</w:t>
            </w:r>
          </w:p>
        </w:tc>
        <w:tc>
          <w:tcPr>
            <w:tcW w:w="1701" w:type="dxa"/>
            <w:hideMark/>
          </w:tcPr>
          <w:p w14:paraId="3CB55DEC"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Методика по расчету ключевого показателя развития конкуренции на рынке услуг по сбору и транспортированию твердых коммунальных отходов в субъектах Российской Федерации</w:t>
            </w:r>
            <w:r w:rsidRPr="00A52C2F">
              <w:rPr>
                <w:rFonts w:ascii="Times New Roman" w:hAnsi="Times New Roman" w:cs="Times New Roman"/>
                <w:sz w:val="20"/>
                <w:szCs w:val="20"/>
              </w:rPr>
              <w:br/>
              <w:t>(приложение № 25 к приказу ФАС России</w:t>
            </w:r>
            <w:r w:rsidRPr="00A52C2F">
              <w:rPr>
                <w:rFonts w:ascii="Times New Roman" w:hAnsi="Times New Roman" w:cs="Times New Roman"/>
                <w:sz w:val="20"/>
                <w:szCs w:val="20"/>
              </w:rPr>
              <w:br/>
              <w:t>от 29.08.2018 № 1232/18)</w:t>
            </w:r>
          </w:p>
        </w:tc>
        <w:tc>
          <w:tcPr>
            <w:tcW w:w="1701" w:type="dxa"/>
            <w:noWrap/>
            <w:hideMark/>
          </w:tcPr>
          <w:p w14:paraId="14E0ECF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51,1/42,2/40,5</w:t>
            </w:r>
          </w:p>
        </w:tc>
        <w:tc>
          <w:tcPr>
            <w:tcW w:w="1419" w:type="dxa"/>
            <w:noWrap/>
            <w:hideMark/>
          </w:tcPr>
          <w:p w14:paraId="13EEBAF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17,1</w:t>
            </w:r>
          </w:p>
        </w:tc>
      </w:tr>
      <w:tr w:rsidR="00F41852" w:rsidRPr="00DF030D" w14:paraId="7C596C4C" w14:textId="77777777" w:rsidTr="00D674E2">
        <w:trPr>
          <w:trHeight w:val="20"/>
        </w:trPr>
        <w:tc>
          <w:tcPr>
            <w:tcW w:w="536" w:type="dxa"/>
            <w:hideMark/>
          </w:tcPr>
          <w:p w14:paraId="0414015A"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11.</w:t>
            </w:r>
          </w:p>
        </w:tc>
        <w:tc>
          <w:tcPr>
            <w:tcW w:w="1460" w:type="dxa"/>
            <w:hideMark/>
          </w:tcPr>
          <w:p w14:paraId="0E848109" w14:textId="77777777" w:rsidR="00F41852" w:rsidRPr="00A52C2F"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w:t>
            </w:r>
            <w:r w:rsidRPr="00A52C2F">
              <w:rPr>
                <w:rFonts w:ascii="Times New Roman" w:hAnsi="Times New Roman" w:cs="Times New Roman"/>
                <w:sz w:val="20"/>
                <w:szCs w:val="20"/>
              </w:rPr>
              <w:t xml:space="preserve"> выполнения работ по благоустройству городской среды </w:t>
            </w:r>
          </w:p>
        </w:tc>
        <w:tc>
          <w:tcPr>
            <w:tcW w:w="2115" w:type="dxa"/>
            <w:hideMark/>
          </w:tcPr>
          <w:p w14:paraId="0C56F79C"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в сфере выполнения работ по благоустройству городской среды, </w:t>
            </w:r>
            <w:r w:rsidRPr="00A52C2F">
              <w:rPr>
                <w:rFonts w:ascii="Times New Roman" w:hAnsi="Times New Roman" w:cs="Times New Roman"/>
                <w:b/>
                <w:sz w:val="20"/>
                <w:szCs w:val="20"/>
              </w:rPr>
              <w:t>%</w:t>
            </w:r>
          </w:p>
        </w:tc>
        <w:tc>
          <w:tcPr>
            <w:tcW w:w="993" w:type="dxa"/>
            <w:hideMark/>
          </w:tcPr>
          <w:p w14:paraId="7F65DE2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86</w:t>
            </w:r>
          </w:p>
        </w:tc>
        <w:tc>
          <w:tcPr>
            <w:tcW w:w="1275" w:type="dxa"/>
            <w:hideMark/>
          </w:tcPr>
          <w:p w14:paraId="02079C9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90</w:t>
            </w:r>
          </w:p>
        </w:tc>
        <w:tc>
          <w:tcPr>
            <w:tcW w:w="993" w:type="dxa"/>
            <w:hideMark/>
          </w:tcPr>
          <w:p w14:paraId="790FF9F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93,8</w:t>
            </w:r>
          </w:p>
        </w:tc>
        <w:tc>
          <w:tcPr>
            <w:tcW w:w="2551" w:type="dxa"/>
            <w:hideMark/>
          </w:tcPr>
          <w:p w14:paraId="74F65FA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Данные органов местного самоуправления муниципальных образований Новосибирской области</w:t>
            </w:r>
          </w:p>
        </w:tc>
        <w:tc>
          <w:tcPr>
            <w:tcW w:w="1701" w:type="dxa"/>
            <w:hideMark/>
          </w:tcPr>
          <w:p w14:paraId="2ABFE36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Методика по расчету ключевого показателя развития конкуренции на рынке выполнения </w:t>
            </w:r>
            <w:r w:rsidRPr="00A52C2F">
              <w:rPr>
                <w:rFonts w:ascii="Times New Roman" w:hAnsi="Times New Roman" w:cs="Times New Roman"/>
                <w:sz w:val="20"/>
                <w:szCs w:val="20"/>
              </w:rPr>
              <w:lastRenderedPageBreak/>
              <w:t>работ по благоустройству городской среды в субъектах Российской Федерации</w:t>
            </w:r>
            <w:r w:rsidRPr="00A52C2F">
              <w:rPr>
                <w:rFonts w:ascii="Times New Roman" w:hAnsi="Times New Roman" w:cs="Times New Roman"/>
                <w:sz w:val="20"/>
                <w:szCs w:val="20"/>
              </w:rPr>
              <w:br/>
              <w:t>(приложение № 26 к приказу ФАС России</w:t>
            </w:r>
            <w:r w:rsidRPr="00A52C2F">
              <w:rPr>
                <w:rFonts w:ascii="Times New Roman" w:hAnsi="Times New Roman" w:cs="Times New Roman"/>
                <w:sz w:val="20"/>
                <w:szCs w:val="20"/>
              </w:rPr>
              <w:br/>
              <w:t>от 29.08.2018 № 1232/18)</w:t>
            </w:r>
          </w:p>
        </w:tc>
        <w:tc>
          <w:tcPr>
            <w:tcW w:w="1701" w:type="dxa"/>
            <w:noWrap/>
            <w:hideMark/>
          </w:tcPr>
          <w:p w14:paraId="1E82E11F"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40/38,3/38,6</w:t>
            </w:r>
          </w:p>
        </w:tc>
        <w:tc>
          <w:tcPr>
            <w:tcW w:w="1419" w:type="dxa"/>
            <w:noWrap/>
            <w:hideMark/>
          </w:tcPr>
          <w:p w14:paraId="1E0336C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17,8</w:t>
            </w:r>
          </w:p>
        </w:tc>
      </w:tr>
      <w:tr w:rsidR="00F41852" w:rsidRPr="00DF030D" w14:paraId="4E4761E4" w14:textId="77777777" w:rsidTr="00D674E2">
        <w:trPr>
          <w:trHeight w:val="20"/>
        </w:trPr>
        <w:tc>
          <w:tcPr>
            <w:tcW w:w="536" w:type="dxa"/>
            <w:hideMark/>
          </w:tcPr>
          <w:p w14:paraId="0D9C910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12.</w:t>
            </w:r>
          </w:p>
        </w:tc>
        <w:tc>
          <w:tcPr>
            <w:tcW w:w="1460" w:type="dxa"/>
            <w:hideMark/>
          </w:tcPr>
          <w:p w14:paraId="4A7579DC" w14:textId="77777777" w:rsidR="00F41852" w:rsidRPr="00A52C2F"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выпо</w:t>
            </w:r>
            <w:r w:rsidRPr="00A52C2F">
              <w:rPr>
                <w:rFonts w:ascii="Times New Roman" w:hAnsi="Times New Roman" w:cs="Times New Roman"/>
                <w:sz w:val="20"/>
                <w:szCs w:val="20"/>
              </w:rPr>
              <w:t>лнения работ по содержанию и текущему ремонту общего имущества</w:t>
            </w:r>
            <w:r w:rsidRPr="00A52C2F">
              <w:rPr>
                <w:rFonts w:ascii="Times New Roman" w:hAnsi="Times New Roman" w:cs="Times New Roman"/>
                <w:sz w:val="20"/>
                <w:szCs w:val="20"/>
              </w:rPr>
              <w:br/>
              <w:t>собственников помещений в многоквартирном доме</w:t>
            </w:r>
          </w:p>
        </w:tc>
        <w:tc>
          <w:tcPr>
            <w:tcW w:w="2115" w:type="dxa"/>
            <w:hideMark/>
          </w:tcPr>
          <w:p w14:paraId="17D0DA7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w:t>
            </w:r>
            <w:r w:rsidRPr="00A52C2F">
              <w:rPr>
                <w:rFonts w:ascii="Times New Roman" w:hAnsi="Times New Roman" w:cs="Times New Roman"/>
                <w:sz w:val="20"/>
                <w:szCs w:val="20"/>
              </w:rPr>
              <w:br/>
              <w:t xml:space="preserve">в сфере выполнения работ по содержанию и текущему ремонту общего имущества собственников помещений в многоквартирном доме, </w:t>
            </w:r>
            <w:r w:rsidRPr="00A52C2F">
              <w:rPr>
                <w:rFonts w:ascii="Times New Roman" w:hAnsi="Times New Roman" w:cs="Times New Roman"/>
                <w:b/>
                <w:sz w:val="20"/>
                <w:szCs w:val="20"/>
              </w:rPr>
              <w:t>%</w:t>
            </w:r>
          </w:p>
        </w:tc>
        <w:tc>
          <w:tcPr>
            <w:tcW w:w="993" w:type="dxa"/>
            <w:hideMark/>
          </w:tcPr>
          <w:p w14:paraId="4259F68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92,9</w:t>
            </w:r>
          </w:p>
        </w:tc>
        <w:tc>
          <w:tcPr>
            <w:tcW w:w="1275" w:type="dxa"/>
            <w:hideMark/>
          </w:tcPr>
          <w:p w14:paraId="10525C3A"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93,1</w:t>
            </w:r>
          </w:p>
        </w:tc>
        <w:tc>
          <w:tcPr>
            <w:tcW w:w="993" w:type="dxa"/>
            <w:hideMark/>
          </w:tcPr>
          <w:p w14:paraId="42A8DAB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94,5</w:t>
            </w:r>
          </w:p>
        </w:tc>
        <w:tc>
          <w:tcPr>
            <w:tcW w:w="2551" w:type="dxa"/>
            <w:hideMark/>
          </w:tcPr>
          <w:p w14:paraId="62DC4AF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Статистический отчет по форме 22-ЖКХ (реформа). «Сведения о структурных преобразованиях и</w:t>
            </w:r>
            <w:r w:rsidRPr="00A52C2F">
              <w:rPr>
                <w:rFonts w:ascii="Times New Roman" w:hAnsi="Times New Roman" w:cs="Times New Roman"/>
                <w:sz w:val="20"/>
                <w:szCs w:val="20"/>
              </w:rPr>
              <w:br/>
              <w:t>организационных мероприятиях»</w:t>
            </w:r>
          </w:p>
        </w:tc>
        <w:tc>
          <w:tcPr>
            <w:tcW w:w="1701" w:type="dxa"/>
            <w:hideMark/>
          </w:tcPr>
          <w:p w14:paraId="3833E7E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Методика по расчету ключевого показателя развития конкуренции на рынке выполнения работ по содержанию и текущему ремонту общего имущества собственников помещений в многоквартирном доме</w:t>
            </w:r>
            <w:r w:rsidRPr="00A52C2F">
              <w:rPr>
                <w:rFonts w:ascii="Times New Roman" w:hAnsi="Times New Roman" w:cs="Times New Roman"/>
                <w:sz w:val="20"/>
                <w:szCs w:val="20"/>
              </w:rPr>
              <w:br/>
              <w:t xml:space="preserve">(Приложение № 27 к приказу ФАС России от </w:t>
            </w:r>
            <w:r w:rsidRPr="00A52C2F">
              <w:rPr>
                <w:rFonts w:ascii="Times New Roman" w:hAnsi="Times New Roman" w:cs="Times New Roman"/>
                <w:sz w:val="20"/>
                <w:szCs w:val="20"/>
              </w:rPr>
              <w:lastRenderedPageBreak/>
              <w:t>29.08.2018 № 1232/18)</w:t>
            </w:r>
          </w:p>
        </w:tc>
        <w:tc>
          <w:tcPr>
            <w:tcW w:w="1701" w:type="dxa"/>
            <w:noWrap/>
            <w:hideMark/>
          </w:tcPr>
          <w:p w14:paraId="3A5549E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41,4/33,5/37,6</w:t>
            </w:r>
          </w:p>
        </w:tc>
        <w:tc>
          <w:tcPr>
            <w:tcW w:w="1419" w:type="dxa"/>
            <w:noWrap/>
            <w:hideMark/>
          </w:tcPr>
          <w:p w14:paraId="75014F2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22,5</w:t>
            </w:r>
          </w:p>
        </w:tc>
      </w:tr>
      <w:tr w:rsidR="00F41852" w:rsidRPr="00DF030D" w14:paraId="225423D1" w14:textId="77777777" w:rsidTr="00D674E2">
        <w:trPr>
          <w:trHeight w:val="20"/>
        </w:trPr>
        <w:tc>
          <w:tcPr>
            <w:tcW w:w="536" w:type="dxa"/>
            <w:hideMark/>
          </w:tcPr>
          <w:p w14:paraId="23833B1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13.</w:t>
            </w:r>
          </w:p>
        </w:tc>
        <w:tc>
          <w:tcPr>
            <w:tcW w:w="1460" w:type="dxa"/>
            <w:hideMark/>
          </w:tcPr>
          <w:p w14:paraId="7C7E1A2C"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поставки сжиженного газа в баллонах</w:t>
            </w:r>
          </w:p>
        </w:tc>
        <w:tc>
          <w:tcPr>
            <w:tcW w:w="2115" w:type="dxa"/>
            <w:hideMark/>
          </w:tcPr>
          <w:p w14:paraId="0CBEF4C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w:t>
            </w:r>
            <w:r w:rsidRPr="00A52C2F">
              <w:rPr>
                <w:rFonts w:ascii="Times New Roman" w:hAnsi="Times New Roman" w:cs="Times New Roman"/>
                <w:sz w:val="20"/>
                <w:szCs w:val="20"/>
              </w:rPr>
              <w:br/>
              <w:t xml:space="preserve">в сфере поставки сжиженного газа в баллонах, </w:t>
            </w:r>
            <w:r w:rsidRPr="00A52C2F">
              <w:rPr>
                <w:rFonts w:ascii="Times New Roman" w:hAnsi="Times New Roman" w:cs="Times New Roman"/>
                <w:b/>
                <w:sz w:val="20"/>
                <w:szCs w:val="20"/>
              </w:rPr>
              <w:t>%</w:t>
            </w:r>
          </w:p>
        </w:tc>
        <w:tc>
          <w:tcPr>
            <w:tcW w:w="993" w:type="dxa"/>
            <w:hideMark/>
          </w:tcPr>
          <w:p w14:paraId="14C08A2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1275" w:type="dxa"/>
            <w:hideMark/>
          </w:tcPr>
          <w:p w14:paraId="39818FB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993" w:type="dxa"/>
            <w:hideMark/>
          </w:tcPr>
          <w:p w14:paraId="3A72BE7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2551" w:type="dxa"/>
            <w:hideMark/>
          </w:tcPr>
          <w:p w14:paraId="5F00A48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В соответствии с постановлением Губернатора Новосибирской области от 09.10.2007 № 125-па «Об утверждении региональной газораспределительной организации по Новосибирской области, уполномоченной реализовывать сжиженный углеводородный газ для бытовых нужд»</w:t>
            </w:r>
          </w:p>
          <w:p w14:paraId="36B5BB9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на территории Новосибирской области организацией, уполномоченной реализовывать сжиженный углеводородный газ для бытовых нужд населения, является ООО «Новосибирскоблгаз». В связи с этим ключевой показатель = 100%</w:t>
            </w:r>
          </w:p>
        </w:tc>
        <w:tc>
          <w:tcPr>
            <w:tcW w:w="1701" w:type="dxa"/>
            <w:hideMark/>
          </w:tcPr>
          <w:p w14:paraId="74E99DA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Методика по расчету ключевого показателя развития конкуренции в субъектах Российской Федерации на рынке поставки сжиженного газа в баллонах</w:t>
            </w:r>
            <w:r w:rsidRPr="00A52C2F">
              <w:rPr>
                <w:rFonts w:ascii="Times New Roman" w:hAnsi="Times New Roman" w:cs="Times New Roman"/>
                <w:sz w:val="20"/>
                <w:szCs w:val="20"/>
              </w:rPr>
              <w:br/>
              <w:t>(приложение № 28 к приказу ФАС России от 29.08.2018 № 1232/18)</w:t>
            </w:r>
            <w:r w:rsidRPr="00A52C2F">
              <w:rPr>
                <w:rFonts w:ascii="Times New Roman" w:hAnsi="Times New Roman" w:cs="Times New Roman"/>
                <w:sz w:val="20"/>
                <w:szCs w:val="20"/>
              </w:rPr>
              <w:br/>
            </w:r>
          </w:p>
        </w:tc>
        <w:tc>
          <w:tcPr>
            <w:tcW w:w="1701" w:type="dxa"/>
            <w:noWrap/>
            <w:hideMark/>
          </w:tcPr>
          <w:p w14:paraId="4152637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70,1/59,0/66,7</w:t>
            </w:r>
          </w:p>
        </w:tc>
        <w:tc>
          <w:tcPr>
            <w:tcW w:w="1419" w:type="dxa"/>
            <w:noWrap/>
            <w:hideMark/>
          </w:tcPr>
          <w:p w14:paraId="10BF9F6F"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48,4</w:t>
            </w:r>
          </w:p>
        </w:tc>
      </w:tr>
      <w:tr w:rsidR="00F41852" w:rsidRPr="00DF030D" w14:paraId="0E3E1567" w14:textId="77777777" w:rsidTr="00D674E2">
        <w:trPr>
          <w:trHeight w:val="20"/>
        </w:trPr>
        <w:tc>
          <w:tcPr>
            <w:tcW w:w="536" w:type="dxa"/>
            <w:hideMark/>
          </w:tcPr>
          <w:p w14:paraId="10EECF2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14.</w:t>
            </w:r>
          </w:p>
        </w:tc>
        <w:tc>
          <w:tcPr>
            <w:tcW w:w="1460" w:type="dxa"/>
            <w:hideMark/>
          </w:tcPr>
          <w:p w14:paraId="348D2CC2" w14:textId="77777777" w:rsidR="00F41852" w:rsidRPr="00A52C2F"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w:t>
            </w:r>
            <w:r w:rsidRPr="00A52C2F">
              <w:rPr>
                <w:rFonts w:ascii="Times New Roman" w:hAnsi="Times New Roman" w:cs="Times New Roman"/>
                <w:sz w:val="20"/>
                <w:szCs w:val="20"/>
              </w:rPr>
              <w:t xml:space="preserve"> купли-продажи электрической энергии </w:t>
            </w:r>
            <w:r w:rsidRPr="00A52C2F">
              <w:rPr>
                <w:rFonts w:ascii="Times New Roman" w:hAnsi="Times New Roman" w:cs="Times New Roman"/>
                <w:sz w:val="20"/>
                <w:szCs w:val="20"/>
              </w:rPr>
              <w:lastRenderedPageBreak/>
              <w:t>(мощности) на розничном рынке электрической энергии (мощности)</w:t>
            </w:r>
          </w:p>
        </w:tc>
        <w:tc>
          <w:tcPr>
            <w:tcW w:w="2115" w:type="dxa"/>
            <w:hideMark/>
          </w:tcPr>
          <w:p w14:paraId="26FAED6A"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 xml:space="preserve">Доля организаций частной формы собственности </w:t>
            </w:r>
            <w:r w:rsidRPr="00A52C2F">
              <w:rPr>
                <w:rFonts w:ascii="Times New Roman" w:hAnsi="Times New Roman" w:cs="Times New Roman"/>
                <w:sz w:val="20"/>
                <w:szCs w:val="20"/>
              </w:rPr>
              <w:br/>
              <w:t xml:space="preserve">в сфере купли-продажи </w:t>
            </w:r>
            <w:r w:rsidRPr="00A52C2F">
              <w:rPr>
                <w:rFonts w:ascii="Times New Roman" w:hAnsi="Times New Roman" w:cs="Times New Roman"/>
                <w:sz w:val="20"/>
                <w:szCs w:val="20"/>
              </w:rPr>
              <w:lastRenderedPageBreak/>
              <w:t>электрической энергии (мощности) на розничном рынке электрической энергии (мощности),</w:t>
            </w:r>
            <w:r w:rsidRPr="00A52C2F">
              <w:rPr>
                <w:rFonts w:ascii="Times New Roman" w:hAnsi="Times New Roman" w:cs="Times New Roman"/>
                <w:b/>
                <w:sz w:val="20"/>
                <w:szCs w:val="20"/>
              </w:rPr>
              <w:t xml:space="preserve"> %</w:t>
            </w:r>
          </w:p>
        </w:tc>
        <w:tc>
          <w:tcPr>
            <w:tcW w:w="993" w:type="dxa"/>
            <w:hideMark/>
          </w:tcPr>
          <w:p w14:paraId="0372B44F"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100</w:t>
            </w:r>
          </w:p>
        </w:tc>
        <w:tc>
          <w:tcPr>
            <w:tcW w:w="1275" w:type="dxa"/>
            <w:hideMark/>
          </w:tcPr>
          <w:p w14:paraId="627BE20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993" w:type="dxa"/>
            <w:hideMark/>
          </w:tcPr>
          <w:p w14:paraId="459B5AF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2551" w:type="dxa"/>
            <w:hideMark/>
          </w:tcPr>
          <w:p w14:paraId="73FDC4EA"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Ведомственные данные министерства жилищно-коммунального хозяйства и энергетики Новосибирской </w:t>
            </w:r>
            <w:r w:rsidRPr="00A52C2F">
              <w:rPr>
                <w:rFonts w:ascii="Times New Roman" w:hAnsi="Times New Roman" w:cs="Times New Roman"/>
                <w:sz w:val="20"/>
                <w:szCs w:val="20"/>
              </w:rPr>
              <w:lastRenderedPageBreak/>
              <w:t>области; департамента по тарифам Новосибирской области</w:t>
            </w:r>
          </w:p>
        </w:tc>
        <w:tc>
          <w:tcPr>
            <w:tcW w:w="1701" w:type="dxa"/>
            <w:hideMark/>
          </w:tcPr>
          <w:p w14:paraId="697849A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 xml:space="preserve"> Методика по расчету ключевого показателя развития </w:t>
            </w:r>
            <w:r w:rsidRPr="00A52C2F">
              <w:rPr>
                <w:rFonts w:ascii="Times New Roman" w:hAnsi="Times New Roman" w:cs="Times New Roman"/>
                <w:sz w:val="20"/>
                <w:szCs w:val="20"/>
              </w:rPr>
              <w:lastRenderedPageBreak/>
              <w:t>конкуренции в определенной сфере купли-продажи электроэнергии (мощности) на розничном рынке электрической энергии (мощности) в субъектах Российской Федерации (приложение № 29 к приказу ФАС России</w:t>
            </w:r>
            <w:r w:rsidRPr="00A52C2F">
              <w:rPr>
                <w:rFonts w:ascii="Times New Roman" w:hAnsi="Times New Roman" w:cs="Times New Roman"/>
                <w:sz w:val="20"/>
                <w:szCs w:val="20"/>
              </w:rPr>
              <w:br/>
              <w:t>от 29.08.2018 № 1232/18)</w:t>
            </w:r>
            <w:r w:rsidRPr="00A52C2F">
              <w:rPr>
                <w:rFonts w:ascii="Times New Roman" w:hAnsi="Times New Roman" w:cs="Times New Roman"/>
                <w:sz w:val="20"/>
                <w:szCs w:val="20"/>
              </w:rPr>
              <w:br/>
              <w:t xml:space="preserve">на территории Новосибирской области в сфере розничной купли-продажи электроэнергии (мощности) осуществляют деятельность только хозяйствующие </w:t>
            </w:r>
            <w:r w:rsidRPr="00A52C2F">
              <w:rPr>
                <w:rFonts w:ascii="Times New Roman" w:hAnsi="Times New Roman" w:cs="Times New Roman"/>
                <w:sz w:val="20"/>
                <w:szCs w:val="20"/>
              </w:rPr>
              <w:lastRenderedPageBreak/>
              <w:t>субъекты, имеющие частную форму собственности (АО «Новосибирскэнергосбыт» и ООО «Генерация Сибири»)</w:t>
            </w:r>
          </w:p>
        </w:tc>
        <w:tc>
          <w:tcPr>
            <w:tcW w:w="1701" w:type="dxa"/>
            <w:noWrap/>
            <w:hideMark/>
          </w:tcPr>
          <w:p w14:paraId="46AD92CF"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62,9/44,9/51,6</w:t>
            </w:r>
          </w:p>
        </w:tc>
        <w:tc>
          <w:tcPr>
            <w:tcW w:w="1419" w:type="dxa"/>
            <w:noWrap/>
            <w:hideMark/>
          </w:tcPr>
          <w:p w14:paraId="0BE5E99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40</w:t>
            </w:r>
          </w:p>
        </w:tc>
      </w:tr>
      <w:tr w:rsidR="00F41852" w:rsidRPr="00DF030D" w14:paraId="216B4A82" w14:textId="77777777" w:rsidTr="00D674E2">
        <w:trPr>
          <w:trHeight w:val="20"/>
        </w:trPr>
        <w:tc>
          <w:tcPr>
            <w:tcW w:w="536" w:type="dxa"/>
            <w:hideMark/>
          </w:tcPr>
          <w:p w14:paraId="7EC7CCF5"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15.</w:t>
            </w:r>
          </w:p>
        </w:tc>
        <w:tc>
          <w:tcPr>
            <w:tcW w:w="1460" w:type="dxa"/>
            <w:hideMark/>
          </w:tcPr>
          <w:p w14:paraId="520ECA37" w14:textId="77777777" w:rsidR="00F41852" w:rsidRPr="00A52C2F"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производства электрической энергии (мощности) на розничном рынке э</w:t>
            </w:r>
            <w:r w:rsidRPr="00A52C2F">
              <w:rPr>
                <w:rFonts w:ascii="Times New Roman" w:hAnsi="Times New Roman" w:cs="Times New Roman"/>
                <w:sz w:val="20"/>
                <w:szCs w:val="20"/>
              </w:rPr>
              <w:t>лектрической энергии (мощности), включая производство электрической энергии (мощности) в режиме когенерации</w:t>
            </w:r>
          </w:p>
        </w:tc>
        <w:tc>
          <w:tcPr>
            <w:tcW w:w="2115" w:type="dxa"/>
            <w:hideMark/>
          </w:tcPr>
          <w:p w14:paraId="1C70798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w:t>
            </w:r>
            <w:r w:rsidRPr="00A52C2F">
              <w:rPr>
                <w:rFonts w:ascii="Times New Roman" w:hAnsi="Times New Roman" w:cs="Times New Roman"/>
                <w:sz w:val="20"/>
                <w:szCs w:val="20"/>
              </w:rPr>
              <w:br/>
              <w:t xml:space="preserve">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r w:rsidRPr="00A52C2F">
              <w:rPr>
                <w:rFonts w:ascii="Times New Roman" w:hAnsi="Times New Roman" w:cs="Times New Roman"/>
                <w:b/>
                <w:sz w:val="20"/>
                <w:szCs w:val="20"/>
              </w:rPr>
              <w:t>%</w:t>
            </w:r>
          </w:p>
        </w:tc>
        <w:tc>
          <w:tcPr>
            <w:tcW w:w="993" w:type="dxa"/>
            <w:hideMark/>
          </w:tcPr>
          <w:p w14:paraId="21F2BF7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1275" w:type="dxa"/>
            <w:hideMark/>
          </w:tcPr>
          <w:p w14:paraId="78A8953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993" w:type="dxa"/>
            <w:hideMark/>
          </w:tcPr>
          <w:p w14:paraId="76706BE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2551" w:type="dxa"/>
            <w:hideMark/>
          </w:tcPr>
          <w:p w14:paraId="51E7E3A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Ведомственные данные министерства жилищно-коммунального хозяйства и энергетики Новосибирской области; департамента по тарифам Новосибирской области</w:t>
            </w:r>
          </w:p>
        </w:tc>
        <w:tc>
          <w:tcPr>
            <w:tcW w:w="1701" w:type="dxa"/>
            <w:hideMark/>
          </w:tcPr>
          <w:p w14:paraId="4815E8D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Методика по расчету ключевого показателя развития конкуренции в определенной сфере производства электроэнергии (мощности) на розничном рынке, включая производство электрической энергии в режиме когенерации в субъектах Российской Федерации </w:t>
            </w:r>
            <w:r w:rsidRPr="00A52C2F">
              <w:rPr>
                <w:rFonts w:ascii="Times New Roman" w:hAnsi="Times New Roman" w:cs="Times New Roman"/>
                <w:sz w:val="20"/>
                <w:szCs w:val="20"/>
              </w:rPr>
              <w:br/>
              <w:t xml:space="preserve">(Приложение № 30 к приказу ФАС </w:t>
            </w:r>
            <w:r w:rsidRPr="00A52C2F">
              <w:rPr>
                <w:rFonts w:ascii="Times New Roman" w:hAnsi="Times New Roman" w:cs="Times New Roman"/>
                <w:sz w:val="20"/>
                <w:szCs w:val="20"/>
              </w:rPr>
              <w:lastRenderedPageBreak/>
              <w:t>России</w:t>
            </w:r>
            <w:r w:rsidRPr="00A52C2F">
              <w:rPr>
                <w:rFonts w:ascii="Times New Roman" w:hAnsi="Times New Roman" w:cs="Times New Roman"/>
                <w:sz w:val="20"/>
                <w:szCs w:val="20"/>
              </w:rPr>
              <w:br/>
              <w:t>от 29.08.2018 № 1232/18)</w:t>
            </w:r>
            <w:r w:rsidRPr="00A52C2F">
              <w:rPr>
                <w:rFonts w:ascii="Times New Roman" w:hAnsi="Times New Roman" w:cs="Times New Roman"/>
                <w:sz w:val="20"/>
                <w:szCs w:val="20"/>
              </w:rPr>
              <w:br/>
              <w:t>на территории Новосибирской области учитываются только Новосибирский филиал ООО «Сибирская Генерирующая Компания» и ООО «Генерация Сибири», т.к.  Филиал ПАО «РусГидро» Новосибирская ГЭС имеет пакет государственных акций более 50%</w:t>
            </w:r>
          </w:p>
        </w:tc>
        <w:tc>
          <w:tcPr>
            <w:tcW w:w="1701" w:type="dxa"/>
            <w:noWrap/>
            <w:hideMark/>
          </w:tcPr>
          <w:p w14:paraId="0B936D0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65,3/49,9/53,1</w:t>
            </w:r>
          </w:p>
        </w:tc>
        <w:tc>
          <w:tcPr>
            <w:tcW w:w="1419" w:type="dxa"/>
            <w:noWrap/>
            <w:hideMark/>
          </w:tcPr>
          <w:p w14:paraId="31C9AFD5"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12</w:t>
            </w:r>
          </w:p>
        </w:tc>
      </w:tr>
      <w:tr w:rsidR="00F41852" w:rsidRPr="00DF030D" w14:paraId="5A945A62" w14:textId="77777777" w:rsidTr="00D674E2">
        <w:trPr>
          <w:trHeight w:val="20"/>
        </w:trPr>
        <w:tc>
          <w:tcPr>
            <w:tcW w:w="536" w:type="dxa"/>
            <w:hideMark/>
          </w:tcPr>
          <w:p w14:paraId="2C1625AF"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16.</w:t>
            </w:r>
          </w:p>
        </w:tc>
        <w:tc>
          <w:tcPr>
            <w:tcW w:w="1460" w:type="dxa"/>
            <w:hideMark/>
          </w:tcPr>
          <w:p w14:paraId="68B076D9"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оказания услуг по перевозке пассажиров автомобильным транспортом</w:t>
            </w:r>
            <w:r w:rsidRPr="009B4FC0">
              <w:rPr>
                <w:rFonts w:ascii="Times New Roman" w:hAnsi="Times New Roman" w:cs="Times New Roman"/>
                <w:sz w:val="20"/>
                <w:szCs w:val="20"/>
              </w:rPr>
              <w:br/>
              <w:t xml:space="preserve">по муниципальным </w:t>
            </w:r>
            <w:r w:rsidRPr="009B4FC0">
              <w:rPr>
                <w:rFonts w:ascii="Times New Roman" w:hAnsi="Times New Roman" w:cs="Times New Roman"/>
                <w:sz w:val="20"/>
                <w:szCs w:val="20"/>
              </w:rPr>
              <w:lastRenderedPageBreak/>
              <w:t>маршрутам регулярных перевозок</w:t>
            </w:r>
          </w:p>
        </w:tc>
        <w:tc>
          <w:tcPr>
            <w:tcW w:w="2115" w:type="dxa"/>
            <w:hideMark/>
          </w:tcPr>
          <w:p w14:paraId="54CC5F9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 xml:space="preserve">Доля услуг (работ) по перевозке пассажиров автомобильным транспортом по муниципальным маршрутам регулярных перевозок, оказанных (выполненных) </w:t>
            </w:r>
            <w:r w:rsidRPr="00A52C2F">
              <w:rPr>
                <w:rFonts w:ascii="Times New Roman" w:hAnsi="Times New Roman" w:cs="Times New Roman"/>
                <w:sz w:val="20"/>
                <w:szCs w:val="20"/>
              </w:rPr>
              <w:lastRenderedPageBreak/>
              <w:t xml:space="preserve">организациями частной формы собственности, </w:t>
            </w:r>
            <w:r w:rsidRPr="00A52C2F">
              <w:rPr>
                <w:rFonts w:ascii="Times New Roman" w:hAnsi="Times New Roman" w:cs="Times New Roman"/>
                <w:b/>
                <w:sz w:val="20"/>
                <w:szCs w:val="20"/>
              </w:rPr>
              <w:t>%</w:t>
            </w:r>
          </w:p>
        </w:tc>
        <w:tc>
          <w:tcPr>
            <w:tcW w:w="993" w:type="dxa"/>
            <w:hideMark/>
          </w:tcPr>
          <w:p w14:paraId="3F7BE7E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89,5</w:t>
            </w:r>
          </w:p>
        </w:tc>
        <w:tc>
          <w:tcPr>
            <w:tcW w:w="1275" w:type="dxa"/>
            <w:hideMark/>
          </w:tcPr>
          <w:p w14:paraId="0F7BECF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89,5</w:t>
            </w:r>
          </w:p>
        </w:tc>
        <w:tc>
          <w:tcPr>
            <w:tcW w:w="993" w:type="dxa"/>
            <w:hideMark/>
          </w:tcPr>
          <w:p w14:paraId="203EC97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89,5</w:t>
            </w:r>
          </w:p>
        </w:tc>
        <w:tc>
          <w:tcPr>
            <w:tcW w:w="2551" w:type="dxa"/>
            <w:hideMark/>
          </w:tcPr>
          <w:p w14:paraId="23C3151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Отчетные данные органов местного самоуправления муниципальных образований Новосибирской области</w:t>
            </w:r>
          </w:p>
        </w:tc>
        <w:tc>
          <w:tcPr>
            <w:tcW w:w="1701" w:type="dxa"/>
            <w:hideMark/>
          </w:tcPr>
          <w:p w14:paraId="0E0C3AA5"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Методика по расчету ключевого показателя развития конкуренции на рынке оказания услуг по перевозке пассажиров </w:t>
            </w:r>
            <w:r w:rsidRPr="00A52C2F">
              <w:rPr>
                <w:rFonts w:ascii="Times New Roman" w:hAnsi="Times New Roman" w:cs="Times New Roman"/>
                <w:sz w:val="20"/>
                <w:szCs w:val="20"/>
              </w:rPr>
              <w:lastRenderedPageBreak/>
              <w:t>автомобильным транспортом по муниципальным маршрутам регулярных перевозок</w:t>
            </w:r>
            <w:r w:rsidRPr="00A52C2F">
              <w:rPr>
                <w:rFonts w:ascii="Times New Roman" w:hAnsi="Times New Roman" w:cs="Times New Roman"/>
                <w:sz w:val="20"/>
                <w:szCs w:val="20"/>
              </w:rPr>
              <w:br/>
              <w:t xml:space="preserve"> (приложение № 32 к приказу ФАС России от 29.08.2018 № 1232/18)</w:t>
            </w:r>
          </w:p>
        </w:tc>
        <w:tc>
          <w:tcPr>
            <w:tcW w:w="1701" w:type="dxa"/>
            <w:noWrap/>
            <w:hideMark/>
          </w:tcPr>
          <w:p w14:paraId="06327D0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53,6/60,1/59,7</w:t>
            </w:r>
          </w:p>
        </w:tc>
        <w:tc>
          <w:tcPr>
            <w:tcW w:w="1419" w:type="dxa"/>
            <w:noWrap/>
            <w:hideMark/>
          </w:tcPr>
          <w:p w14:paraId="59F301A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40</w:t>
            </w:r>
          </w:p>
        </w:tc>
      </w:tr>
      <w:tr w:rsidR="00F41852" w:rsidRPr="00DF030D" w14:paraId="137F6D66" w14:textId="77777777" w:rsidTr="00D674E2">
        <w:trPr>
          <w:trHeight w:val="20"/>
        </w:trPr>
        <w:tc>
          <w:tcPr>
            <w:tcW w:w="536" w:type="dxa"/>
            <w:hideMark/>
          </w:tcPr>
          <w:p w14:paraId="085C4A35"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17.</w:t>
            </w:r>
          </w:p>
        </w:tc>
        <w:tc>
          <w:tcPr>
            <w:tcW w:w="1460" w:type="dxa"/>
            <w:hideMark/>
          </w:tcPr>
          <w:p w14:paraId="5797763F" w14:textId="77777777" w:rsidR="00F41852" w:rsidRPr="00A52C2F"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оказания услуг по перевозке пассажиров авто</w:t>
            </w:r>
            <w:r w:rsidRPr="00A52C2F">
              <w:rPr>
                <w:rFonts w:ascii="Times New Roman" w:hAnsi="Times New Roman" w:cs="Times New Roman"/>
                <w:sz w:val="20"/>
                <w:szCs w:val="20"/>
              </w:rPr>
              <w:t xml:space="preserve">мобильным транспортом по межмуниципальным </w:t>
            </w:r>
            <w:r w:rsidRPr="00A52C2F">
              <w:rPr>
                <w:rFonts w:ascii="Times New Roman" w:hAnsi="Times New Roman" w:cs="Times New Roman"/>
                <w:sz w:val="20"/>
                <w:szCs w:val="20"/>
              </w:rPr>
              <w:br/>
              <w:t>маршрутам регулярных перевозок</w:t>
            </w:r>
          </w:p>
        </w:tc>
        <w:tc>
          <w:tcPr>
            <w:tcW w:w="2115" w:type="dxa"/>
            <w:hideMark/>
          </w:tcPr>
          <w:p w14:paraId="68A0220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 </w:t>
            </w:r>
            <w:r w:rsidRPr="00A52C2F">
              <w:rPr>
                <w:rFonts w:ascii="Times New Roman" w:hAnsi="Times New Roman" w:cs="Times New Roman"/>
                <w:b/>
                <w:sz w:val="20"/>
                <w:szCs w:val="20"/>
              </w:rPr>
              <w:t>%</w:t>
            </w:r>
          </w:p>
        </w:tc>
        <w:tc>
          <w:tcPr>
            <w:tcW w:w="993" w:type="dxa"/>
            <w:hideMark/>
          </w:tcPr>
          <w:p w14:paraId="624764C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98</w:t>
            </w:r>
          </w:p>
        </w:tc>
        <w:tc>
          <w:tcPr>
            <w:tcW w:w="1275" w:type="dxa"/>
            <w:hideMark/>
          </w:tcPr>
          <w:p w14:paraId="67F108A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98</w:t>
            </w:r>
          </w:p>
        </w:tc>
        <w:tc>
          <w:tcPr>
            <w:tcW w:w="993" w:type="dxa"/>
            <w:hideMark/>
          </w:tcPr>
          <w:p w14:paraId="24E5753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98</w:t>
            </w:r>
          </w:p>
        </w:tc>
        <w:tc>
          <w:tcPr>
            <w:tcW w:w="2551" w:type="dxa"/>
            <w:hideMark/>
          </w:tcPr>
          <w:p w14:paraId="11CD84B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Отчетные данные автотранспортных предприятий и организаций перевозчиков, осуществляющих перевозки автомобильным транспортом по межмуниципальным маршрутам регулярных перевозок Новосибирской области</w:t>
            </w:r>
          </w:p>
        </w:tc>
        <w:tc>
          <w:tcPr>
            <w:tcW w:w="1701" w:type="dxa"/>
            <w:hideMark/>
          </w:tcPr>
          <w:p w14:paraId="1468FE8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Методика по расчету ключевого показателя развития конкуренции на рынке оказания услуг по перевозке пассажиров автомобильным транспортом по межмуниципальным маршрутам регулярных перевозок </w:t>
            </w:r>
            <w:r w:rsidRPr="00A52C2F">
              <w:rPr>
                <w:rFonts w:ascii="Times New Roman" w:hAnsi="Times New Roman" w:cs="Times New Roman"/>
                <w:sz w:val="20"/>
                <w:szCs w:val="20"/>
              </w:rPr>
              <w:br/>
              <w:t>(приложение № 33 к приказу ФАС России</w:t>
            </w:r>
            <w:r w:rsidRPr="00A52C2F">
              <w:rPr>
                <w:rFonts w:ascii="Times New Roman" w:hAnsi="Times New Roman" w:cs="Times New Roman"/>
                <w:sz w:val="20"/>
                <w:szCs w:val="20"/>
              </w:rPr>
              <w:br/>
            </w:r>
            <w:r w:rsidRPr="00A52C2F">
              <w:rPr>
                <w:rFonts w:ascii="Times New Roman" w:hAnsi="Times New Roman" w:cs="Times New Roman"/>
                <w:sz w:val="20"/>
                <w:szCs w:val="20"/>
              </w:rPr>
              <w:lastRenderedPageBreak/>
              <w:t>от 29.08.2018 № 1232/18)</w:t>
            </w:r>
          </w:p>
        </w:tc>
        <w:tc>
          <w:tcPr>
            <w:tcW w:w="1701" w:type="dxa"/>
            <w:noWrap/>
            <w:hideMark/>
          </w:tcPr>
          <w:p w14:paraId="1AF954AA"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58,1/56,3/58,1</w:t>
            </w:r>
          </w:p>
        </w:tc>
        <w:tc>
          <w:tcPr>
            <w:tcW w:w="1419" w:type="dxa"/>
            <w:noWrap/>
            <w:hideMark/>
          </w:tcPr>
          <w:p w14:paraId="6A31CC8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14</w:t>
            </w:r>
          </w:p>
        </w:tc>
      </w:tr>
      <w:tr w:rsidR="00F41852" w:rsidRPr="00DF030D" w14:paraId="215B655E" w14:textId="77777777" w:rsidTr="00D674E2">
        <w:trPr>
          <w:trHeight w:val="20"/>
        </w:trPr>
        <w:tc>
          <w:tcPr>
            <w:tcW w:w="536" w:type="dxa"/>
            <w:hideMark/>
          </w:tcPr>
          <w:p w14:paraId="1A94913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18.</w:t>
            </w:r>
          </w:p>
        </w:tc>
        <w:tc>
          <w:tcPr>
            <w:tcW w:w="1460" w:type="dxa"/>
            <w:hideMark/>
          </w:tcPr>
          <w:p w14:paraId="50929B94" w14:textId="77777777" w:rsidR="00F41852" w:rsidRPr="00A52C2F"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 xml:space="preserve">Рынок оказания услуг по </w:t>
            </w:r>
            <w:r w:rsidRPr="00A52C2F">
              <w:rPr>
                <w:rFonts w:ascii="Times New Roman" w:hAnsi="Times New Roman" w:cs="Times New Roman"/>
                <w:sz w:val="20"/>
                <w:szCs w:val="20"/>
              </w:rPr>
              <w:t xml:space="preserve">перевозке пассажиров и багажа легковым такси на территории </w:t>
            </w:r>
            <w:r w:rsidRPr="00A52C2F">
              <w:rPr>
                <w:rFonts w:ascii="Times New Roman" w:hAnsi="Times New Roman" w:cs="Times New Roman"/>
                <w:sz w:val="20"/>
                <w:szCs w:val="20"/>
              </w:rPr>
              <w:br/>
              <w:t>Новосибирской области</w:t>
            </w:r>
          </w:p>
        </w:tc>
        <w:tc>
          <w:tcPr>
            <w:tcW w:w="2115" w:type="dxa"/>
            <w:hideMark/>
          </w:tcPr>
          <w:p w14:paraId="23675F0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w:t>
            </w:r>
            <w:r w:rsidRPr="00A52C2F">
              <w:rPr>
                <w:rFonts w:ascii="Times New Roman" w:hAnsi="Times New Roman" w:cs="Times New Roman"/>
                <w:sz w:val="20"/>
                <w:szCs w:val="20"/>
              </w:rPr>
              <w:br/>
              <w:t xml:space="preserve">в сфере оказания услуг по перевозке пассажиров </w:t>
            </w:r>
            <w:r w:rsidRPr="00A52C2F">
              <w:rPr>
                <w:rFonts w:ascii="Times New Roman" w:hAnsi="Times New Roman" w:cs="Times New Roman"/>
                <w:sz w:val="20"/>
                <w:szCs w:val="20"/>
              </w:rPr>
              <w:br/>
              <w:t xml:space="preserve">и багажа легковым такси на территории Новосибирской области, </w:t>
            </w:r>
            <w:r w:rsidRPr="00A52C2F">
              <w:rPr>
                <w:rFonts w:ascii="Times New Roman" w:hAnsi="Times New Roman" w:cs="Times New Roman"/>
                <w:b/>
                <w:sz w:val="20"/>
                <w:szCs w:val="20"/>
              </w:rPr>
              <w:t>%</w:t>
            </w:r>
          </w:p>
        </w:tc>
        <w:tc>
          <w:tcPr>
            <w:tcW w:w="993" w:type="dxa"/>
            <w:hideMark/>
          </w:tcPr>
          <w:p w14:paraId="4FB43B7F"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1275" w:type="dxa"/>
            <w:hideMark/>
          </w:tcPr>
          <w:p w14:paraId="505B4F5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993" w:type="dxa"/>
            <w:hideMark/>
          </w:tcPr>
          <w:p w14:paraId="59FF1B5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2551" w:type="dxa"/>
            <w:hideMark/>
          </w:tcPr>
          <w:p w14:paraId="2AC8999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Реестр выданных разрешений на осуществление деятельности по перевозке пассажиров и багажа легковым такси на территории Новосибирской области.</w:t>
            </w:r>
          </w:p>
          <w:p w14:paraId="6CB83C05" w14:textId="77777777" w:rsidR="00F41852" w:rsidRPr="00A52C2F" w:rsidRDefault="00E3307E" w:rsidP="00D674E2">
            <w:pPr>
              <w:rPr>
                <w:rFonts w:ascii="Times New Roman" w:hAnsi="Times New Roman" w:cs="Times New Roman"/>
                <w:sz w:val="20"/>
                <w:szCs w:val="20"/>
              </w:rPr>
            </w:pPr>
            <w:hyperlink r:id="rId234" w:history="1">
              <w:r w:rsidR="00F41852" w:rsidRPr="00A52C2F">
                <w:rPr>
                  <w:rFonts w:ascii="Times New Roman" w:hAnsi="Times New Roman" w:cs="Times New Roman"/>
                  <w:color w:val="0000FF"/>
                  <w:sz w:val="20"/>
                  <w:szCs w:val="20"/>
                  <w:u w:val="single"/>
                </w:rPr>
                <w:t>http://mintrans.nso.ru/page/2005</w:t>
              </w:r>
            </w:hyperlink>
          </w:p>
        </w:tc>
        <w:tc>
          <w:tcPr>
            <w:tcW w:w="1701" w:type="dxa"/>
            <w:hideMark/>
          </w:tcPr>
          <w:p w14:paraId="72E37EAE" w14:textId="77777777" w:rsidR="00F41852" w:rsidRPr="00A52C2F"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Методика по расчету ключевого показат</w:t>
            </w:r>
            <w:r w:rsidRPr="00A52C2F">
              <w:rPr>
                <w:rFonts w:ascii="Times New Roman" w:hAnsi="Times New Roman" w:cs="Times New Roman"/>
                <w:sz w:val="20"/>
                <w:szCs w:val="20"/>
              </w:rPr>
              <w:t>еля развития конкуренции в сфере услуг по перевозке пассажиров и багажа легковым такси в субъектах Российской Федерации</w:t>
            </w:r>
            <w:r w:rsidRPr="00A52C2F">
              <w:rPr>
                <w:rFonts w:ascii="Times New Roman" w:hAnsi="Times New Roman" w:cs="Times New Roman"/>
                <w:sz w:val="20"/>
                <w:szCs w:val="20"/>
              </w:rPr>
              <w:br/>
              <w:t xml:space="preserve"> (приложение № 34 к приказу ФАС России</w:t>
            </w:r>
            <w:r w:rsidRPr="00A52C2F">
              <w:rPr>
                <w:rFonts w:ascii="Times New Roman" w:hAnsi="Times New Roman" w:cs="Times New Roman"/>
                <w:sz w:val="20"/>
                <w:szCs w:val="20"/>
              </w:rPr>
              <w:br/>
              <w:t>от 29.08.2018 № 1232/18)</w:t>
            </w:r>
          </w:p>
        </w:tc>
        <w:tc>
          <w:tcPr>
            <w:tcW w:w="1701" w:type="dxa"/>
            <w:noWrap/>
            <w:hideMark/>
          </w:tcPr>
          <w:p w14:paraId="1C7FC49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71,3/68,0/79,7</w:t>
            </w:r>
          </w:p>
        </w:tc>
        <w:tc>
          <w:tcPr>
            <w:tcW w:w="1419" w:type="dxa"/>
            <w:noWrap/>
            <w:hideMark/>
          </w:tcPr>
          <w:p w14:paraId="6CA56D3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13,8</w:t>
            </w:r>
          </w:p>
        </w:tc>
      </w:tr>
      <w:tr w:rsidR="00F61A45" w:rsidRPr="00DF030D" w14:paraId="4043719B" w14:textId="77777777" w:rsidTr="00D674E2">
        <w:trPr>
          <w:trHeight w:val="20"/>
        </w:trPr>
        <w:tc>
          <w:tcPr>
            <w:tcW w:w="536" w:type="dxa"/>
            <w:vMerge w:val="restart"/>
            <w:hideMark/>
          </w:tcPr>
          <w:p w14:paraId="4A4C9C31"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19.</w:t>
            </w:r>
          </w:p>
          <w:p w14:paraId="7810E3DB" w14:textId="77777777" w:rsidR="00F61A45" w:rsidRPr="009B4FC0" w:rsidRDefault="00F61A45" w:rsidP="00D674E2">
            <w:pPr>
              <w:rPr>
                <w:rFonts w:ascii="Times New Roman" w:hAnsi="Times New Roman" w:cs="Times New Roman"/>
                <w:sz w:val="20"/>
                <w:szCs w:val="20"/>
              </w:rPr>
            </w:pPr>
            <w:r w:rsidRPr="009B4FC0">
              <w:rPr>
                <w:rFonts w:ascii="Times New Roman" w:hAnsi="Times New Roman" w:cs="Times New Roman"/>
                <w:sz w:val="20"/>
                <w:szCs w:val="20"/>
              </w:rPr>
              <w:t> </w:t>
            </w:r>
          </w:p>
        </w:tc>
        <w:tc>
          <w:tcPr>
            <w:tcW w:w="1460" w:type="dxa"/>
            <w:vMerge w:val="restart"/>
            <w:hideMark/>
          </w:tcPr>
          <w:p w14:paraId="3B024384"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Рынок услуг связи, в том числе услуг по предоставлению широкополосного доступа к информационно-телекоммуникац</w:t>
            </w:r>
            <w:r w:rsidRPr="00A52C2F">
              <w:rPr>
                <w:rFonts w:ascii="Times New Roman" w:hAnsi="Times New Roman" w:cs="Times New Roman"/>
                <w:sz w:val="20"/>
                <w:szCs w:val="20"/>
              </w:rPr>
              <w:lastRenderedPageBreak/>
              <w:t>ионной сети «Интернет»</w:t>
            </w:r>
          </w:p>
          <w:p w14:paraId="60E4FBA3"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 </w:t>
            </w:r>
          </w:p>
        </w:tc>
        <w:tc>
          <w:tcPr>
            <w:tcW w:w="2115" w:type="dxa"/>
            <w:hideMark/>
          </w:tcPr>
          <w:p w14:paraId="4B969081"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 xml:space="preserve">1. Увеличение количества объектов государственной и муниципальной собственности, фактически используемых операторами связи для размещения и строительства сетей и </w:t>
            </w:r>
            <w:r w:rsidRPr="00A52C2F">
              <w:rPr>
                <w:rFonts w:ascii="Times New Roman" w:hAnsi="Times New Roman" w:cs="Times New Roman"/>
                <w:sz w:val="20"/>
                <w:szCs w:val="20"/>
              </w:rPr>
              <w:lastRenderedPageBreak/>
              <w:t xml:space="preserve">сооружений связи,  </w:t>
            </w:r>
            <w:r w:rsidRPr="00A52C2F">
              <w:rPr>
                <w:rFonts w:ascii="Times New Roman" w:hAnsi="Times New Roman" w:cs="Times New Roman"/>
                <w:b/>
                <w:sz w:val="20"/>
                <w:szCs w:val="20"/>
              </w:rPr>
              <w:t>в % к показателю 2018 года</w:t>
            </w:r>
          </w:p>
        </w:tc>
        <w:tc>
          <w:tcPr>
            <w:tcW w:w="993" w:type="dxa"/>
            <w:hideMark/>
          </w:tcPr>
          <w:p w14:paraId="6A327B1A"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1,7</w:t>
            </w:r>
          </w:p>
        </w:tc>
        <w:tc>
          <w:tcPr>
            <w:tcW w:w="1275" w:type="dxa"/>
            <w:hideMark/>
          </w:tcPr>
          <w:p w14:paraId="2DA99746"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5</w:t>
            </w:r>
          </w:p>
        </w:tc>
        <w:tc>
          <w:tcPr>
            <w:tcW w:w="993" w:type="dxa"/>
            <w:hideMark/>
          </w:tcPr>
          <w:p w14:paraId="5E1D1173"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5</w:t>
            </w:r>
          </w:p>
        </w:tc>
        <w:tc>
          <w:tcPr>
            <w:tcW w:w="2551" w:type="dxa"/>
            <w:hideMark/>
          </w:tcPr>
          <w:p w14:paraId="1C334B63"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Данные органов местного самоуправления муниципальных образований Новосибирской области</w:t>
            </w:r>
          </w:p>
        </w:tc>
        <w:tc>
          <w:tcPr>
            <w:tcW w:w="1701" w:type="dxa"/>
            <w:hideMark/>
          </w:tcPr>
          <w:p w14:paraId="76DFC9F0"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УЗ=К_УЗ/К_О ×100%,</w:t>
            </w:r>
            <w:r w:rsidRPr="00A52C2F">
              <w:rPr>
                <w:rFonts w:ascii="Times New Roman" w:hAnsi="Times New Roman" w:cs="Times New Roman"/>
                <w:sz w:val="20"/>
                <w:szCs w:val="20"/>
              </w:rPr>
              <w:br/>
              <w:t>где К_УЗ – количество удовлетворенных заявлений операторов связи на доступ к инфраструктуре.</w:t>
            </w:r>
            <w:r w:rsidRPr="00A52C2F">
              <w:rPr>
                <w:rFonts w:ascii="Times New Roman" w:hAnsi="Times New Roman" w:cs="Times New Roman"/>
                <w:sz w:val="20"/>
                <w:szCs w:val="20"/>
              </w:rPr>
              <w:br/>
              <w:t xml:space="preserve">К_О – общее </w:t>
            </w:r>
            <w:r w:rsidRPr="00A52C2F">
              <w:rPr>
                <w:rFonts w:ascii="Times New Roman" w:hAnsi="Times New Roman" w:cs="Times New Roman"/>
                <w:sz w:val="20"/>
                <w:szCs w:val="20"/>
              </w:rPr>
              <w:lastRenderedPageBreak/>
              <w:t>количество надлежащим образом поданных заявлений.</w:t>
            </w:r>
            <w:r w:rsidRPr="00A52C2F">
              <w:rPr>
                <w:rFonts w:ascii="Times New Roman" w:hAnsi="Times New Roman" w:cs="Times New Roman"/>
                <w:sz w:val="20"/>
                <w:szCs w:val="20"/>
              </w:rPr>
              <w:br/>
              <w:t>КП=</w:t>
            </w:r>
            <w:r w:rsidRPr="00E77388">
              <w:rPr>
                <w:rFonts w:ascii="Cambria Math" w:hAnsi="Cambria Math" w:cs="Cambria Math" w:hint="eastAsia"/>
                <w:sz w:val="20"/>
                <w:szCs w:val="20"/>
              </w:rPr>
              <w:t>〖</w:t>
            </w:r>
            <w:r w:rsidRPr="00A52C2F">
              <w:rPr>
                <w:rFonts w:ascii="Times New Roman" w:hAnsi="Times New Roman" w:cs="Times New Roman"/>
                <w:sz w:val="20"/>
                <w:szCs w:val="20"/>
              </w:rPr>
              <w:t>УЗ</w:t>
            </w:r>
            <w:r w:rsidRPr="00E77388">
              <w:rPr>
                <w:rFonts w:ascii="Cambria Math" w:hAnsi="Cambria Math" w:cs="Cambria Math" w:hint="eastAsia"/>
                <w:sz w:val="20"/>
                <w:szCs w:val="20"/>
              </w:rPr>
              <w:t>〗</w:t>
            </w:r>
            <w:r w:rsidRPr="00A52C2F">
              <w:rPr>
                <w:rFonts w:ascii="Times New Roman" w:hAnsi="Times New Roman" w:cs="Times New Roman"/>
                <w:sz w:val="20"/>
                <w:szCs w:val="20"/>
              </w:rPr>
              <w:t>_t-</w:t>
            </w:r>
            <w:r w:rsidRPr="00E77388">
              <w:rPr>
                <w:rFonts w:ascii="Cambria Math" w:hAnsi="Cambria Math" w:cs="Cambria Math" w:hint="eastAsia"/>
                <w:sz w:val="20"/>
                <w:szCs w:val="20"/>
              </w:rPr>
              <w:t>〖</w:t>
            </w:r>
            <w:r w:rsidRPr="00A52C2F">
              <w:rPr>
                <w:rFonts w:ascii="Times New Roman" w:hAnsi="Times New Roman" w:cs="Times New Roman"/>
                <w:sz w:val="20"/>
                <w:szCs w:val="20"/>
              </w:rPr>
              <w:t>УЗ</w:t>
            </w:r>
            <w:r w:rsidRPr="00E77388">
              <w:rPr>
                <w:rFonts w:ascii="Cambria Math" w:hAnsi="Cambria Math" w:cs="Cambria Math" w:hint="eastAsia"/>
                <w:sz w:val="20"/>
                <w:szCs w:val="20"/>
              </w:rPr>
              <w:t>〗</w:t>
            </w:r>
            <w:r w:rsidRPr="00A52C2F">
              <w:rPr>
                <w:rFonts w:ascii="Times New Roman" w:hAnsi="Times New Roman" w:cs="Times New Roman"/>
                <w:sz w:val="20"/>
                <w:szCs w:val="20"/>
              </w:rPr>
              <w:t>_(t-1),</w:t>
            </w:r>
            <w:r w:rsidRPr="00A52C2F">
              <w:rPr>
                <w:rFonts w:ascii="Times New Roman" w:hAnsi="Times New Roman" w:cs="Times New Roman"/>
                <w:sz w:val="20"/>
                <w:szCs w:val="20"/>
              </w:rPr>
              <w:br/>
              <w:t>где КП – ключевой показатель;</w:t>
            </w:r>
            <w:r w:rsidRPr="00A52C2F">
              <w:rPr>
                <w:rFonts w:ascii="Times New Roman" w:hAnsi="Times New Roman" w:cs="Times New Roman"/>
                <w:sz w:val="20"/>
                <w:szCs w:val="20"/>
              </w:rPr>
              <w:br/>
              <w:t>t – отчетный период (год).</w:t>
            </w:r>
            <w:r w:rsidRPr="00A52C2F">
              <w:rPr>
                <w:rFonts w:ascii="Times New Roman" w:hAnsi="Times New Roman" w:cs="Times New Roman"/>
                <w:sz w:val="20"/>
                <w:szCs w:val="20"/>
              </w:rPr>
              <w:br/>
              <w:t>t-1 – предыдущий период (год)</w:t>
            </w:r>
          </w:p>
        </w:tc>
        <w:tc>
          <w:tcPr>
            <w:tcW w:w="1701" w:type="dxa"/>
            <w:noWrap/>
            <w:hideMark/>
          </w:tcPr>
          <w:p w14:paraId="0252E624" w14:textId="77777777" w:rsidR="00F61A45" w:rsidRPr="009B4FC0" w:rsidRDefault="00F61A45" w:rsidP="00D674E2">
            <w:pPr>
              <w:rPr>
                <w:rFonts w:ascii="Times New Roman" w:hAnsi="Times New Roman" w:cs="Times New Roman"/>
                <w:sz w:val="20"/>
                <w:szCs w:val="20"/>
              </w:rPr>
            </w:pPr>
            <w:r w:rsidRPr="009B4FC0">
              <w:rPr>
                <w:rFonts w:ascii="Times New Roman" w:hAnsi="Times New Roman" w:cs="Times New Roman"/>
                <w:sz w:val="20"/>
                <w:szCs w:val="20"/>
              </w:rPr>
              <w:lastRenderedPageBreak/>
              <w:t>72,3/63,3/76,6</w:t>
            </w:r>
          </w:p>
        </w:tc>
        <w:tc>
          <w:tcPr>
            <w:tcW w:w="1419" w:type="dxa"/>
            <w:noWrap/>
            <w:hideMark/>
          </w:tcPr>
          <w:p w14:paraId="4153A08F"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15,4</w:t>
            </w:r>
          </w:p>
        </w:tc>
      </w:tr>
      <w:tr w:rsidR="00F61A45" w:rsidRPr="00DF030D" w14:paraId="5D8280FE" w14:textId="77777777" w:rsidTr="00D674E2">
        <w:trPr>
          <w:trHeight w:val="20"/>
        </w:trPr>
        <w:tc>
          <w:tcPr>
            <w:tcW w:w="536" w:type="dxa"/>
            <w:vMerge/>
            <w:hideMark/>
          </w:tcPr>
          <w:p w14:paraId="766A281D" w14:textId="77777777" w:rsidR="00F61A45" w:rsidRPr="00A52C2F" w:rsidRDefault="00F61A45" w:rsidP="00D674E2">
            <w:pPr>
              <w:rPr>
                <w:rFonts w:ascii="Times New Roman" w:hAnsi="Times New Roman" w:cs="Times New Roman"/>
                <w:sz w:val="20"/>
                <w:szCs w:val="20"/>
              </w:rPr>
            </w:pPr>
          </w:p>
        </w:tc>
        <w:tc>
          <w:tcPr>
            <w:tcW w:w="1460" w:type="dxa"/>
            <w:vMerge/>
            <w:hideMark/>
          </w:tcPr>
          <w:p w14:paraId="6191D473" w14:textId="77777777" w:rsidR="00F61A45" w:rsidRPr="00A52C2F" w:rsidRDefault="00F61A45" w:rsidP="00D674E2">
            <w:pPr>
              <w:rPr>
                <w:rFonts w:ascii="Times New Roman" w:hAnsi="Times New Roman" w:cs="Times New Roman"/>
                <w:sz w:val="20"/>
                <w:szCs w:val="20"/>
              </w:rPr>
            </w:pPr>
          </w:p>
        </w:tc>
        <w:tc>
          <w:tcPr>
            <w:tcW w:w="2115" w:type="dxa"/>
            <w:hideMark/>
          </w:tcPr>
          <w:p w14:paraId="3290199E"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 xml:space="preserve">2. Доля организаций частной формы собственности </w:t>
            </w:r>
            <w:r w:rsidRPr="00A52C2F">
              <w:rPr>
                <w:rFonts w:ascii="Times New Roman" w:hAnsi="Times New Roman" w:cs="Times New Roman"/>
                <w:sz w:val="20"/>
                <w:szCs w:val="20"/>
              </w:rPr>
              <w:br/>
              <w:t xml:space="preserve">в сфере оказания услуг по предоставлению широкополосного доступа к информационно-телекоммуникационной сети «Интернет», </w:t>
            </w:r>
            <w:r w:rsidRPr="00A52C2F">
              <w:rPr>
                <w:rFonts w:ascii="Times New Roman" w:hAnsi="Times New Roman" w:cs="Times New Roman"/>
                <w:b/>
                <w:sz w:val="20"/>
                <w:szCs w:val="20"/>
              </w:rPr>
              <w:t>%</w:t>
            </w:r>
          </w:p>
        </w:tc>
        <w:tc>
          <w:tcPr>
            <w:tcW w:w="993" w:type="dxa"/>
            <w:hideMark/>
          </w:tcPr>
          <w:p w14:paraId="5D339412"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98</w:t>
            </w:r>
          </w:p>
        </w:tc>
        <w:tc>
          <w:tcPr>
            <w:tcW w:w="1275" w:type="dxa"/>
            <w:hideMark/>
          </w:tcPr>
          <w:p w14:paraId="1EC44FEE"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98</w:t>
            </w:r>
          </w:p>
        </w:tc>
        <w:tc>
          <w:tcPr>
            <w:tcW w:w="993" w:type="dxa"/>
            <w:hideMark/>
          </w:tcPr>
          <w:p w14:paraId="6C3B2BAF"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98</w:t>
            </w:r>
          </w:p>
        </w:tc>
        <w:tc>
          <w:tcPr>
            <w:tcW w:w="2551" w:type="dxa"/>
            <w:hideMark/>
          </w:tcPr>
          <w:p w14:paraId="3507CAB1"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Единая межведомственная информационно-статистическая система (ЕМИСС);</w:t>
            </w:r>
            <w:r w:rsidRPr="00A52C2F">
              <w:rPr>
                <w:rFonts w:ascii="Times New Roman" w:hAnsi="Times New Roman" w:cs="Times New Roman"/>
                <w:sz w:val="20"/>
                <w:szCs w:val="20"/>
              </w:rPr>
              <w:br/>
              <w:t>Операторы связи</w:t>
            </w:r>
          </w:p>
        </w:tc>
        <w:tc>
          <w:tcPr>
            <w:tcW w:w="1701" w:type="dxa"/>
            <w:hideMark/>
          </w:tcPr>
          <w:p w14:paraId="06F7B45B"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Методика по расчету ключевого показателя развития конкуренции на рынке услуг связи по предоставлению широкополосного доступа к информационно-телекоммуникационной сети "Интернет" в субъектах Российской Федерации</w:t>
            </w:r>
            <w:r w:rsidRPr="00A52C2F">
              <w:rPr>
                <w:rFonts w:ascii="Times New Roman" w:hAnsi="Times New Roman" w:cs="Times New Roman"/>
                <w:sz w:val="20"/>
                <w:szCs w:val="20"/>
              </w:rPr>
              <w:br/>
            </w:r>
            <w:r w:rsidRPr="00A52C2F">
              <w:rPr>
                <w:rFonts w:ascii="Times New Roman" w:hAnsi="Times New Roman" w:cs="Times New Roman"/>
                <w:sz w:val="20"/>
                <w:szCs w:val="20"/>
              </w:rPr>
              <w:lastRenderedPageBreak/>
              <w:t>(приложение № 40 к приказу ФАС России</w:t>
            </w:r>
            <w:r w:rsidRPr="00A52C2F">
              <w:rPr>
                <w:rFonts w:ascii="Times New Roman" w:hAnsi="Times New Roman" w:cs="Times New Roman"/>
                <w:sz w:val="20"/>
                <w:szCs w:val="20"/>
              </w:rPr>
              <w:br/>
              <w:t>от 29.08.2018 № 1232/18)</w:t>
            </w:r>
          </w:p>
        </w:tc>
        <w:tc>
          <w:tcPr>
            <w:tcW w:w="1701" w:type="dxa"/>
            <w:noWrap/>
            <w:hideMark/>
          </w:tcPr>
          <w:p w14:paraId="67CEC88B"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w:t>
            </w:r>
          </w:p>
        </w:tc>
        <w:tc>
          <w:tcPr>
            <w:tcW w:w="1419" w:type="dxa"/>
            <w:noWrap/>
            <w:hideMark/>
          </w:tcPr>
          <w:p w14:paraId="02F07343" w14:textId="77777777" w:rsidR="00F61A45" w:rsidRPr="00A52C2F" w:rsidRDefault="00F61A45" w:rsidP="00D674E2">
            <w:pPr>
              <w:rPr>
                <w:rFonts w:ascii="Times New Roman" w:hAnsi="Times New Roman" w:cs="Times New Roman"/>
                <w:sz w:val="20"/>
                <w:szCs w:val="20"/>
              </w:rPr>
            </w:pPr>
            <w:r w:rsidRPr="00A52C2F">
              <w:rPr>
                <w:rFonts w:ascii="Times New Roman" w:hAnsi="Times New Roman" w:cs="Times New Roman"/>
                <w:sz w:val="20"/>
                <w:szCs w:val="20"/>
              </w:rPr>
              <w:t>-</w:t>
            </w:r>
          </w:p>
        </w:tc>
      </w:tr>
      <w:tr w:rsidR="00F41852" w:rsidRPr="00DF030D" w14:paraId="35E9E769" w14:textId="77777777" w:rsidTr="00D674E2">
        <w:trPr>
          <w:trHeight w:val="20"/>
        </w:trPr>
        <w:tc>
          <w:tcPr>
            <w:tcW w:w="536" w:type="dxa"/>
            <w:hideMark/>
          </w:tcPr>
          <w:p w14:paraId="729B7E3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20.</w:t>
            </w:r>
          </w:p>
        </w:tc>
        <w:tc>
          <w:tcPr>
            <w:tcW w:w="1460" w:type="dxa"/>
            <w:hideMark/>
          </w:tcPr>
          <w:p w14:paraId="5245208D" w14:textId="77777777" w:rsidR="00F41852" w:rsidRPr="00A52C2F"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 xml:space="preserve">Рынок жилищного строительства (за </w:t>
            </w:r>
            <w:r w:rsidRPr="00A52C2F">
              <w:rPr>
                <w:rFonts w:ascii="Times New Roman" w:hAnsi="Times New Roman" w:cs="Times New Roman"/>
                <w:sz w:val="20"/>
                <w:szCs w:val="20"/>
              </w:rPr>
              <w:t xml:space="preserve">исключением Московского фонда реновации жилой застройки </w:t>
            </w:r>
            <w:r w:rsidRPr="00A52C2F">
              <w:rPr>
                <w:rFonts w:ascii="Times New Roman" w:hAnsi="Times New Roman" w:cs="Times New Roman"/>
                <w:sz w:val="20"/>
                <w:szCs w:val="20"/>
              </w:rPr>
              <w:br/>
              <w:t>и индивидуального жилищного строительства)</w:t>
            </w:r>
          </w:p>
        </w:tc>
        <w:tc>
          <w:tcPr>
            <w:tcW w:w="2115" w:type="dxa"/>
            <w:hideMark/>
          </w:tcPr>
          <w:p w14:paraId="40FE99B7"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 </w:t>
            </w:r>
            <w:r w:rsidRPr="00A52C2F">
              <w:rPr>
                <w:rFonts w:ascii="Times New Roman" w:hAnsi="Times New Roman" w:cs="Times New Roman"/>
                <w:b/>
                <w:sz w:val="20"/>
                <w:szCs w:val="20"/>
              </w:rPr>
              <w:t>%</w:t>
            </w:r>
          </w:p>
        </w:tc>
        <w:tc>
          <w:tcPr>
            <w:tcW w:w="993" w:type="dxa"/>
            <w:hideMark/>
          </w:tcPr>
          <w:p w14:paraId="025BC8D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94,4</w:t>
            </w:r>
          </w:p>
        </w:tc>
        <w:tc>
          <w:tcPr>
            <w:tcW w:w="1275" w:type="dxa"/>
            <w:hideMark/>
          </w:tcPr>
          <w:p w14:paraId="1633AA6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95</w:t>
            </w:r>
          </w:p>
        </w:tc>
        <w:tc>
          <w:tcPr>
            <w:tcW w:w="993" w:type="dxa"/>
            <w:hideMark/>
          </w:tcPr>
          <w:p w14:paraId="571D1F4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99,8</w:t>
            </w:r>
          </w:p>
        </w:tc>
        <w:tc>
          <w:tcPr>
            <w:tcW w:w="2551" w:type="dxa"/>
            <w:hideMark/>
          </w:tcPr>
          <w:p w14:paraId="1345492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Статистический сборник по каталогу 1.17. Строительство и инвестиции в Новосибирской области</w:t>
            </w:r>
          </w:p>
        </w:tc>
        <w:tc>
          <w:tcPr>
            <w:tcW w:w="1701" w:type="dxa"/>
            <w:hideMark/>
          </w:tcPr>
          <w:p w14:paraId="641306CC" w14:textId="19D0436C"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Отношение объема введенных в эксплуатацию кв. м жилья частными организациями к общему объему введенных кв. м жилья организациями всех форм собственности, за исключением государственной формы собственности, выраженное в  % </w:t>
            </w:r>
          </w:p>
        </w:tc>
        <w:tc>
          <w:tcPr>
            <w:tcW w:w="1701" w:type="dxa"/>
            <w:noWrap/>
            <w:hideMark/>
          </w:tcPr>
          <w:p w14:paraId="48F8A67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45,2/34,9/60,0</w:t>
            </w:r>
          </w:p>
        </w:tc>
        <w:tc>
          <w:tcPr>
            <w:tcW w:w="1419" w:type="dxa"/>
            <w:noWrap/>
            <w:hideMark/>
          </w:tcPr>
          <w:p w14:paraId="0616DB5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12,5</w:t>
            </w:r>
          </w:p>
        </w:tc>
      </w:tr>
      <w:tr w:rsidR="00F41852" w:rsidRPr="00DF030D" w14:paraId="3A74660C" w14:textId="77777777" w:rsidTr="00D674E2">
        <w:trPr>
          <w:trHeight w:val="20"/>
        </w:trPr>
        <w:tc>
          <w:tcPr>
            <w:tcW w:w="536" w:type="dxa"/>
            <w:hideMark/>
          </w:tcPr>
          <w:p w14:paraId="695F6735"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21.</w:t>
            </w:r>
          </w:p>
        </w:tc>
        <w:tc>
          <w:tcPr>
            <w:tcW w:w="1460" w:type="dxa"/>
            <w:hideMark/>
          </w:tcPr>
          <w:p w14:paraId="0C0741B6"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 xml:space="preserve">Рынок строительства объектов капитального строительства, </w:t>
            </w:r>
            <w:r w:rsidRPr="009B4FC0">
              <w:rPr>
                <w:rFonts w:ascii="Times New Roman" w:hAnsi="Times New Roman" w:cs="Times New Roman"/>
                <w:sz w:val="20"/>
                <w:szCs w:val="20"/>
              </w:rPr>
              <w:br/>
              <w:t xml:space="preserve">за исключением жилищного и </w:t>
            </w:r>
            <w:r w:rsidRPr="009B4FC0">
              <w:rPr>
                <w:rFonts w:ascii="Times New Roman" w:hAnsi="Times New Roman" w:cs="Times New Roman"/>
                <w:sz w:val="20"/>
                <w:szCs w:val="20"/>
              </w:rPr>
              <w:lastRenderedPageBreak/>
              <w:t>дорожного строительства</w:t>
            </w:r>
          </w:p>
        </w:tc>
        <w:tc>
          <w:tcPr>
            <w:tcW w:w="2115" w:type="dxa"/>
            <w:hideMark/>
          </w:tcPr>
          <w:p w14:paraId="0D70945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 xml:space="preserve">Доля организаций частной формы собственности </w:t>
            </w:r>
            <w:r w:rsidRPr="00A52C2F">
              <w:rPr>
                <w:rFonts w:ascii="Times New Roman" w:hAnsi="Times New Roman" w:cs="Times New Roman"/>
                <w:sz w:val="20"/>
                <w:szCs w:val="20"/>
              </w:rPr>
              <w:br/>
              <w:t xml:space="preserve">в сфере строительства объектов капитального строительства, за исключением жилищного и </w:t>
            </w:r>
            <w:r w:rsidRPr="00A52C2F">
              <w:rPr>
                <w:rFonts w:ascii="Times New Roman" w:hAnsi="Times New Roman" w:cs="Times New Roman"/>
                <w:sz w:val="20"/>
                <w:szCs w:val="20"/>
              </w:rPr>
              <w:lastRenderedPageBreak/>
              <w:t xml:space="preserve">дорожного строительства, </w:t>
            </w:r>
            <w:r w:rsidRPr="00A52C2F">
              <w:rPr>
                <w:rFonts w:ascii="Times New Roman" w:hAnsi="Times New Roman" w:cs="Times New Roman"/>
                <w:b/>
                <w:sz w:val="20"/>
                <w:szCs w:val="20"/>
              </w:rPr>
              <w:t>%</w:t>
            </w:r>
          </w:p>
        </w:tc>
        <w:tc>
          <w:tcPr>
            <w:tcW w:w="993" w:type="dxa"/>
            <w:hideMark/>
          </w:tcPr>
          <w:p w14:paraId="32F7DAC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99,5</w:t>
            </w:r>
          </w:p>
        </w:tc>
        <w:tc>
          <w:tcPr>
            <w:tcW w:w="1275" w:type="dxa"/>
            <w:hideMark/>
          </w:tcPr>
          <w:p w14:paraId="6990997F"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99,6</w:t>
            </w:r>
          </w:p>
        </w:tc>
        <w:tc>
          <w:tcPr>
            <w:tcW w:w="993" w:type="dxa"/>
            <w:hideMark/>
          </w:tcPr>
          <w:p w14:paraId="6B5D867C"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99,6</w:t>
            </w:r>
          </w:p>
        </w:tc>
        <w:tc>
          <w:tcPr>
            <w:tcW w:w="2551" w:type="dxa"/>
            <w:hideMark/>
          </w:tcPr>
          <w:p w14:paraId="7DFD2BB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Статистический сборник по каталогу 1.17. «Строительство и инвестиции в Новосибирской области»</w:t>
            </w:r>
          </w:p>
        </w:tc>
        <w:tc>
          <w:tcPr>
            <w:tcW w:w="1701" w:type="dxa"/>
            <w:hideMark/>
          </w:tcPr>
          <w:p w14:paraId="7483289A" w14:textId="65B74373"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Отношение объем выполненных работ по виду экономической деятельности «Строительство» частными организациями к </w:t>
            </w:r>
            <w:r w:rsidRPr="00A52C2F">
              <w:rPr>
                <w:rFonts w:ascii="Times New Roman" w:hAnsi="Times New Roman" w:cs="Times New Roman"/>
                <w:sz w:val="20"/>
                <w:szCs w:val="20"/>
              </w:rPr>
              <w:lastRenderedPageBreak/>
              <w:t>общему объему выполненных работ по виду экономической деятельности «Строительство» организациями всех форм собственности, за исключением государственной формы собственности, выраженное в %</w:t>
            </w:r>
          </w:p>
        </w:tc>
        <w:tc>
          <w:tcPr>
            <w:tcW w:w="1701" w:type="dxa"/>
            <w:noWrap/>
            <w:hideMark/>
          </w:tcPr>
          <w:p w14:paraId="66B9986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38,7/33,0/41,1</w:t>
            </w:r>
          </w:p>
        </w:tc>
        <w:tc>
          <w:tcPr>
            <w:tcW w:w="1419" w:type="dxa"/>
            <w:noWrap/>
            <w:hideMark/>
          </w:tcPr>
          <w:p w14:paraId="7918760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w:t>
            </w:r>
          </w:p>
        </w:tc>
      </w:tr>
      <w:tr w:rsidR="00F41852" w:rsidRPr="00DF030D" w14:paraId="3322B113" w14:textId="77777777" w:rsidTr="00D674E2">
        <w:trPr>
          <w:trHeight w:val="20"/>
        </w:trPr>
        <w:tc>
          <w:tcPr>
            <w:tcW w:w="536" w:type="dxa"/>
            <w:hideMark/>
          </w:tcPr>
          <w:p w14:paraId="1E7BB81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22.</w:t>
            </w:r>
          </w:p>
        </w:tc>
        <w:tc>
          <w:tcPr>
            <w:tcW w:w="1460" w:type="dxa"/>
            <w:hideMark/>
          </w:tcPr>
          <w:p w14:paraId="0B52537A"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дорожной деятельности (за исключением проектирования)</w:t>
            </w:r>
          </w:p>
        </w:tc>
        <w:tc>
          <w:tcPr>
            <w:tcW w:w="2115" w:type="dxa"/>
            <w:hideMark/>
          </w:tcPr>
          <w:p w14:paraId="7059323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в сфере дорожной деятельности (за исключением проектирования), </w:t>
            </w:r>
            <w:r w:rsidRPr="00A52C2F">
              <w:rPr>
                <w:rFonts w:ascii="Times New Roman" w:hAnsi="Times New Roman" w:cs="Times New Roman"/>
                <w:b/>
                <w:sz w:val="20"/>
                <w:szCs w:val="20"/>
              </w:rPr>
              <w:t>%</w:t>
            </w:r>
          </w:p>
        </w:tc>
        <w:tc>
          <w:tcPr>
            <w:tcW w:w="993" w:type="dxa"/>
            <w:hideMark/>
          </w:tcPr>
          <w:p w14:paraId="28E8E32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1275" w:type="dxa"/>
            <w:hideMark/>
          </w:tcPr>
          <w:p w14:paraId="095EB087"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993" w:type="dxa"/>
            <w:hideMark/>
          </w:tcPr>
          <w:p w14:paraId="10A6D35C"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2551" w:type="dxa"/>
            <w:hideMark/>
          </w:tcPr>
          <w:p w14:paraId="6B07194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Ведомственные данные министерства транспорта и дорожного хозяйства Новосибирской области; данные органов местного самоуправления администраций городских округов и муниципальных районов Новосибирской области </w:t>
            </w:r>
          </w:p>
        </w:tc>
        <w:tc>
          <w:tcPr>
            <w:tcW w:w="1701" w:type="dxa"/>
            <w:hideMark/>
          </w:tcPr>
          <w:p w14:paraId="0A60D29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Методика по расчету ключевого показателя развития конкуренции на рынке дорожной деятельности (за исключением проектирования) в субъектах Российской Федерации </w:t>
            </w:r>
            <w:r w:rsidRPr="00A52C2F">
              <w:rPr>
                <w:rFonts w:ascii="Times New Roman" w:hAnsi="Times New Roman" w:cs="Times New Roman"/>
                <w:sz w:val="20"/>
                <w:szCs w:val="20"/>
              </w:rPr>
              <w:br/>
              <w:t>(приложение № 17 к приказу ФАС России</w:t>
            </w:r>
            <w:r w:rsidRPr="00A52C2F">
              <w:rPr>
                <w:rFonts w:ascii="Times New Roman" w:hAnsi="Times New Roman" w:cs="Times New Roman"/>
                <w:sz w:val="20"/>
                <w:szCs w:val="20"/>
              </w:rPr>
              <w:br/>
            </w:r>
            <w:r w:rsidRPr="00A52C2F">
              <w:rPr>
                <w:rFonts w:ascii="Times New Roman" w:hAnsi="Times New Roman" w:cs="Times New Roman"/>
                <w:sz w:val="20"/>
                <w:szCs w:val="20"/>
              </w:rPr>
              <w:lastRenderedPageBreak/>
              <w:t>от 29.08.2018 № 1232/18)</w:t>
            </w:r>
          </w:p>
        </w:tc>
        <w:tc>
          <w:tcPr>
            <w:tcW w:w="1701" w:type="dxa"/>
            <w:noWrap/>
            <w:hideMark/>
          </w:tcPr>
          <w:p w14:paraId="3F7BCDFC"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25,5/24,6/26,9</w:t>
            </w:r>
          </w:p>
        </w:tc>
        <w:tc>
          <w:tcPr>
            <w:tcW w:w="1419" w:type="dxa"/>
            <w:noWrap/>
            <w:hideMark/>
          </w:tcPr>
          <w:p w14:paraId="0B9A224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12,9</w:t>
            </w:r>
          </w:p>
        </w:tc>
      </w:tr>
      <w:tr w:rsidR="00F41852" w:rsidRPr="00DF030D" w14:paraId="764BF2A1" w14:textId="77777777" w:rsidTr="00D674E2">
        <w:trPr>
          <w:trHeight w:val="20"/>
        </w:trPr>
        <w:tc>
          <w:tcPr>
            <w:tcW w:w="536" w:type="dxa"/>
            <w:hideMark/>
          </w:tcPr>
          <w:p w14:paraId="54EFFC3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23.</w:t>
            </w:r>
          </w:p>
        </w:tc>
        <w:tc>
          <w:tcPr>
            <w:tcW w:w="1460" w:type="dxa"/>
            <w:hideMark/>
          </w:tcPr>
          <w:p w14:paraId="15ABD3C7"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архитектурно-строительного проектирования</w:t>
            </w:r>
          </w:p>
        </w:tc>
        <w:tc>
          <w:tcPr>
            <w:tcW w:w="2115" w:type="dxa"/>
            <w:hideMark/>
          </w:tcPr>
          <w:p w14:paraId="7BE82E3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в сфере архитектурно-строительного проектирования, </w:t>
            </w:r>
            <w:r w:rsidRPr="00A52C2F">
              <w:rPr>
                <w:rFonts w:ascii="Times New Roman" w:hAnsi="Times New Roman" w:cs="Times New Roman"/>
                <w:b/>
                <w:sz w:val="20"/>
                <w:szCs w:val="20"/>
              </w:rPr>
              <w:t>%</w:t>
            </w:r>
          </w:p>
        </w:tc>
        <w:tc>
          <w:tcPr>
            <w:tcW w:w="993" w:type="dxa"/>
            <w:hideMark/>
          </w:tcPr>
          <w:p w14:paraId="1540F0C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98,1</w:t>
            </w:r>
          </w:p>
        </w:tc>
        <w:tc>
          <w:tcPr>
            <w:tcW w:w="1275" w:type="dxa"/>
            <w:hideMark/>
          </w:tcPr>
          <w:p w14:paraId="7762008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98,5</w:t>
            </w:r>
          </w:p>
        </w:tc>
        <w:tc>
          <w:tcPr>
            <w:tcW w:w="993" w:type="dxa"/>
            <w:hideMark/>
          </w:tcPr>
          <w:p w14:paraId="05BBD72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98,7</w:t>
            </w:r>
          </w:p>
        </w:tc>
        <w:tc>
          <w:tcPr>
            <w:tcW w:w="2551" w:type="dxa"/>
            <w:hideMark/>
          </w:tcPr>
          <w:p w14:paraId="123A846F"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Саморегулируемые организации в сфере проектирования</w:t>
            </w:r>
          </w:p>
        </w:tc>
        <w:tc>
          <w:tcPr>
            <w:tcW w:w="1701" w:type="dxa"/>
            <w:hideMark/>
          </w:tcPr>
          <w:p w14:paraId="69F75AC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Отношение количества членов СРО всех форм собственности к  количеству членов СРО с государственным участием, выраженное в %</w:t>
            </w:r>
          </w:p>
        </w:tc>
        <w:tc>
          <w:tcPr>
            <w:tcW w:w="1701" w:type="dxa"/>
            <w:noWrap/>
            <w:hideMark/>
          </w:tcPr>
          <w:p w14:paraId="516391C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42,3/36,5/42,0</w:t>
            </w:r>
          </w:p>
        </w:tc>
        <w:tc>
          <w:tcPr>
            <w:tcW w:w="1419" w:type="dxa"/>
            <w:noWrap/>
            <w:hideMark/>
          </w:tcPr>
          <w:p w14:paraId="73DCBD0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6</w:t>
            </w:r>
          </w:p>
        </w:tc>
      </w:tr>
      <w:tr w:rsidR="00F41852" w:rsidRPr="00DF030D" w14:paraId="282CDDBE" w14:textId="77777777" w:rsidTr="00D674E2">
        <w:trPr>
          <w:trHeight w:val="20"/>
        </w:trPr>
        <w:tc>
          <w:tcPr>
            <w:tcW w:w="536" w:type="dxa"/>
            <w:hideMark/>
          </w:tcPr>
          <w:p w14:paraId="5AA802E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24.</w:t>
            </w:r>
          </w:p>
        </w:tc>
        <w:tc>
          <w:tcPr>
            <w:tcW w:w="1460" w:type="dxa"/>
            <w:hideMark/>
          </w:tcPr>
          <w:p w14:paraId="7A84077F"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племенного животноводства</w:t>
            </w:r>
          </w:p>
        </w:tc>
        <w:tc>
          <w:tcPr>
            <w:tcW w:w="2115" w:type="dxa"/>
            <w:hideMark/>
          </w:tcPr>
          <w:p w14:paraId="36207A17"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на рынке племенного животноводства, </w:t>
            </w:r>
            <w:r w:rsidRPr="00A52C2F">
              <w:rPr>
                <w:rFonts w:ascii="Times New Roman" w:hAnsi="Times New Roman" w:cs="Times New Roman"/>
                <w:b/>
                <w:sz w:val="20"/>
                <w:szCs w:val="20"/>
              </w:rPr>
              <w:t>%</w:t>
            </w:r>
          </w:p>
        </w:tc>
        <w:tc>
          <w:tcPr>
            <w:tcW w:w="993" w:type="dxa"/>
            <w:hideMark/>
          </w:tcPr>
          <w:p w14:paraId="16F88E0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88,4</w:t>
            </w:r>
          </w:p>
        </w:tc>
        <w:tc>
          <w:tcPr>
            <w:tcW w:w="1275" w:type="dxa"/>
            <w:hideMark/>
          </w:tcPr>
          <w:p w14:paraId="586CD1C5"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92</w:t>
            </w:r>
          </w:p>
        </w:tc>
        <w:tc>
          <w:tcPr>
            <w:tcW w:w="993" w:type="dxa"/>
            <w:hideMark/>
          </w:tcPr>
          <w:p w14:paraId="61B853BF"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92</w:t>
            </w:r>
          </w:p>
        </w:tc>
        <w:tc>
          <w:tcPr>
            <w:tcW w:w="2551" w:type="dxa"/>
            <w:hideMark/>
          </w:tcPr>
          <w:p w14:paraId="7771B6C7"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Ведомственные данные министерства сельского хозяйства Новосибирской области (Реестр племенных организаций  НСО)</w:t>
            </w:r>
          </w:p>
          <w:p w14:paraId="607DDBD0" w14:textId="77777777" w:rsidR="00F41852" w:rsidRPr="00A52C2F" w:rsidRDefault="00E3307E" w:rsidP="00D674E2">
            <w:pPr>
              <w:rPr>
                <w:rFonts w:ascii="Times New Roman" w:hAnsi="Times New Roman" w:cs="Times New Roman"/>
                <w:sz w:val="20"/>
                <w:szCs w:val="20"/>
              </w:rPr>
            </w:pPr>
            <w:hyperlink r:id="rId235" w:anchor="results" w:history="1">
              <w:r w:rsidR="00F41852" w:rsidRPr="00A52C2F">
                <w:rPr>
                  <w:rFonts w:ascii="Times New Roman" w:hAnsi="Times New Roman" w:cs="Times New Roman"/>
                  <w:color w:val="0000FF"/>
                  <w:sz w:val="20"/>
                  <w:szCs w:val="20"/>
                  <w:u w:val="single"/>
                </w:rPr>
                <w:t>http://opendata.mcx.ru/opendata/7708075454-plemennoyregistr/?q=%D0%9D%D0%BE%D0%B2%D0%BE%D1%81%D0%B8%D0%B1%D0%B8%D1%80%D1%81%D0%BA%D0%B0%D1%8F+%D0%BE%D0%B1%D0%BB%D0%B0%D1%81%D1%82%D1%8C#results</w:t>
              </w:r>
            </w:hyperlink>
          </w:p>
        </w:tc>
        <w:tc>
          <w:tcPr>
            <w:tcW w:w="1701" w:type="dxa"/>
            <w:hideMark/>
          </w:tcPr>
          <w:p w14:paraId="5766AD94" w14:textId="77777777" w:rsidR="00F41852" w:rsidRPr="00A52C2F"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Методика по расчету ключевого показателя развития конкуренции на рынке племенного животноводст</w:t>
            </w:r>
            <w:r w:rsidRPr="00A52C2F">
              <w:rPr>
                <w:rFonts w:ascii="Times New Roman" w:hAnsi="Times New Roman" w:cs="Times New Roman"/>
                <w:sz w:val="20"/>
                <w:szCs w:val="20"/>
              </w:rPr>
              <w:t xml:space="preserve">ва в субъектах </w:t>
            </w:r>
            <w:r w:rsidRPr="00A52C2F">
              <w:rPr>
                <w:rFonts w:ascii="Times New Roman" w:hAnsi="Times New Roman" w:cs="Times New Roman"/>
                <w:sz w:val="20"/>
                <w:szCs w:val="20"/>
              </w:rPr>
              <w:br/>
              <w:t>Российской Федерации</w:t>
            </w:r>
            <w:r w:rsidRPr="00A52C2F">
              <w:rPr>
                <w:rFonts w:ascii="Times New Roman" w:hAnsi="Times New Roman" w:cs="Times New Roman"/>
                <w:sz w:val="20"/>
                <w:szCs w:val="20"/>
              </w:rPr>
              <w:br/>
              <w:t xml:space="preserve"> (Приложение № 13 к приказу ФАС России</w:t>
            </w:r>
            <w:r w:rsidRPr="00A52C2F">
              <w:rPr>
                <w:rFonts w:ascii="Times New Roman" w:hAnsi="Times New Roman" w:cs="Times New Roman"/>
                <w:sz w:val="20"/>
                <w:szCs w:val="20"/>
              </w:rPr>
              <w:br/>
              <w:t>от 29.08.2018 № 1232/18)</w:t>
            </w:r>
          </w:p>
        </w:tc>
        <w:tc>
          <w:tcPr>
            <w:tcW w:w="1701" w:type="dxa"/>
            <w:noWrap/>
            <w:hideMark/>
          </w:tcPr>
          <w:p w14:paraId="191DD9A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49,5/39,3/43,9</w:t>
            </w:r>
          </w:p>
        </w:tc>
        <w:tc>
          <w:tcPr>
            <w:tcW w:w="1419" w:type="dxa"/>
            <w:noWrap/>
            <w:hideMark/>
          </w:tcPr>
          <w:p w14:paraId="2933180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14,3</w:t>
            </w:r>
          </w:p>
        </w:tc>
      </w:tr>
      <w:tr w:rsidR="00F41852" w:rsidRPr="00DF030D" w14:paraId="543ED3FE" w14:textId="77777777" w:rsidTr="00D674E2">
        <w:trPr>
          <w:trHeight w:val="20"/>
        </w:trPr>
        <w:tc>
          <w:tcPr>
            <w:tcW w:w="536" w:type="dxa"/>
            <w:hideMark/>
          </w:tcPr>
          <w:p w14:paraId="5C4393C5"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25.</w:t>
            </w:r>
          </w:p>
        </w:tc>
        <w:tc>
          <w:tcPr>
            <w:tcW w:w="1460" w:type="dxa"/>
            <w:hideMark/>
          </w:tcPr>
          <w:p w14:paraId="2788CCED"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семеноводства</w:t>
            </w:r>
          </w:p>
        </w:tc>
        <w:tc>
          <w:tcPr>
            <w:tcW w:w="2115" w:type="dxa"/>
            <w:hideMark/>
          </w:tcPr>
          <w:p w14:paraId="462A6A3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w:t>
            </w:r>
            <w:r w:rsidRPr="00A52C2F">
              <w:rPr>
                <w:rFonts w:ascii="Times New Roman" w:hAnsi="Times New Roman" w:cs="Times New Roman"/>
                <w:sz w:val="20"/>
                <w:szCs w:val="20"/>
              </w:rPr>
              <w:lastRenderedPageBreak/>
              <w:t xml:space="preserve">собственности на рынке семеноводства, </w:t>
            </w:r>
            <w:r w:rsidRPr="00A52C2F">
              <w:rPr>
                <w:rFonts w:ascii="Times New Roman" w:hAnsi="Times New Roman" w:cs="Times New Roman"/>
                <w:b/>
                <w:sz w:val="20"/>
                <w:szCs w:val="20"/>
              </w:rPr>
              <w:t>%</w:t>
            </w:r>
          </w:p>
        </w:tc>
        <w:tc>
          <w:tcPr>
            <w:tcW w:w="993" w:type="dxa"/>
            <w:hideMark/>
          </w:tcPr>
          <w:p w14:paraId="6439190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78,9</w:t>
            </w:r>
          </w:p>
        </w:tc>
        <w:tc>
          <w:tcPr>
            <w:tcW w:w="1275" w:type="dxa"/>
            <w:hideMark/>
          </w:tcPr>
          <w:p w14:paraId="7D819D45"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80</w:t>
            </w:r>
          </w:p>
        </w:tc>
        <w:tc>
          <w:tcPr>
            <w:tcW w:w="993" w:type="dxa"/>
            <w:hideMark/>
          </w:tcPr>
          <w:p w14:paraId="707B52B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83,3</w:t>
            </w:r>
          </w:p>
        </w:tc>
        <w:tc>
          <w:tcPr>
            <w:tcW w:w="2551" w:type="dxa"/>
            <w:hideMark/>
          </w:tcPr>
          <w:p w14:paraId="4620C04C"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Ведомственные данные министерства сельского хозяйства Новосибирской </w:t>
            </w:r>
            <w:r w:rsidRPr="00A52C2F">
              <w:rPr>
                <w:rFonts w:ascii="Times New Roman" w:hAnsi="Times New Roman" w:cs="Times New Roman"/>
                <w:sz w:val="20"/>
                <w:szCs w:val="20"/>
              </w:rPr>
              <w:lastRenderedPageBreak/>
              <w:t>области (Реестр семеноводческих хозяйств НСО)</w:t>
            </w:r>
          </w:p>
          <w:p w14:paraId="717DF5A7" w14:textId="77777777" w:rsidR="00F41852" w:rsidRPr="00A52C2F" w:rsidRDefault="00E3307E" w:rsidP="00D674E2">
            <w:pPr>
              <w:rPr>
                <w:rFonts w:ascii="Times New Roman" w:hAnsi="Times New Roman" w:cs="Times New Roman"/>
                <w:sz w:val="20"/>
                <w:szCs w:val="20"/>
              </w:rPr>
            </w:pPr>
            <w:hyperlink r:id="rId236" w:anchor="results" w:history="1">
              <w:r w:rsidR="00F41852" w:rsidRPr="00E77388">
                <w:rPr>
                  <w:rFonts w:ascii="Times New Roman" w:hAnsi="Times New Roman" w:cs="Times New Roman"/>
                  <w:color w:val="0000FF"/>
                  <w:sz w:val="20"/>
                  <w:szCs w:val="20"/>
                  <w:u w:val="single"/>
                </w:rPr>
                <w:t>h</w:t>
              </w:r>
              <w:r w:rsidR="00F41852" w:rsidRPr="00A52C2F">
                <w:rPr>
                  <w:rFonts w:ascii="Times New Roman" w:hAnsi="Times New Roman" w:cs="Times New Roman"/>
                  <w:color w:val="0000FF"/>
                  <w:sz w:val="20"/>
                  <w:szCs w:val="20"/>
                  <w:u w:val="single"/>
                </w:rPr>
                <w:t>ttp://opendata.mcx.ru/opendata/7708075454-semenovodcheskiekhozyaystva/?q=%D0%9D%D0%BE%D0%B2%D0%BE%D1%81%D0%B8%D0%B1%D0%B8%D1%80%D1%81%D0%BA%D0%B0%D1%8F+%D0%BE%D0%B1%D0%BB%D0%B0%D1%81%D1%82%D1%8C#results</w:t>
              </w:r>
            </w:hyperlink>
          </w:p>
        </w:tc>
        <w:tc>
          <w:tcPr>
            <w:tcW w:w="1701" w:type="dxa"/>
            <w:hideMark/>
          </w:tcPr>
          <w:p w14:paraId="084603E7"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lastRenderedPageBreak/>
              <w:t xml:space="preserve"> Методика по расчету ключевого показателя </w:t>
            </w:r>
            <w:r w:rsidRPr="009B4FC0">
              <w:rPr>
                <w:rFonts w:ascii="Times New Roman" w:hAnsi="Times New Roman" w:cs="Times New Roman"/>
                <w:sz w:val="20"/>
                <w:szCs w:val="20"/>
              </w:rPr>
              <w:lastRenderedPageBreak/>
              <w:t>развития конкуренции на рынке семян сельскохозяйственных растений</w:t>
            </w:r>
            <w:r w:rsidRPr="009B4FC0">
              <w:rPr>
                <w:rFonts w:ascii="Times New Roman" w:hAnsi="Times New Roman" w:cs="Times New Roman"/>
                <w:sz w:val="20"/>
                <w:szCs w:val="20"/>
              </w:rPr>
              <w:br/>
              <w:t>(приложение № 14 к приказу ФАС России</w:t>
            </w:r>
            <w:r w:rsidRPr="009B4FC0">
              <w:rPr>
                <w:rFonts w:ascii="Times New Roman" w:hAnsi="Times New Roman" w:cs="Times New Roman"/>
                <w:sz w:val="20"/>
                <w:szCs w:val="20"/>
              </w:rPr>
              <w:br/>
              <w:t>от 29.08.2018 № 1232/18)</w:t>
            </w:r>
          </w:p>
        </w:tc>
        <w:tc>
          <w:tcPr>
            <w:tcW w:w="1701" w:type="dxa"/>
            <w:noWrap/>
            <w:hideMark/>
          </w:tcPr>
          <w:p w14:paraId="01106EB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52/46,8/49,0</w:t>
            </w:r>
          </w:p>
        </w:tc>
        <w:tc>
          <w:tcPr>
            <w:tcW w:w="1419" w:type="dxa"/>
            <w:noWrap/>
            <w:hideMark/>
          </w:tcPr>
          <w:p w14:paraId="6E73317F"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17,1</w:t>
            </w:r>
          </w:p>
        </w:tc>
      </w:tr>
      <w:tr w:rsidR="00F41852" w:rsidRPr="00DF030D" w14:paraId="4B2DCC96" w14:textId="77777777" w:rsidTr="00D674E2">
        <w:trPr>
          <w:trHeight w:val="20"/>
        </w:trPr>
        <w:tc>
          <w:tcPr>
            <w:tcW w:w="536" w:type="dxa"/>
            <w:hideMark/>
          </w:tcPr>
          <w:p w14:paraId="09578A39"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26.</w:t>
            </w:r>
          </w:p>
        </w:tc>
        <w:tc>
          <w:tcPr>
            <w:tcW w:w="1460" w:type="dxa"/>
            <w:hideMark/>
          </w:tcPr>
          <w:p w14:paraId="7E5E631A"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вылова водных биоресурсов</w:t>
            </w:r>
          </w:p>
        </w:tc>
        <w:tc>
          <w:tcPr>
            <w:tcW w:w="2115" w:type="dxa"/>
            <w:hideMark/>
          </w:tcPr>
          <w:p w14:paraId="060CD7B5"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на рынке вылова водных биоресурсов, </w:t>
            </w:r>
            <w:r w:rsidRPr="00A52C2F">
              <w:rPr>
                <w:rFonts w:ascii="Times New Roman" w:hAnsi="Times New Roman" w:cs="Times New Roman"/>
                <w:b/>
                <w:sz w:val="20"/>
                <w:szCs w:val="20"/>
              </w:rPr>
              <w:t>%</w:t>
            </w:r>
          </w:p>
        </w:tc>
        <w:tc>
          <w:tcPr>
            <w:tcW w:w="993" w:type="dxa"/>
            <w:hideMark/>
          </w:tcPr>
          <w:p w14:paraId="35BBE697"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1275" w:type="dxa"/>
            <w:hideMark/>
          </w:tcPr>
          <w:p w14:paraId="0489EC4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993" w:type="dxa"/>
            <w:hideMark/>
          </w:tcPr>
          <w:p w14:paraId="3A3AF75A"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2551" w:type="dxa"/>
            <w:hideMark/>
          </w:tcPr>
          <w:p w14:paraId="0330061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Ведомственные данные министерства природных ресурсов и экологии Новосибирской области</w:t>
            </w:r>
          </w:p>
          <w:p w14:paraId="6465BA3A" w14:textId="77777777" w:rsidR="00F41852" w:rsidRPr="00A52C2F" w:rsidRDefault="00F41852" w:rsidP="00D674E2">
            <w:pPr>
              <w:rPr>
                <w:rFonts w:ascii="Times New Roman" w:hAnsi="Times New Roman" w:cs="Times New Roman"/>
                <w:sz w:val="20"/>
                <w:szCs w:val="20"/>
              </w:rPr>
            </w:pPr>
          </w:p>
        </w:tc>
        <w:tc>
          <w:tcPr>
            <w:tcW w:w="1701" w:type="dxa"/>
            <w:hideMark/>
          </w:tcPr>
          <w:p w14:paraId="2DA62D2C"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Методика по расчету ключевого показателя развития конкуренции на рынке вылова водных биоресурсов (приложение № 20 к приказу ФАС России,</w:t>
            </w:r>
            <w:r w:rsidRPr="00A52C2F">
              <w:rPr>
                <w:rFonts w:ascii="Times New Roman" w:hAnsi="Times New Roman" w:cs="Times New Roman"/>
                <w:sz w:val="20"/>
                <w:szCs w:val="20"/>
              </w:rPr>
              <w:br/>
              <w:t>от 29.08.2018 № 1232/18)</w:t>
            </w:r>
          </w:p>
        </w:tc>
        <w:tc>
          <w:tcPr>
            <w:tcW w:w="1701" w:type="dxa"/>
            <w:noWrap/>
            <w:hideMark/>
          </w:tcPr>
          <w:p w14:paraId="5B1FC34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39,2/34,4/39,3</w:t>
            </w:r>
          </w:p>
        </w:tc>
        <w:tc>
          <w:tcPr>
            <w:tcW w:w="1419" w:type="dxa"/>
            <w:noWrap/>
            <w:hideMark/>
          </w:tcPr>
          <w:p w14:paraId="6C927F6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37,1</w:t>
            </w:r>
          </w:p>
        </w:tc>
      </w:tr>
      <w:tr w:rsidR="00F41852" w:rsidRPr="00DF030D" w14:paraId="71F897F0" w14:textId="77777777" w:rsidTr="00D674E2">
        <w:trPr>
          <w:trHeight w:val="20"/>
        </w:trPr>
        <w:tc>
          <w:tcPr>
            <w:tcW w:w="536" w:type="dxa"/>
            <w:hideMark/>
          </w:tcPr>
          <w:p w14:paraId="370E653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27.</w:t>
            </w:r>
          </w:p>
        </w:tc>
        <w:tc>
          <w:tcPr>
            <w:tcW w:w="1460" w:type="dxa"/>
            <w:hideMark/>
          </w:tcPr>
          <w:p w14:paraId="3E4ED1B1"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 xml:space="preserve">Рынок переработки </w:t>
            </w:r>
            <w:r w:rsidRPr="009B4FC0">
              <w:rPr>
                <w:rFonts w:ascii="Times New Roman" w:hAnsi="Times New Roman" w:cs="Times New Roman"/>
                <w:sz w:val="20"/>
                <w:szCs w:val="20"/>
              </w:rPr>
              <w:lastRenderedPageBreak/>
              <w:t>водных биоресурсов</w:t>
            </w:r>
          </w:p>
        </w:tc>
        <w:tc>
          <w:tcPr>
            <w:tcW w:w="2115" w:type="dxa"/>
            <w:hideMark/>
          </w:tcPr>
          <w:p w14:paraId="70CF48C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 xml:space="preserve">Доля организаций частной формы </w:t>
            </w:r>
            <w:r w:rsidRPr="00A52C2F">
              <w:rPr>
                <w:rFonts w:ascii="Times New Roman" w:hAnsi="Times New Roman" w:cs="Times New Roman"/>
                <w:sz w:val="20"/>
                <w:szCs w:val="20"/>
              </w:rPr>
              <w:lastRenderedPageBreak/>
              <w:t xml:space="preserve">собственности на рынке переработки водных биоресурсов, </w:t>
            </w:r>
            <w:r w:rsidRPr="00A52C2F">
              <w:rPr>
                <w:rFonts w:ascii="Times New Roman" w:hAnsi="Times New Roman" w:cs="Times New Roman"/>
                <w:b/>
                <w:sz w:val="20"/>
                <w:szCs w:val="20"/>
              </w:rPr>
              <w:t>%</w:t>
            </w:r>
          </w:p>
        </w:tc>
        <w:tc>
          <w:tcPr>
            <w:tcW w:w="993" w:type="dxa"/>
            <w:hideMark/>
          </w:tcPr>
          <w:p w14:paraId="5B28774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100</w:t>
            </w:r>
          </w:p>
        </w:tc>
        <w:tc>
          <w:tcPr>
            <w:tcW w:w="1275" w:type="dxa"/>
            <w:hideMark/>
          </w:tcPr>
          <w:p w14:paraId="3A73B47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993" w:type="dxa"/>
            <w:hideMark/>
          </w:tcPr>
          <w:p w14:paraId="03DFB18C"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2551" w:type="dxa"/>
            <w:hideMark/>
          </w:tcPr>
          <w:p w14:paraId="37AAF9B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Ведомственные данные министерства природных </w:t>
            </w:r>
            <w:r w:rsidRPr="00A52C2F">
              <w:rPr>
                <w:rFonts w:ascii="Times New Roman" w:hAnsi="Times New Roman" w:cs="Times New Roman"/>
                <w:sz w:val="20"/>
                <w:szCs w:val="20"/>
              </w:rPr>
              <w:lastRenderedPageBreak/>
              <w:t>ресурсов и экологии Новосибирской области</w:t>
            </w:r>
          </w:p>
        </w:tc>
        <w:tc>
          <w:tcPr>
            <w:tcW w:w="1701" w:type="dxa"/>
            <w:hideMark/>
          </w:tcPr>
          <w:p w14:paraId="3539A6C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 xml:space="preserve">Методика по расчету ключевого </w:t>
            </w:r>
            <w:r w:rsidRPr="00A52C2F">
              <w:rPr>
                <w:rFonts w:ascii="Times New Roman" w:hAnsi="Times New Roman" w:cs="Times New Roman"/>
                <w:sz w:val="20"/>
                <w:szCs w:val="20"/>
              </w:rPr>
              <w:lastRenderedPageBreak/>
              <w:t>показателя развития конкуренции на рынке переработки водных биоресурсов</w:t>
            </w:r>
            <w:r w:rsidRPr="00A52C2F">
              <w:rPr>
                <w:rFonts w:ascii="Times New Roman" w:hAnsi="Times New Roman" w:cs="Times New Roman"/>
                <w:sz w:val="20"/>
                <w:szCs w:val="20"/>
              </w:rPr>
              <w:br/>
              <w:t>(приложение № 21 к приказу ФАС России</w:t>
            </w:r>
            <w:r w:rsidRPr="00A52C2F">
              <w:rPr>
                <w:rFonts w:ascii="Times New Roman" w:hAnsi="Times New Roman" w:cs="Times New Roman"/>
                <w:sz w:val="20"/>
                <w:szCs w:val="20"/>
              </w:rPr>
              <w:br/>
              <w:t>от 29.08.2018 № 1232/18)</w:t>
            </w:r>
          </w:p>
        </w:tc>
        <w:tc>
          <w:tcPr>
            <w:tcW w:w="1701" w:type="dxa"/>
            <w:noWrap/>
            <w:hideMark/>
          </w:tcPr>
          <w:p w14:paraId="7FBF47C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39,7/33,6/38,3</w:t>
            </w:r>
          </w:p>
        </w:tc>
        <w:tc>
          <w:tcPr>
            <w:tcW w:w="1419" w:type="dxa"/>
            <w:noWrap/>
            <w:hideMark/>
          </w:tcPr>
          <w:p w14:paraId="68326FD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40</w:t>
            </w:r>
          </w:p>
        </w:tc>
      </w:tr>
      <w:tr w:rsidR="00F41852" w:rsidRPr="00DF030D" w14:paraId="5ECF1F14" w14:textId="77777777" w:rsidTr="00D674E2">
        <w:trPr>
          <w:trHeight w:val="20"/>
        </w:trPr>
        <w:tc>
          <w:tcPr>
            <w:tcW w:w="536" w:type="dxa"/>
            <w:hideMark/>
          </w:tcPr>
          <w:p w14:paraId="68E9CB6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28.</w:t>
            </w:r>
          </w:p>
        </w:tc>
        <w:tc>
          <w:tcPr>
            <w:tcW w:w="1460" w:type="dxa"/>
            <w:hideMark/>
          </w:tcPr>
          <w:p w14:paraId="6C2DC42D" w14:textId="77777777" w:rsidR="00F41852" w:rsidRPr="00A52C2F"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товарной</w:t>
            </w:r>
            <w:r w:rsidRPr="00A52C2F">
              <w:rPr>
                <w:rFonts w:ascii="Times New Roman" w:hAnsi="Times New Roman" w:cs="Times New Roman"/>
                <w:sz w:val="20"/>
                <w:szCs w:val="20"/>
              </w:rPr>
              <w:t xml:space="preserve"> аквакультуры</w:t>
            </w:r>
          </w:p>
        </w:tc>
        <w:tc>
          <w:tcPr>
            <w:tcW w:w="2115" w:type="dxa"/>
            <w:hideMark/>
          </w:tcPr>
          <w:p w14:paraId="32CBD94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на рынке товарной аквакультуры, </w:t>
            </w:r>
            <w:r w:rsidRPr="00A52C2F">
              <w:rPr>
                <w:rFonts w:ascii="Times New Roman" w:hAnsi="Times New Roman" w:cs="Times New Roman"/>
                <w:b/>
                <w:sz w:val="20"/>
                <w:szCs w:val="20"/>
              </w:rPr>
              <w:t>%</w:t>
            </w:r>
          </w:p>
        </w:tc>
        <w:tc>
          <w:tcPr>
            <w:tcW w:w="993" w:type="dxa"/>
            <w:hideMark/>
          </w:tcPr>
          <w:p w14:paraId="515C28A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1275" w:type="dxa"/>
            <w:hideMark/>
          </w:tcPr>
          <w:p w14:paraId="578F712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993" w:type="dxa"/>
            <w:hideMark/>
          </w:tcPr>
          <w:p w14:paraId="34F55FC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2551" w:type="dxa"/>
            <w:hideMark/>
          </w:tcPr>
          <w:p w14:paraId="44692BD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Ведомственные данные министерства природных ресурсов и экологии Новосибирской области</w:t>
            </w:r>
          </w:p>
        </w:tc>
        <w:tc>
          <w:tcPr>
            <w:tcW w:w="1701" w:type="dxa"/>
            <w:hideMark/>
          </w:tcPr>
          <w:p w14:paraId="11C4A8CF"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Методика по расчету ключевого показателя развития конкуренции на рынке  товарной аквакультуры (приложение № 22 к приказу ФАС России</w:t>
            </w:r>
            <w:r w:rsidRPr="00A52C2F">
              <w:rPr>
                <w:rFonts w:ascii="Times New Roman" w:hAnsi="Times New Roman" w:cs="Times New Roman"/>
                <w:sz w:val="20"/>
                <w:szCs w:val="20"/>
              </w:rPr>
              <w:br/>
              <w:t>от 29.08.2018 № 1232/18)</w:t>
            </w:r>
          </w:p>
        </w:tc>
        <w:tc>
          <w:tcPr>
            <w:tcW w:w="1701" w:type="dxa"/>
            <w:noWrap/>
            <w:hideMark/>
          </w:tcPr>
          <w:p w14:paraId="408CD9C7"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37,5/31,4/35,5</w:t>
            </w:r>
          </w:p>
        </w:tc>
        <w:tc>
          <w:tcPr>
            <w:tcW w:w="1419" w:type="dxa"/>
            <w:noWrap/>
            <w:hideMark/>
          </w:tcPr>
          <w:p w14:paraId="768B733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22,9</w:t>
            </w:r>
          </w:p>
        </w:tc>
      </w:tr>
      <w:tr w:rsidR="00F41852" w:rsidRPr="00DF030D" w14:paraId="74620B46" w14:textId="77777777" w:rsidTr="00D674E2">
        <w:trPr>
          <w:trHeight w:val="20"/>
        </w:trPr>
        <w:tc>
          <w:tcPr>
            <w:tcW w:w="536" w:type="dxa"/>
            <w:hideMark/>
          </w:tcPr>
          <w:p w14:paraId="4AE81AE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29.</w:t>
            </w:r>
          </w:p>
        </w:tc>
        <w:tc>
          <w:tcPr>
            <w:tcW w:w="1460" w:type="dxa"/>
            <w:hideMark/>
          </w:tcPr>
          <w:p w14:paraId="455D0B8D"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 xml:space="preserve">Рынок добычи общераспространенных полезных ископаемых на участках недр </w:t>
            </w:r>
            <w:r w:rsidRPr="009B4FC0">
              <w:rPr>
                <w:rFonts w:ascii="Times New Roman" w:hAnsi="Times New Roman" w:cs="Times New Roman"/>
                <w:sz w:val="20"/>
                <w:szCs w:val="20"/>
              </w:rPr>
              <w:lastRenderedPageBreak/>
              <w:t>местного значения</w:t>
            </w:r>
          </w:p>
        </w:tc>
        <w:tc>
          <w:tcPr>
            <w:tcW w:w="2115" w:type="dxa"/>
            <w:hideMark/>
          </w:tcPr>
          <w:p w14:paraId="1D90EED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 xml:space="preserve">Доля организаций частной формы собственности в сфере добычи общераспространенных полезных ископаемых </w:t>
            </w:r>
            <w:r w:rsidRPr="00A52C2F">
              <w:rPr>
                <w:rFonts w:ascii="Times New Roman" w:hAnsi="Times New Roman" w:cs="Times New Roman"/>
                <w:sz w:val="20"/>
                <w:szCs w:val="20"/>
              </w:rPr>
              <w:lastRenderedPageBreak/>
              <w:t xml:space="preserve">на участках недр местного значения, </w:t>
            </w:r>
            <w:r w:rsidRPr="00A52C2F">
              <w:rPr>
                <w:rFonts w:ascii="Times New Roman" w:hAnsi="Times New Roman" w:cs="Times New Roman"/>
                <w:b/>
                <w:sz w:val="20"/>
                <w:szCs w:val="20"/>
              </w:rPr>
              <w:t>%</w:t>
            </w:r>
          </w:p>
        </w:tc>
        <w:tc>
          <w:tcPr>
            <w:tcW w:w="993" w:type="dxa"/>
            <w:hideMark/>
          </w:tcPr>
          <w:p w14:paraId="5C26DCE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100</w:t>
            </w:r>
          </w:p>
        </w:tc>
        <w:tc>
          <w:tcPr>
            <w:tcW w:w="1275" w:type="dxa"/>
            <w:hideMark/>
          </w:tcPr>
          <w:p w14:paraId="59F4A7D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993" w:type="dxa"/>
            <w:hideMark/>
          </w:tcPr>
          <w:p w14:paraId="19D79F8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2551" w:type="dxa"/>
            <w:hideMark/>
          </w:tcPr>
          <w:p w14:paraId="000EB46A"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Ведомственные данные министерства природных ресурсов и экологии Новосибирской области</w:t>
            </w:r>
          </w:p>
        </w:tc>
        <w:tc>
          <w:tcPr>
            <w:tcW w:w="1701" w:type="dxa"/>
            <w:hideMark/>
          </w:tcPr>
          <w:p w14:paraId="4F2C01DA"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Методика по расчету ключевого показателя развития конкуренции на Рынок добычи </w:t>
            </w:r>
            <w:r w:rsidRPr="00A52C2F">
              <w:rPr>
                <w:rFonts w:ascii="Times New Roman" w:hAnsi="Times New Roman" w:cs="Times New Roman"/>
                <w:sz w:val="20"/>
                <w:szCs w:val="20"/>
              </w:rPr>
              <w:lastRenderedPageBreak/>
              <w:t>общераспространенных полезных ископаемых на участках недр местного значения (приложение № 23 к приказу ФАС России,</w:t>
            </w:r>
            <w:r w:rsidRPr="00A52C2F">
              <w:rPr>
                <w:rFonts w:ascii="Times New Roman" w:hAnsi="Times New Roman" w:cs="Times New Roman"/>
                <w:sz w:val="20"/>
                <w:szCs w:val="20"/>
              </w:rPr>
              <w:br/>
              <w:t>от 29.08.2018 № 1232/18)</w:t>
            </w:r>
          </w:p>
        </w:tc>
        <w:tc>
          <w:tcPr>
            <w:tcW w:w="1701" w:type="dxa"/>
            <w:noWrap/>
            <w:hideMark/>
          </w:tcPr>
          <w:p w14:paraId="664FDCA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59,7/50,8/57,1</w:t>
            </w:r>
          </w:p>
        </w:tc>
        <w:tc>
          <w:tcPr>
            <w:tcW w:w="1419" w:type="dxa"/>
            <w:noWrap/>
            <w:hideMark/>
          </w:tcPr>
          <w:p w14:paraId="20D05BE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16</w:t>
            </w:r>
          </w:p>
        </w:tc>
      </w:tr>
      <w:tr w:rsidR="00F41852" w:rsidRPr="00DF030D" w14:paraId="0939FE7D" w14:textId="77777777" w:rsidTr="00D674E2">
        <w:trPr>
          <w:trHeight w:val="20"/>
        </w:trPr>
        <w:tc>
          <w:tcPr>
            <w:tcW w:w="536" w:type="dxa"/>
            <w:hideMark/>
          </w:tcPr>
          <w:p w14:paraId="7057674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30.</w:t>
            </w:r>
          </w:p>
        </w:tc>
        <w:tc>
          <w:tcPr>
            <w:tcW w:w="1460" w:type="dxa"/>
            <w:hideMark/>
          </w:tcPr>
          <w:p w14:paraId="6421E987"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легкой промышленности</w:t>
            </w:r>
          </w:p>
        </w:tc>
        <w:tc>
          <w:tcPr>
            <w:tcW w:w="2115" w:type="dxa"/>
            <w:hideMark/>
          </w:tcPr>
          <w:p w14:paraId="0408DF0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в сфере легкой промышленности, </w:t>
            </w:r>
            <w:r w:rsidRPr="00A52C2F">
              <w:rPr>
                <w:rFonts w:ascii="Times New Roman" w:hAnsi="Times New Roman" w:cs="Times New Roman"/>
                <w:b/>
                <w:sz w:val="20"/>
                <w:szCs w:val="20"/>
              </w:rPr>
              <w:t>%</w:t>
            </w:r>
          </w:p>
        </w:tc>
        <w:tc>
          <w:tcPr>
            <w:tcW w:w="993" w:type="dxa"/>
            <w:hideMark/>
          </w:tcPr>
          <w:p w14:paraId="6361A4A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1275" w:type="dxa"/>
            <w:hideMark/>
          </w:tcPr>
          <w:p w14:paraId="33F58317"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993" w:type="dxa"/>
            <w:hideMark/>
          </w:tcPr>
          <w:p w14:paraId="6CB2D195"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2551" w:type="dxa"/>
            <w:hideMark/>
          </w:tcPr>
          <w:p w14:paraId="231F453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Статистический справочник Новосибирскстат  adm 09-163. «Перечень организаций Новосибирской области, учтенных в Статистическом регистре Росстата с кодами ОКВЭД (ОК 029-2014)»</w:t>
            </w:r>
          </w:p>
        </w:tc>
        <w:tc>
          <w:tcPr>
            <w:tcW w:w="1701" w:type="dxa"/>
            <w:hideMark/>
          </w:tcPr>
          <w:p w14:paraId="01AFA4E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Выборка из общего Перечня организаций легкой промышленности по ОКВЭД 13 "Производство текстильных изделий", ОКВЭД 14 "Производство одежды", ОКВЭД 15 "Производство кожи и изделий из кожи"</w:t>
            </w:r>
          </w:p>
        </w:tc>
        <w:tc>
          <w:tcPr>
            <w:tcW w:w="1701" w:type="dxa"/>
            <w:noWrap/>
            <w:hideMark/>
          </w:tcPr>
          <w:p w14:paraId="4A55FBCC"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50,6/43,9/53,9</w:t>
            </w:r>
          </w:p>
        </w:tc>
        <w:tc>
          <w:tcPr>
            <w:tcW w:w="1419" w:type="dxa"/>
            <w:noWrap/>
            <w:hideMark/>
          </w:tcPr>
          <w:p w14:paraId="5FA99EB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3,6</w:t>
            </w:r>
          </w:p>
        </w:tc>
      </w:tr>
      <w:tr w:rsidR="00F41852" w:rsidRPr="00DF030D" w14:paraId="6A09C136" w14:textId="77777777" w:rsidTr="00D674E2">
        <w:trPr>
          <w:trHeight w:val="20"/>
        </w:trPr>
        <w:tc>
          <w:tcPr>
            <w:tcW w:w="536" w:type="dxa"/>
            <w:hideMark/>
          </w:tcPr>
          <w:p w14:paraId="10E4C38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31.</w:t>
            </w:r>
          </w:p>
        </w:tc>
        <w:tc>
          <w:tcPr>
            <w:tcW w:w="1460" w:type="dxa"/>
            <w:hideMark/>
          </w:tcPr>
          <w:p w14:paraId="332CC0EB"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 xml:space="preserve">Рынок обработки древесины и производства </w:t>
            </w:r>
            <w:r w:rsidRPr="009B4FC0">
              <w:rPr>
                <w:rFonts w:ascii="Times New Roman" w:hAnsi="Times New Roman" w:cs="Times New Roman"/>
                <w:sz w:val="20"/>
                <w:szCs w:val="20"/>
              </w:rPr>
              <w:lastRenderedPageBreak/>
              <w:t>изделий из дерева</w:t>
            </w:r>
          </w:p>
        </w:tc>
        <w:tc>
          <w:tcPr>
            <w:tcW w:w="2115" w:type="dxa"/>
            <w:hideMark/>
          </w:tcPr>
          <w:p w14:paraId="56F1D2C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 xml:space="preserve">Доля организаций частной формы собственности </w:t>
            </w:r>
            <w:r w:rsidRPr="00A52C2F">
              <w:rPr>
                <w:rFonts w:ascii="Times New Roman" w:hAnsi="Times New Roman" w:cs="Times New Roman"/>
                <w:sz w:val="20"/>
                <w:szCs w:val="20"/>
              </w:rPr>
              <w:br/>
              <w:t xml:space="preserve">в сфере обработки древесины и </w:t>
            </w:r>
            <w:r w:rsidRPr="00A52C2F">
              <w:rPr>
                <w:rFonts w:ascii="Times New Roman" w:hAnsi="Times New Roman" w:cs="Times New Roman"/>
                <w:sz w:val="20"/>
                <w:szCs w:val="20"/>
              </w:rPr>
              <w:lastRenderedPageBreak/>
              <w:t xml:space="preserve">производства изделий из дерева, </w:t>
            </w:r>
            <w:r w:rsidRPr="00A52C2F">
              <w:rPr>
                <w:rFonts w:ascii="Times New Roman" w:hAnsi="Times New Roman" w:cs="Times New Roman"/>
                <w:b/>
                <w:sz w:val="20"/>
                <w:szCs w:val="20"/>
              </w:rPr>
              <w:t>%</w:t>
            </w:r>
          </w:p>
        </w:tc>
        <w:tc>
          <w:tcPr>
            <w:tcW w:w="993" w:type="dxa"/>
            <w:hideMark/>
          </w:tcPr>
          <w:p w14:paraId="1630339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97,7</w:t>
            </w:r>
          </w:p>
        </w:tc>
        <w:tc>
          <w:tcPr>
            <w:tcW w:w="1275" w:type="dxa"/>
            <w:hideMark/>
          </w:tcPr>
          <w:p w14:paraId="52375DFA"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97,7</w:t>
            </w:r>
          </w:p>
        </w:tc>
        <w:tc>
          <w:tcPr>
            <w:tcW w:w="993" w:type="dxa"/>
            <w:hideMark/>
          </w:tcPr>
          <w:p w14:paraId="311D15EA"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97,7</w:t>
            </w:r>
          </w:p>
        </w:tc>
        <w:tc>
          <w:tcPr>
            <w:tcW w:w="2551" w:type="dxa"/>
            <w:hideMark/>
          </w:tcPr>
          <w:p w14:paraId="43DE808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Ведомственные данные министерства природных ресурсов и экологии Новосибирской области</w:t>
            </w:r>
          </w:p>
        </w:tc>
        <w:tc>
          <w:tcPr>
            <w:tcW w:w="1701" w:type="dxa"/>
            <w:hideMark/>
          </w:tcPr>
          <w:p w14:paraId="49F5C908"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Отношение количества организаций частной формы собственности, </w:t>
            </w:r>
            <w:r w:rsidRPr="00A52C2F">
              <w:rPr>
                <w:rFonts w:ascii="Times New Roman" w:hAnsi="Times New Roman" w:cs="Times New Roman"/>
                <w:sz w:val="20"/>
                <w:szCs w:val="20"/>
              </w:rPr>
              <w:lastRenderedPageBreak/>
              <w:t xml:space="preserve">осуществляющих обработку древесины и производства изделий из дерева на территории Новосибирской области, к общему количеству организаций, </w:t>
            </w:r>
            <w:r w:rsidRPr="00A52C2F">
              <w:rPr>
                <w:rFonts w:ascii="Times New Roman" w:hAnsi="Times New Roman" w:cs="Times New Roman"/>
                <w:sz w:val="20"/>
                <w:szCs w:val="20"/>
              </w:rPr>
              <w:br/>
              <w:t>осуществляющих обработку древесины и производства изделий из дерева на территории Новосибирской области, выраженный в %</w:t>
            </w:r>
          </w:p>
        </w:tc>
        <w:tc>
          <w:tcPr>
            <w:tcW w:w="1701" w:type="dxa"/>
            <w:noWrap/>
            <w:hideMark/>
          </w:tcPr>
          <w:p w14:paraId="752E19C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60,6/45,5/59,3</w:t>
            </w:r>
          </w:p>
        </w:tc>
        <w:tc>
          <w:tcPr>
            <w:tcW w:w="1419" w:type="dxa"/>
            <w:noWrap/>
            <w:hideMark/>
          </w:tcPr>
          <w:p w14:paraId="049F303A"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23,3</w:t>
            </w:r>
          </w:p>
        </w:tc>
      </w:tr>
      <w:tr w:rsidR="00F41852" w:rsidRPr="00DF030D" w14:paraId="0C10DB53" w14:textId="77777777" w:rsidTr="00D674E2">
        <w:trPr>
          <w:trHeight w:val="20"/>
        </w:trPr>
        <w:tc>
          <w:tcPr>
            <w:tcW w:w="536" w:type="dxa"/>
            <w:hideMark/>
          </w:tcPr>
          <w:p w14:paraId="134631E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32.</w:t>
            </w:r>
          </w:p>
        </w:tc>
        <w:tc>
          <w:tcPr>
            <w:tcW w:w="1460" w:type="dxa"/>
            <w:hideMark/>
          </w:tcPr>
          <w:p w14:paraId="06F51302"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 xml:space="preserve">Рынок производства кирпича </w:t>
            </w:r>
          </w:p>
        </w:tc>
        <w:tc>
          <w:tcPr>
            <w:tcW w:w="2115" w:type="dxa"/>
            <w:hideMark/>
          </w:tcPr>
          <w:p w14:paraId="02E6EE0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в сфере производства кирпича, </w:t>
            </w:r>
            <w:r w:rsidRPr="00A52C2F">
              <w:rPr>
                <w:rFonts w:ascii="Times New Roman" w:hAnsi="Times New Roman" w:cs="Times New Roman"/>
                <w:b/>
                <w:sz w:val="20"/>
                <w:szCs w:val="20"/>
              </w:rPr>
              <w:t>%</w:t>
            </w:r>
          </w:p>
        </w:tc>
        <w:tc>
          <w:tcPr>
            <w:tcW w:w="993" w:type="dxa"/>
            <w:hideMark/>
          </w:tcPr>
          <w:p w14:paraId="70461BC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1275" w:type="dxa"/>
            <w:hideMark/>
          </w:tcPr>
          <w:p w14:paraId="4CA51CC1"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993" w:type="dxa"/>
            <w:hideMark/>
          </w:tcPr>
          <w:p w14:paraId="754CF924"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2551" w:type="dxa"/>
            <w:hideMark/>
          </w:tcPr>
          <w:p w14:paraId="24FEE2E6"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Ведомственные данные министерства строительства Новосибирской области</w:t>
            </w:r>
          </w:p>
        </w:tc>
        <w:tc>
          <w:tcPr>
            <w:tcW w:w="1701" w:type="dxa"/>
            <w:hideMark/>
          </w:tcPr>
          <w:p w14:paraId="61535F1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Методика по расчету ключевого показателя развития конкуренции на рынке производства кирпича в субъектах Российской </w:t>
            </w:r>
            <w:r w:rsidRPr="00A52C2F">
              <w:rPr>
                <w:rFonts w:ascii="Times New Roman" w:hAnsi="Times New Roman" w:cs="Times New Roman"/>
                <w:sz w:val="20"/>
                <w:szCs w:val="20"/>
              </w:rPr>
              <w:lastRenderedPageBreak/>
              <w:t>Федерации</w:t>
            </w:r>
            <w:r w:rsidRPr="00A52C2F">
              <w:rPr>
                <w:rFonts w:ascii="Times New Roman" w:hAnsi="Times New Roman" w:cs="Times New Roman"/>
                <w:sz w:val="20"/>
                <w:szCs w:val="20"/>
              </w:rPr>
              <w:br/>
              <w:t>(приложение № 37 к приказу ФАС России</w:t>
            </w:r>
            <w:r w:rsidRPr="00A52C2F">
              <w:rPr>
                <w:rFonts w:ascii="Times New Roman" w:hAnsi="Times New Roman" w:cs="Times New Roman"/>
                <w:sz w:val="20"/>
                <w:szCs w:val="20"/>
              </w:rPr>
              <w:br/>
              <w:t>от 29.08.2018 № 1232/18)</w:t>
            </w:r>
          </w:p>
        </w:tc>
        <w:tc>
          <w:tcPr>
            <w:tcW w:w="1701" w:type="dxa"/>
            <w:noWrap/>
            <w:hideMark/>
          </w:tcPr>
          <w:p w14:paraId="5674689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lastRenderedPageBreak/>
              <w:t>59,1/51,0/59,6</w:t>
            </w:r>
          </w:p>
        </w:tc>
        <w:tc>
          <w:tcPr>
            <w:tcW w:w="1419" w:type="dxa"/>
            <w:noWrap/>
            <w:hideMark/>
          </w:tcPr>
          <w:p w14:paraId="4ADC9A1B"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15</w:t>
            </w:r>
          </w:p>
        </w:tc>
      </w:tr>
      <w:tr w:rsidR="00F41852" w:rsidRPr="00DF030D" w14:paraId="480F3968" w14:textId="77777777" w:rsidTr="00D674E2">
        <w:trPr>
          <w:trHeight w:val="20"/>
        </w:trPr>
        <w:tc>
          <w:tcPr>
            <w:tcW w:w="536" w:type="dxa"/>
            <w:hideMark/>
          </w:tcPr>
          <w:p w14:paraId="7DBAA6A3"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33</w:t>
            </w:r>
            <w:r w:rsidR="00F61A45" w:rsidRPr="00A52C2F">
              <w:rPr>
                <w:rFonts w:ascii="Times New Roman" w:hAnsi="Times New Roman" w:cs="Times New Roman"/>
                <w:sz w:val="20"/>
                <w:szCs w:val="20"/>
              </w:rPr>
              <w:t>.</w:t>
            </w:r>
          </w:p>
        </w:tc>
        <w:tc>
          <w:tcPr>
            <w:tcW w:w="1460" w:type="dxa"/>
            <w:hideMark/>
          </w:tcPr>
          <w:p w14:paraId="7C97B0D9" w14:textId="77777777" w:rsidR="00F41852" w:rsidRPr="009B4FC0" w:rsidRDefault="00F41852" w:rsidP="00D674E2">
            <w:pPr>
              <w:rPr>
                <w:rFonts w:ascii="Times New Roman" w:hAnsi="Times New Roman" w:cs="Times New Roman"/>
                <w:sz w:val="20"/>
                <w:szCs w:val="20"/>
              </w:rPr>
            </w:pPr>
            <w:r w:rsidRPr="009B4FC0">
              <w:rPr>
                <w:rFonts w:ascii="Times New Roman" w:hAnsi="Times New Roman" w:cs="Times New Roman"/>
                <w:sz w:val="20"/>
                <w:szCs w:val="20"/>
              </w:rPr>
              <w:t>Рынок производства бетона</w:t>
            </w:r>
          </w:p>
        </w:tc>
        <w:tc>
          <w:tcPr>
            <w:tcW w:w="2115" w:type="dxa"/>
            <w:hideMark/>
          </w:tcPr>
          <w:p w14:paraId="62687BED"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 xml:space="preserve">Доля организаций частной формы собственности </w:t>
            </w:r>
            <w:r w:rsidRPr="00A52C2F">
              <w:rPr>
                <w:rFonts w:ascii="Times New Roman" w:hAnsi="Times New Roman" w:cs="Times New Roman"/>
                <w:sz w:val="20"/>
                <w:szCs w:val="20"/>
              </w:rPr>
              <w:br/>
              <w:t xml:space="preserve">в сфере производства бетона, </w:t>
            </w:r>
            <w:r w:rsidRPr="00A52C2F">
              <w:rPr>
                <w:rFonts w:ascii="Times New Roman" w:hAnsi="Times New Roman" w:cs="Times New Roman"/>
                <w:b/>
                <w:sz w:val="20"/>
                <w:szCs w:val="20"/>
              </w:rPr>
              <w:t>%</w:t>
            </w:r>
          </w:p>
        </w:tc>
        <w:tc>
          <w:tcPr>
            <w:tcW w:w="993" w:type="dxa"/>
            <w:hideMark/>
          </w:tcPr>
          <w:p w14:paraId="5D67201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1275" w:type="dxa"/>
            <w:hideMark/>
          </w:tcPr>
          <w:p w14:paraId="584803C0"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993" w:type="dxa"/>
            <w:hideMark/>
          </w:tcPr>
          <w:p w14:paraId="5DC4C95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100</w:t>
            </w:r>
          </w:p>
        </w:tc>
        <w:tc>
          <w:tcPr>
            <w:tcW w:w="2551" w:type="dxa"/>
            <w:hideMark/>
          </w:tcPr>
          <w:p w14:paraId="616C3032"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Ведомственные данные министерства строительства Новосибирской области</w:t>
            </w:r>
          </w:p>
        </w:tc>
        <w:tc>
          <w:tcPr>
            <w:tcW w:w="1701" w:type="dxa"/>
            <w:hideMark/>
          </w:tcPr>
          <w:p w14:paraId="0E81CD1A"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Методика по расчету ключевого показателя развития конкуренции на рынке производства бетона в субъектах Российской Федерации</w:t>
            </w:r>
            <w:r w:rsidRPr="00A52C2F">
              <w:rPr>
                <w:rFonts w:ascii="Times New Roman" w:hAnsi="Times New Roman" w:cs="Times New Roman"/>
                <w:sz w:val="20"/>
                <w:szCs w:val="20"/>
              </w:rPr>
              <w:br/>
              <w:t>(приложение № 38 к приказу ФАС России</w:t>
            </w:r>
            <w:r w:rsidRPr="00A52C2F">
              <w:rPr>
                <w:rFonts w:ascii="Times New Roman" w:hAnsi="Times New Roman" w:cs="Times New Roman"/>
                <w:sz w:val="20"/>
                <w:szCs w:val="20"/>
              </w:rPr>
              <w:br/>
              <w:t>от 29.08.2018 № 1232/18)</w:t>
            </w:r>
          </w:p>
        </w:tc>
        <w:tc>
          <w:tcPr>
            <w:tcW w:w="1701" w:type="dxa"/>
            <w:noWrap/>
            <w:hideMark/>
          </w:tcPr>
          <w:p w14:paraId="24A6173E"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64,7/52,7/62,9</w:t>
            </w:r>
          </w:p>
        </w:tc>
        <w:tc>
          <w:tcPr>
            <w:tcW w:w="1419" w:type="dxa"/>
            <w:noWrap/>
            <w:hideMark/>
          </w:tcPr>
          <w:p w14:paraId="12D6733A" w14:textId="77777777" w:rsidR="00F41852" w:rsidRPr="00A52C2F" w:rsidRDefault="00F41852" w:rsidP="00D674E2">
            <w:pPr>
              <w:rPr>
                <w:rFonts w:ascii="Times New Roman" w:hAnsi="Times New Roman" w:cs="Times New Roman"/>
                <w:sz w:val="20"/>
                <w:szCs w:val="20"/>
              </w:rPr>
            </w:pPr>
            <w:r w:rsidRPr="00A52C2F">
              <w:rPr>
                <w:rFonts w:ascii="Times New Roman" w:hAnsi="Times New Roman" w:cs="Times New Roman"/>
                <w:sz w:val="20"/>
                <w:szCs w:val="20"/>
              </w:rPr>
              <w:t>5,7</w:t>
            </w:r>
          </w:p>
        </w:tc>
      </w:tr>
    </w:tbl>
    <w:p w14:paraId="0B1A339C" w14:textId="77777777" w:rsidR="00F61A45" w:rsidRDefault="00F61A45">
      <w:r>
        <w:br w:type="page"/>
      </w:r>
    </w:p>
    <w:tbl>
      <w:tblPr>
        <w:tblStyle w:val="af8"/>
        <w:tblW w:w="14880" w:type="dxa"/>
        <w:tblInd w:w="-147" w:type="dxa"/>
        <w:tblLayout w:type="fixed"/>
        <w:tblLook w:val="04A0" w:firstRow="1" w:lastRow="0" w:firstColumn="1" w:lastColumn="0" w:noHBand="0" w:noVBand="1"/>
      </w:tblPr>
      <w:tblGrid>
        <w:gridCol w:w="536"/>
        <w:gridCol w:w="1591"/>
        <w:gridCol w:w="2115"/>
        <w:gridCol w:w="993"/>
        <w:gridCol w:w="1275"/>
        <w:gridCol w:w="993"/>
        <w:gridCol w:w="2551"/>
        <w:gridCol w:w="1701"/>
        <w:gridCol w:w="1701"/>
        <w:gridCol w:w="1424"/>
      </w:tblGrid>
      <w:tr w:rsidR="00A36B73" w:rsidRPr="00DF030D" w14:paraId="6F086AD8" w14:textId="77777777" w:rsidTr="00E77388">
        <w:trPr>
          <w:trHeight w:val="20"/>
        </w:trPr>
        <w:tc>
          <w:tcPr>
            <w:tcW w:w="14880" w:type="dxa"/>
            <w:gridSpan w:val="10"/>
          </w:tcPr>
          <w:p w14:paraId="073A9F92" w14:textId="77777777" w:rsidR="00A36B73" w:rsidRPr="009B4FC0" w:rsidRDefault="00A36B73" w:rsidP="00A36B73">
            <w:pPr>
              <w:rPr>
                <w:rFonts w:ascii="Times New Roman" w:hAnsi="Times New Roman" w:cs="Times New Roman"/>
                <w:b/>
                <w:bCs/>
                <w:sz w:val="20"/>
                <w:szCs w:val="20"/>
              </w:rPr>
            </w:pPr>
            <w:r w:rsidRPr="009B4FC0">
              <w:rPr>
                <w:rFonts w:ascii="Times New Roman" w:hAnsi="Times New Roman" w:cs="Times New Roman"/>
                <w:b/>
                <w:bCs/>
                <w:sz w:val="20"/>
                <w:szCs w:val="20"/>
              </w:rPr>
              <w:lastRenderedPageBreak/>
              <w:t>ЗНАЧЕНИЯ КЛЮЧЕВЫХ ПОКАЗАТЕЛЕЙ ПО СИСТЕМНЫМ МЕРОПРИЯТИЯМ</w:t>
            </w:r>
          </w:p>
        </w:tc>
      </w:tr>
      <w:tr w:rsidR="00A36B73" w:rsidRPr="00DF030D" w14:paraId="4031EDCB" w14:textId="77777777" w:rsidTr="00E77388">
        <w:trPr>
          <w:trHeight w:val="20"/>
        </w:trPr>
        <w:tc>
          <w:tcPr>
            <w:tcW w:w="536" w:type="dxa"/>
            <w:shd w:val="clear" w:color="auto" w:fill="auto"/>
          </w:tcPr>
          <w:p w14:paraId="30F7D343" w14:textId="77777777" w:rsidR="00A36B73" w:rsidRPr="009B4FC0" w:rsidRDefault="00A36B73" w:rsidP="00A36B73">
            <w:pPr>
              <w:rPr>
                <w:rFonts w:ascii="Times New Roman" w:hAnsi="Times New Roman" w:cs="Times New Roman"/>
                <w:bCs/>
                <w:sz w:val="20"/>
                <w:szCs w:val="20"/>
              </w:rPr>
            </w:pPr>
            <w:r w:rsidRPr="009B4FC0">
              <w:rPr>
                <w:rFonts w:ascii="Times New Roman" w:hAnsi="Times New Roman" w:cs="Times New Roman"/>
                <w:bCs/>
                <w:sz w:val="20"/>
                <w:szCs w:val="20"/>
              </w:rPr>
              <w:t>№</w:t>
            </w:r>
          </w:p>
          <w:p w14:paraId="2E706F4F" w14:textId="77777777" w:rsidR="00A36B73" w:rsidRPr="009B4FC0" w:rsidRDefault="00A36B73" w:rsidP="00A36B73">
            <w:pPr>
              <w:rPr>
                <w:rFonts w:ascii="Times New Roman" w:hAnsi="Times New Roman" w:cs="Times New Roman"/>
                <w:bCs/>
                <w:sz w:val="20"/>
                <w:szCs w:val="20"/>
              </w:rPr>
            </w:pPr>
            <w:r w:rsidRPr="009B4FC0">
              <w:rPr>
                <w:rFonts w:ascii="Times New Roman" w:hAnsi="Times New Roman" w:cs="Times New Roman"/>
                <w:bCs/>
                <w:sz w:val="20"/>
                <w:szCs w:val="20"/>
              </w:rPr>
              <w:t xml:space="preserve"> п/п</w:t>
            </w:r>
          </w:p>
        </w:tc>
        <w:tc>
          <w:tcPr>
            <w:tcW w:w="1591" w:type="dxa"/>
            <w:shd w:val="clear" w:color="auto" w:fill="auto"/>
          </w:tcPr>
          <w:p w14:paraId="2A6AE57E" w14:textId="77777777" w:rsidR="00A36B73" w:rsidRPr="009B4FC0" w:rsidRDefault="00A36B73" w:rsidP="00A36B73">
            <w:pPr>
              <w:rPr>
                <w:rFonts w:ascii="Times New Roman" w:hAnsi="Times New Roman" w:cs="Times New Roman"/>
                <w:bCs/>
                <w:sz w:val="20"/>
                <w:szCs w:val="20"/>
              </w:rPr>
            </w:pPr>
            <w:r w:rsidRPr="009B4FC0">
              <w:rPr>
                <w:rFonts w:ascii="Times New Roman" w:hAnsi="Times New Roman" w:cs="Times New Roman"/>
                <w:bCs/>
                <w:sz w:val="20"/>
                <w:szCs w:val="20"/>
              </w:rPr>
              <w:t>Наименование рынка (направления системного мероприятия)</w:t>
            </w:r>
          </w:p>
        </w:tc>
        <w:tc>
          <w:tcPr>
            <w:tcW w:w="2115" w:type="dxa"/>
            <w:shd w:val="clear" w:color="auto" w:fill="auto"/>
          </w:tcPr>
          <w:p w14:paraId="61F2EAAA" w14:textId="77777777" w:rsidR="00A36B73" w:rsidRPr="009B4FC0" w:rsidRDefault="00A36B73" w:rsidP="00A36B73">
            <w:pPr>
              <w:rPr>
                <w:rFonts w:ascii="Times New Roman" w:hAnsi="Times New Roman" w:cs="Times New Roman"/>
                <w:bCs/>
                <w:sz w:val="20"/>
                <w:szCs w:val="20"/>
              </w:rPr>
            </w:pPr>
            <w:r w:rsidRPr="009B4FC0">
              <w:rPr>
                <w:rFonts w:ascii="Times New Roman" w:hAnsi="Times New Roman" w:cs="Times New Roman"/>
                <w:bCs/>
                <w:sz w:val="20"/>
                <w:szCs w:val="20"/>
              </w:rPr>
              <w:t xml:space="preserve">Наименование показателя, </w:t>
            </w:r>
          </w:p>
          <w:p w14:paraId="3F215812" w14:textId="77777777" w:rsidR="00A36B73" w:rsidRPr="009B4FC0" w:rsidRDefault="00A36B73" w:rsidP="00A36B73">
            <w:pPr>
              <w:rPr>
                <w:rFonts w:ascii="Times New Roman" w:hAnsi="Times New Roman" w:cs="Times New Roman"/>
                <w:bCs/>
                <w:sz w:val="20"/>
                <w:szCs w:val="20"/>
              </w:rPr>
            </w:pPr>
            <w:r w:rsidRPr="009B4FC0">
              <w:rPr>
                <w:rFonts w:ascii="Times New Roman" w:hAnsi="Times New Roman" w:cs="Times New Roman"/>
                <w:bCs/>
                <w:sz w:val="20"/>
                <w:szCs w:val="20"/>
              </w:rPr>
              <w:t>ед. измерения</w:t>
            </w:r>
          </w:p>
        </w:tc>
        <w:tc>
          <w:tcPr>
            <w:tcW w:w="993" w:type="dxa"/>
            <w:shd w:val="clear" w:color="auto" w:fill="auto"/>
          </w:tcPr>
          <w:p w14:paraId="7D3C7BFC" w14:textId="77777777" w:rsidR="00A36B73" w:rsidRPr="009B4FC0" w:rsidRDefault="00A36B73" w:rsidP="00A36B73">
            <w:pPr>
              <w:rPr>
                <w:rFonts w:ascii="Times New Roman" w:hAnsi="Times New Roman" w:cs="Times New Roman"/>
                <w:bCs/>
                <w:sz w:val="20"/>
                <w:szCs w:val="20"/>
              </w:rPr>
            </w:pPr>
            <w:r w:rsidRPr="009B4FC0">
              <w:rPr>
                <w:rFonts w:ascii="Times New Roman" w:hAnsi="Times New Roman" w:cs="Times New Roman"/>
                <w:bCs/>
                <w:sz w:val="20"/>
                <w:szCs w:val="20"/>
              </w:rPr>
              <w:t>Исходное значение показателя в 2019 году (фактическое за 2018 год)</w:t>
            </w:r>
          </w:p>
        </w:tc>
        <w:tc>
          <w:tcPr>
            <w:tcW w:w="1275" w:type="dxa"/>
            <w:shd w:val="clear" w:color="auto" w:fill="auto"/>
          </w:tcPr>
          <w:p w14:paraId="146D5D66" w14:textId="77777777" w:rsidR="00A36B73" w:rsidRPr="009B4FC0" w:rsidRDefault="00A36B73" w:rsidP="00A36B73">
            <w:pPr>
              <w:rPr>
                <w:rFonts w:ascii="Times New Roman" w:hAnsi="Times New Roman" w:cs="Times New Roman"/>
                <w:bCs/>
                <w:sz w:val="20"/>
                <w:szCs w:val="20"/>
              </w:rPr>
            </w:pPr>
            <w:r w:rsidRPr="009B4FC0">
              <w:rPr>
                <w:rFonts w:ascii="Times New Roman" w:hAnsi="Times New Roman" w:cs="Times New Roman"/>
                <w:bCs/>
                <w:sz w:val="20"/>
                <w:szCs w:val="20"/>
              </w:rPr>
              <w:t>Целевое значения показателя, установленное в «Дорожной карте» на 2019 год</w:t>
            </w:r>
          </w:p>
        </w:tc>
        <w:tc>
          <w:tcPr>
            <w:tcW w:w="993" w:type="dxa"/>
            <w:shd w:val="clear" w:color="auto" w:fill="auto"/>
          </w:tcPr>
          <w:p w14:paraId="42A4C66E" w14:textId="0EC599C2" w:rsidR="00A36B73" w:rsidRPr="009B4FC0" w:rsidRDefault="00A36B73" w:rsidP="00A36B73">
            <w:pPr>
              <w:rPr>
                <w:rFonts w:ascii="Times New Roman" w:hAnsi="Times New Roman" w:cs="Times New Roman"/>
                <w:bCs/>
                <w:sz w:val="20"/>
                <w:szCs w:val="20"/>
              </w:rPr>
            </w:pPr>
            <w:r w:rsidRPr="009B4FC0">
              <w:rPr>
                <w:rFonts w:ascii="Times New Roman" w:hAnsi="Times New Roman" w:cs="Times New Roman"/>
                <w:bCs/>
                <w:sz w:val="20"/>
                <w:szCs w:val="20"/>
              </w:rPr>
              <w:t>Фактическое значение показателя</w:t>
            </w:r>
            <w:r w:rsidR="00A52C2F" w:rsidRPr="009B4FC0">
              <w:rPr>
                <w:rFonts w:ascii="Times New Roman" w:hAnsi="Times New Roman" w:cs="Times New Roman"/>
                <w:bCs/>
                <w:sz w:val="20"/>
                <w:szCs w:val="20"/>
              </w:rPr>
              <w:t xml:space="preserve"> </w:t>
            </w:r>
            <w:r w:rsidRPr="009B4FC0">
              <w:rPr>
                <w:rFonts w:ascii="Times New Roman" w:hAnsi="Times New Roman" w:cs="Times New Roman"/>
                <w:bCs/>
                <w:sz w:val="20"/>
                <w:szCs w:val="20"/>
              </w:rPr>
              <w:t xml:space="preserve">  в отчетном году</w:t>
            </w:r>
          </w:p>
        </w:tc>
        <w:tc>
          <w:tcPr>
            <w:tcW w:w="2551" w:type="dxa"/>
            <w:shd w:val="clear" w:color="auto" w:fill="auto"/>
          </w:tcPr>
          <w:p w14:paraId="465D4287" w14:textId="77777777" w:rsidR="00A36B73" w:rsidRPr="009B4FC0" w:rsidRDefault="00A36B73" w:rsidP="00A36B73">
            <w:pPr>
              <w:rPr>
                <w:rFonts w:ascii="Times New Roman" w:hAnsi="Times New Roman" w:cs="Times New Roman"/>
                <w:bCs/>
                <w:sz w:val="20"/>
                <w:szCs w:val="20"/>
              </w:rPr>
            </w:pPr>
            <w:r w:rsidRPr="009B4FC0">
              <w:rPr>
                <w:rFonts w:ascii="Times New Roman" w:hAnsi="Times New Roman" w:cs="Times New Roman"/>
                <w:bCs/>
                <w:sz w:val="20"/>
                <w:szCs w:val="20"/>
              </w:rPr>
              <w:t>Источник данных для расчета показателя</w:t>
            </w:r>
          </w:p>
        </w:tc>
        <w:tc>
          <w:tcPr>
            <w:tcW w:w="1701" w:type="dxa"/>
            <w:shd w:val="clear" w:color="auto" w:fill="auto"/>
          </w:tcPr>
          <w:p w14:paraId="02CE0359" w14:textId="77777777" w:rsidR="00A36B73" w:rsidRPr="009B4FC0" w:rsidRDefault="00A36B73" w:rsidP="00A36B73">
            <w:pPr>
              <w:rPr>
                <w:rFonts w:ascii="Times New Roman" w:hAnsi="Times New Roman" w:cs="Times New Roman"/>
                <w:bCs/>
                <w:sz w:val="20"/>
                <w:szCs w:val="20"/>
              </w:rPr>
            </w:pPr>
            <w:r w:rsidRPr="009B4FC0">
              <w:rPr>
                <w:rFonts w:ascii="Times New Roman" w:hAnsi="Times New Roman" w:cs="Times New Roman"/>
                <w:bCs/>
                <w:sz w:val="20"/>
                <w:szCs w:val="20"/>
              </w:rPr>
              <w:t>Методика расчета показателя</w:t>
            </w:r>
          </w:p>
        </w:tc>
        <w:tc>
          <w:tcPr>
            <w:tcW w:w="1701" w:type="dxa"/>
            <w:shd w:val="clear" w:color="auto" w:fill="auto"/>
            <w:noWrap/>
          </w:tcPr>
          <w:p w14:paraId="346319B1" w14:textId="77777777" w:rsidR="00A36B73" w:rsidRPr="009B4FC0" w:rsidRDefault="00A36B73" w:rsidP="00A36B73">
            <w:pPr>
              <w:rPr>
                <w:rFonts w:ascii="Times New Roman" w:hAnsi="Times New Roman" w:cs="Times New Roman"/>
                <w:bCs/>
                <w:sz w:val="20"/>
                <w:szCs w:val="20"/>
              </w:rPr>
            </w:pPr>
            <w:r w:rsidRPr="009B4FC0">
              <w:rPr>
                <w:rFonts w:ascii="Times New Roman" w:hAnsi="Times New Roman" w:cs="Times New Roman"/>
                <w:bCs/>
                <w:sz w:val="20"/>
                <w:szCs w:val="20"/>
              </w:rPr>
              <w:t>Удовлетворенность потребителей качеством товаров, работ и услуг на рынках НСО и состоянием ценовой конкуренции, процентов</w:t>
            </w:r>
            <w:r w:rsidRPr="009B4FC0">
              <w:rPr>
                <w:rFonts w:ascii="Times New Roman" w:hAnsi="Times New Roman" w:cs="Times New Roman"/>
                <w:bCs/>
                <w:sz w:val="20"/>
                <w:szCs w:val="20"/>
              </w:rPr>
              <w:br/>
              <w:t>(качество/цена/доступность)</w:t>
            </w:r>
          </w:p>
        </w:tc>
        <w:tc>
          <w:tcPr>
            <w:tcW w:w="1419" w:type="dxa"/>
            <w:shd w:val="clear" w:color="auto" w:fill="auto"/>
            <w:noWrap/>
          </w:tcPr>
          <w:p w14:paraId="58DD6328" w14:textId="77777777" w:rsidR="00A36B73" w:rsidRPr="009B4FC0" w:rsidRDefault="00A36B73" w:rsidP="00A36B73">
            <w:pPr>
              <w:rPr>
                <w:rFonts w:ascii="Times New Roman" w:hAnsi="Times New Roman" w:cs="Times New Roman"/>
                <w:bCs/>
                <w:sz w:val="20"/>
                <w:szCs w:val="20"/>
              </w:rPr>
            </w:pPr>
            <w:r w:rsidRPr="009B4FC0">
              <w:rPr>
                <w:rFonts w:ascii="Times New Roman" w:hAnsi="Times New Roman" w:cs="Times New Roman"/>
                <w:bCs/>
                <w:sz w:val="20"/>
                <w:szCs w:val="20"/>
              </w:rPr>
              <w:t>Удовлетворенность предпринимателей действиями органов власти региона, процентов</w:t>
            </w:r>
          </w:p>
        </w:tc>
      </w:tr>
      <w:tr w:rsidR="00A36B73" w:rsidRPr="00DF030D" w14:paraId="31F423A1" w14:textId="77777777" w:rsidTr="00E77388">
        <w:trPr>
          <w:trHeight w:val="20"/>
        </w:trPr>
        <w:tc>
          <w:tcPr>
            <w:tcW w:w="536" w:type="dxa"/>
            <w:hideMark/>
          </w:tcPr>
          <w:p w14:paraId="567C4CAD"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w:t>
            </w:r>
          </w:p>
        </w:tc>
        <w:tc>
          <w:tcPr>
            <w:tcW w:w="1591" w:type="dxa"/>
            <w:hideMark/>
          </w:tcPr>
          <w:p w14:paraId="79967112" w14:textId="77777777" w:rsidR="00A36B73" w:rsidRPr="009B4FC0" w:rsidRDefault="00A36B73" w:rsidP="00A36B73">
            <w:pPr>
              <w:spacing w:after="160"/>
              <w:rPr>
                <w:rFonts w:ascii="Times New Roman" w:hAnsi="Times New Roman" w:cs="Times New Roman"/>
                <w:sz w:val="20"/>
                <w:szCs w:val="20"/>
              </w:rPr>
            </w:pPr>
            <w:r w:rsidRPr="009B4FC0">
              <w:rPr>
                <w:rFonts w:ascii="Times New Roman" w:hAnsi="Times New Roman" w:cs="Times New Roman"/>
                <w:sz w:val="20"/>
                <w:szCs w:val="20"/>
              </w:rPr>
              <w:t xml:space="preserve">Повышение эффективности поддержки предприятий </w:t>
            </w:r>
            <w:r w:rsidRPr="009B4FC0">
              <w:rPr>
                <w:rFonts w:ascii="Times New Roman" w:hAnsi="Times New Roman" w:cs="Times New Roman"/>
                <w:sz w:val="20"/>
                <w:szCs w:val="20"/>
              </w:rPr>
              <w:br/>
              <w:t>и индивидуальных предпринимателей с целью организации поставок продукции собственного производства, в том числе на зарубежные рынки</w:t>
            </w:r>
          </w:p>
        </w:tc>
        <w:tc>
          <w:tcPr>
            <w:tcW w:w="2115" w:type="dxa"/>
            <w:hideMark/>
          </w:tcPr>
          <w:p w14:paraId="1B7CB2C8" w14:textId="77777777" w:rsidR="00A36B73" w:rsidRPr="009B4FC0" w:rsidRDefault="00A36B73" w:rsidP="00A36B73">
            <w:pPr>
              <w:spacing w:after="160"/>
              <w:rPr>
                <w:rFonts w:ascii="Times New Roman" w:hAnsi="Times New Roman" w:cs="Times New Roman"/>
                <w:sz w:val="20"/>
                <w:szCs w:val="20"/>
              </w:rPr>
            </w:pPr>
            <w:r w:rsidRPr="009B4FC0">
              <w:rPr>
                <w:rFonts w:ascii="Times New Roman" w:hAnsi="Times New Roman" w:cs="Times New Roman"/>
                <w:sz w:val="20"/>
                <w:szCs w:val="20"/>
              </w:rPr>
              <w:t xml:space="preserve">Ежегодный рост объема отгруженных товаров собственного производства, </w:t>
            </w:r>
            <w:r w:rsidRPr="009B4FC0">
              <w:rPr>
                <w:rFonts w:ascii="Times New Roman" w:hAnsi="Times New Roman" w:cs="Times New Roman"/>
                <w:b/>
                <w:sz w:val="20"/>
                <w:szCs w:val="20"/>
              </w:rPr>
              <w:t>%</w:t>
            </w:r>
          </w:p>
        </w:tc>
        <w:tc>
          <w:tcPr>
            <w:tcW w:w="993" w:type="dxa"/>
            <w:hideMark/>
          </w:tcPr>
          <w:p w14:paraId="19E36439"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118</w:t>
            </w:r>
          </w:p>
        </w:tc>
        <w:tc>
          <w:tcPr>
            <w:tcW w:w="1275" w:type="dxa"/>
            <w:hideMark/>
          </w:tcPr>
          <w:p w14:paraId="43888FB6"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&gt;100</w:t>
            </w:r>
          </w:p>
        </w:tc>
        <w:tc>
          <w:tcPr>
            <w:tcW w:w="993" w:type="dxa"/>
            <w:hideMark/>
          </w:tcPr>
          <w:p w14:paraId="68FE0B0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115</w:t>
            </w:r>
          </w:p>
        </w:tc>
        <w:tc>
          <w:tcPr>
            <w:tcW w:w="2551" w:type="dxa"/>
            <w:hideMark/>
          </w:tcPr>
          <w:p w14:paraId="74F96062"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Статистический сборник «Сведения об объеме отгруженной продукции (работ услуг) в действующих ценах организаций Новосибирской области» (f-04-2/4)</w:t>
            </w:r>
          </w:p>
        </w:tc>
        <w:tc>
          <w:tcPr>
            <w:tcW w:w="1701" w:type="dxa"/>
            <w:hideMark/>
          </w:tcPr>
          <w:p w14:paraId="1DF377D4"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Методика расчета статистического показателя</w:t>
            </w:r>
          </w:p>
        </w:tc>
        <w:tc>
          <w:tcPr>
            <w:tcW w:w="1701" w:type="dxa"/>
            <w:noWrap/>
            <w:hideMark/>
          </w:tcPr>
          <w:p w14:paraId="2048CCF8"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c>
          <w:tcPr>
            <w:tcW w:w="1419" w:type="dxa"/>
            <w:noWrap/>
            <w:hideMark/>
          </w:tcPr>
          <w:p w14:paraId="23EC0E7A"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r w:rsidR="00A36B73" w:rsidRPr="00DF030D" w14:paraId="2A28C925" w14:textId="77777777" w:rsidTr="00E77388">
        <w:trPr>
          <w:trHeight w:val="20"/>
        </w:trPr>
        <w:tc>
          <w:tcPr>
            <w:tcW w:w="536" w:type="dxa"/>
            <w:hideMark/>
          </w:tcPr>
          <w:p w14:paraId="7E07B200"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2.</w:t>
            </w:r>
          </w:p>
        </w:tc>
        <w:tc>
          <w:tcPr>
            <w:tcW w:w="1591" w:type="dxa"/>
            <w:hideMark/>
          </w:tcPr>
          <w:p w14:paraId="08449407"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Проведение закупок у субъектов малого и среднего предпринимательства </w:t>
            </w:r>
            <w:r w:rsidRPr="009B4FC0">
              <w:rPr>
                <w:rFonts w:ascii="Times New Roman" w:hAnsi="Times New Roman" w:cs="Times New Roman"/>
                <w:sz w:val="20"/>
                <w:szCs w:val="20"/>
              </w:rPr>
              <w:br/>
              <w:t xml:space="preserve">в соответствии с Федеральным законом от 18.07.2011 № 223-ФЗ </w:t>
            </w:r>
            <w:r w:rsidRPr="009B4FC0">
              <w:rPr>
                <w:rFonts w:ascii="Times New Roman" w:hAnsi="Times New Roman" w:cs="Times New Roman"/>
                <w:sz w:val="20"/>
                <w:szCs w:val="20"/>
              </w:rPr>
              <w:br/>
            </w:r>
            <w:r w:rsidRPr="009B4FC0">
              <w:rPr>
                <w:rFonts w:ascii="Times New Roman" w:hAnsi="Times New Roman" w:cs="Times New Roman"/>
                <w:sz w:val="20"/>
                <w:szCs w:val="20"/>
              </w:rPr>
              <w:lastRenderedPageBreak/>
              <w:t>«О закупках товаров, работ, услуг отдельными видами юридических лиц»</w:t>
            </w:r>
          </w:p>
        </w:tc>
        <w:tc>
          <w:tcPr>
            <w:tcW w:w="2115" w:type="dxa"/>
            <w:hideMark/>
          </w:tcPr>
          <w:p w14:paraId="49EF84EB"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 xml:space="preserve">Доля закупок у субъектов малого и среднего предпринимательства </w:t>
            </w:r>
            <w:r w:rsidRPr="009B4FC0">
              <w:rPr>
                <w:rFonts w:ascii="Times New Roman" w:hAnsi="Times New Roman" w:cs="Times New Roman"/>
                <w:sz w:val="20"/>
                <w:szCs w:val="20"/>
              </w:rPr>
              <w:br/>
              <w:t xml:space="preserve">в совокупном стоимостном объеме договоров, заключенных по результатам закупок в соответствии </w:t>
            </w:r>
            <w:r w:rsidRPr="009B4FC0">
              <w:rPr>
                <w:rFonts w:ascii="Times New Roman" w:hAnsi="Times New Roman" w:cs="Times New Roman"/>
                <w:sz w:val="20"/>
                <w:szCs w:val="20"/>
              </w:rPr>
              <w:br/>
              <w:t xml:space="preserve">с Федеральным законом </w:t>
            </w:r>
            <w:r w:rsidRPr="009B4FC0">
              <w:rPr>
                <w:rFonts w:ascii="Times New Roman" w:hAnsi="Times New Roman" w:cs="Times New Roman"/>
                <w:sz w:val="20"/>
                <w:szCs w:val="20"/>
              </w:rPr>
              <w:br/>
            </w:r>
            <w:r w:rsidRPr="009B4FC0">
              <w:rPr>
                <w:rFonts w:ascii="Times New Roman" w:hAnsi="Times New Roman" w:cs="Times New Roman"/>
                <w:sz w:val="20"/>
                <w:szCs w:val="20"/>
              </w:rPr>
              <w:lastRenderedPageBreak/>
              <w:t xml:space="preserve">от 18.07.2011 № 223-ФЗ </w:t>
            </w:r>
            <w:r w:rsidRPr="009B4FC0">
              <w:rPr>
                <w:rFonts w:ascii="Times New Roman" w:hAnsi="Times New Roman" w:cs="Times New Roman"/>
                <w:sz w:val="20"/>
                <w:szCs w:val="20"/>
              </w:rPr>
              <w:br/>
              <w:t xml:space="preserve">«О закупках товаров, работ, услуг отдельными видами юридических лиц», </w:t>
            </w:r>
            <w:r w:rsidRPr="009B4FC0">
              <w:rPr>
                <w:rFonts w:ascii="Times New Roman" w:hAnsi="Times New Roman" w:cs="Times New Roman"/>
                <w:b/>
                <w:sz w:val="20"/>
                <w:szCs w:val="20"/>
              </w:rPr>
              <w:t>%</w:t>
            </w:r>
          </w:p>
        </w:tc>
        <w:tc>
          <w:tcPr>
            <w:tcW w:w="993" w:type="dxa"/>
            <w:hideMark/>
          </w:tcPr>
          <w:p w14:paraId="04CB03F1"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24,2</w:t>
            </w:r>
          </w:p>
        </w:tc>
        <w:tc>
          <w:tcPr>
            <w:tcW w:w="1275" w:type="dxa"/>
            <w:hideMark/>
          </w:tcPr>
          <w:p w14:paraId="7B62DC7C"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23</w:t>
            </w:r>
          </w:p>
        </w:tc>
        <w:tc>
          <w:tcPr>
            <w:tcW w:w="993" w:type="dxa"/>
            <w:hideMark/>
          </w:tcPr>
          <w:p w14:paraId="1AB17A22"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47,7</w:t>
            </w:r>
          </w:p>
        </w:tc>
        <w:tc>
          <w:tcPr>
            <w:tcW w:w="2551" w:type="dxa"/>
            <w:hideMark/>
          </w:tcPr>
          <w:p w14:paraId="25A73236"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Отчетные данные областных исполнительных органов государственной власти Новосибирской области; органов местного самоуправления муниципальных образований Новосибирской области</w:t>
            </w:r>
          </w:p>
        </w:tc>
        <w:tc>
          <w:tcPr>
            <w:tcW w:w="1701" w:type="dxa"/>
            <w:hideMark/>
          </w:tcPr>
          <w:p w14:paraId="1A3DFC8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Отношение суммы контрактов по конкурентным закупкам, участниками которых могли быть только СМСП, и конкурентных закупок, участниками </w:t>
            </w:r>
            <w:r w:rsidRPr="009B4FC0">
              <w:rPr>
                <w:rFonts w:ascii="Times New Roman" w:hAnsi="Times New Roman" w:cs="Times New Roman"/>
                <w:sz w:val="20"/>
                <w:szCs w:val="20"/>
              </w:rPr>
              <w:lastRenderedPageBreak/>
              <w:t>которых могли быть любые лица, победителями которых стали СМСП (в т.ч. несостоявшихся) к общей сумме заключенных контрактов по результатам конкурентных процедур (в т.ч. несостоявшихся).</w:t>
            </w:r>
          </w:p>
        </w:tc>
        <w:tc>
          <w:tcPr>
            <w:tcW w:w="1701" w:type="dxa"/>
            <w:noWrap/>
            <w:hideMark/>
          </w:tcPr>
          <w:p w14:paraId="570CFE96"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w:t>
            </w:r>
          </w:p>
        </w:tc>
        <w:tc>
          <w:tcPr>
            <w:tcW w:w="1419" w:type="dxa"/>
            <w:noWrap/>
            <w:hideMark/>
          </w:tcPr>
          <w:p w14:paraId="288FA7E5"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r w:rsidR="00A36B73" w:rsidRPr="00DF030D" w14:paraId="46F31DBC" w14:textId="77777777" w:rsidTr="00E77388">
        <w:trPr>
          <w:trHeight w:val="20"/>
        </w:trPr>
        <w:tc>
          <w:tcPr>
            <w:tcW w:w="536" w:type="dxa"/>
            <w:hideMark/>
          </w:tcPr>
          <w:p w14:paraId="79B958D2"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3.</w:t>
            </w:r>
          </w:p>
        </w:tc>
        <w:tc>
          <w:tcPr>
            <w:tcW w:w="1591" w:type="dxa"/>
            <w:hideMark/>
          </w:tcPr>
          <w:p w14:paraId="56915BF6"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Проведение закупок у субъектов малого предпринимательства </w:t>
            </w:r>
            <w:r w:rsidRPr="009B4FC0">
              <w:rPr>
                <w:rFonts w:ascii="Times New Roman" w:hAnsi="Times New Roman" w:cs="Times New Roman"/>
                <w:sz w:val="20"/>
                <w:szCs w:val="20"/>
              </w:rPr>
              <w:br/>
              <w:t>в соответствии с Федеральным законом от 05.04.2013 № 44-ФЗ</w:t>
            </w:r>
            <w:r w:rsidRPr="009B4FC0">
              <w:rPr>
                <w:rFonts w:ascii="Times New Roman" w:hAnsi="Times New Roman" w:cs="Times New Roman"/>
                <w:sz w:val="20"/>
                <w:szCs w:val="20"/>
              </w:rPr>
              <w:br/>
              <w:t xml:space="preserve">«О контрактной системе в сфере закупок товаров, работ, услуг </w:t>
            </w:r>
            <w:r w:rsidRPr="009B4FC0">
              <w:rPr>
                <w:rFonts w:ascii="Times New Roman" w:hAnsi="Times New Roman" w:cs="Times New Roman"/>
                <w:sz w:val="20"/>
                <w:szCs w:val="20"/>
              </w:rPr>
              <w:br/>
              <w:t>для обеспечения государственных и муниципальных нужд»</w:t>
            </w:r>
          </w:p>
        </w:tc>
        <w:tc>
          <w:tcPr>
            <w:tcW w:w="2115" w:type="dxa"/>
            <w:hideMark/>
          </w:tcPr>
          <w:p w14:paraId="2181C6F5"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Доля закупок у субъектов малого предпринимательства в совокупном стоимостном объеме контрактов, заключенных по результатам закупок в соответствии </w:t>
            </w:r>
            <w:r w:rsidRPr="009B4FC0">
              <w:rPr>
                <w:rFonts w:ascii="Times New Roman" w:hAnsi="Times New Roman" w:cs="Times New Roman"/>
                <w:sz w:val="20"/>
                <w:szCs w:val="20"/>
              </w:rPr>
              <w:br/>
              <w:t xml:space="preserve">с Федеральным законом </w:t>
            </w:r>
            <w:r w:rsidRPr="009B4FC0">
              <w:rPr>
                <w:rFonts w:ascii="Times New Roman" w:hAnsi="Times New Roman" w:cs="Times New Roman"/>
                <w:sz w:val="20"/>
                <w:szCs w:val="20"/>
              </w:rPr>
              <w:br/>
              <w:t xml:space="preserve">от 05.04.2013 № 44-ФЗ «О контрактной системе в сфере закупок товаров, работ, услуг для обеспечения государственных и муниципальных нужд», </w:t>
            </w:r>
            <w:r w:rsidRPr="009B4FC0">
              <w:rPr>
                <w:rFonts w:ascii="Times New Roman" w:hAnsi="Times New Roman" w:cs="Times New Roman"/>
                <w:b/>
                <w:sz w:val="20"/>
                <w:szCs w:val="20"/>
              </w:rPr>
              <w:t>%</w:t>
            </w:r>
          </w:p>
        </w:tc>
        <w:tc>
          <w:tcPr>
            <w:tcW w:w="993" w:type="dxa"/>
            <w:hideMark/>
          </w:tcPr>
          <w:p w14:paraId="0ABA6FA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В рамках реализации мероприятий по содействию развитию конкуренции введен впервые в 2019 году.</w:t>
            </w:r>
          </w:p>
        </w:tc>
        <w:tc>
          <w:tcPr>
            <w:tcW w:w="1275" w:type="dxa"/>
            <w:hideMark/>
          </w:tcPr>
          <w:p w14:paraId="2D597065"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35</w:t>
            </w:r>
          </w:p>
        </w:tc>
        <w:tc>
          <w:tcPr>
            <w:tcW w:w="993" w:type="dxa"/>
            <w:hideMark/>
          </w:tcPr>
          <w:p w14:paraId="5B39A4A9"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45,1</w:t>
            </w:r>
          </w:p>
        </w:tc>
        <w:tc>
          <w:tcPr>
            <w:tcW w:w="2551" w:type="dxa"/>
            <w:hideMark/>
          </w:tcPr>
          <w:p w14:paraId="4D6EDCA8"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Отчетные данные областных исполнительных органов государственной власти Новосибирской области; органов местного самоуправления муниципальных образований Новосибирской области</w:t>
            </w:r>
          </w:p>
        </w:tc>
        <w:tc>
          <w:tcPr>
            <w:tcW w:w="1701" w:type="dxa"/>
            <w:hideMark/>
          </w:tcPr>
          <w:p w14:paraId="3113FD2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Отношение суммы контрактов по конкурентным закупкам, участниками которых могли быть только СМП, и конкурентных закупок, участниками которых могли быть любые лица, победителями которых стали СМП (в т.ч. несостоявшихся) к общей сумме заключенных контрактов по результатам конкурентных процедур (в т.ч. несостоявшихся).</w:t>
            </w:r>
          </w:p>
        </w:tc>
        <w:tc>
          <w:tcPr>
            <w:tcW w:w="1701" w:type="dxa"/>
            <w:noWrap/>
            <w:hideMark/>
          </w:tcPr>
          <w:p w14:paraId="66E2F4F7"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c>
          <w:tcPr>
            <w:tcW w:w="1419" w:type="dxa"/>
            <w:noWrap/>
            <w:hideMark/>
          </w:tcPr>
          <w:p w14:paraId="2BDC8BFC"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r w:rsidR="00A36B73" w:rsidRPr="00DF030D" w14:paraId="623004AE" w14:textId="77777777" w:rsidTr="00E77388">
        <w:trPr>
          <w:trHeight w:val="20"/>
        </w:trPr>
        <w:tc>
          <w:tcPr>
            <w:tcW w:w="536" w:type="dxa"/>
            <w:hideMark/>
          </w:tcPr>
          <w:p w14:paraId="77C8914E"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4.</w:t>
            </w:r>
          </w:p>
        </w:tc>
        <w:tc>
          <w:tcPr>
            <w:tcW w:w="1591" w:type="dxa"/>
            <w:hideMark/>
          </w:tcPr>
          <w:p w14:paraId="647B5FA2"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Осуществление закупок конкурентными способами </w:t>
            </w:r>
            <w:r w:rsidRPr="009B4FC0">
              <w:rPr>
                <w:rFonts w:ascii="Times New Roman" w:hAnsi="Times New Roman" w:cs="Times New Roman"/>
                <w:sz w:val="20"/>
                <w:szCs w:val="20"/>
              </w:rPr>
              <w:lastRenderedPageBreak/>
              <w:t>определения поставщиков (подрядчиков, исполнителей)</w:t>
            </w:r>
            <w:r w:rsidRPr="009B4FC0">
              <w:rPr>
                <w:rFonts w:ascii="Times New Roman" w:hAnsi="Times New Roman" w:cs="Times New Roman"/>
                <w:sz w:val="20"/>
                <w:szCs w:val="20"/>
              </w:rPr>
              <w:br/>
              <w:t>в соответствии с Федеральным законом от 18.07.2011 № 223-ФЗ «О закупках товаров, работ, услуг отдельными видами юридических лиц»</w:t>
            </w:r>
          </w:p>
        </w:tc>
        <w:tc>
          <w:tcPr>
            <w:tcW w:w="2115" w:type="dxa"/>
            <w:hideMark/>
          </w:tcPr>
          <w:p w14:paraId="6C10C542"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 xml:space="preserve">Среднее число участников закупок по результатам конкурентных способов </w:t>
            </w:r>
            <w:r w:rsidRPr="009B4FC0">
              <w:rPr>
                <w:rFonts w:ascii="Times New Roman" w:hAnsi="Times New Roman" w:cs="Times New Roman"/>
                <w:sz w:val="20"/>
                <w:szCs w:val="20"/>
              </w:rPr>
              <w:lastRenderedPageBreak/>
              <w:t xml:space="preserve">определения поставщиков (подрядчиков, исполнителей) в соответствии с Федеральным законом от 18.07.2011 </w:t>
            </w:r>
            <w:r w:rsidRPr="009B4FC0">
              <w:rPr>
                <w:rFonts w:ascii="Times New Roman" w:hAnsi="Times New Roman" w:cs="Times New Roman"/>
                <w:sz w:val="20"/>
                <w:szCs w:val="20"/>
              </w:rPr>
              <w:br/>
              <w:t xml:space="preserve">№ 223-ФЗ «О закупках товаров, работ, услуг отдельными видами юридических лиц», </w:t>
            </w:r>
            <w:r w:rsidRPr="009B4FC0">
              <w:rPr>
                <w:rFonts w:ascii="Times New Roman" w:hAnsi="Times New Roman" w:cs="Times New Roman"/>
                <w:b/>
                <w:sz w:val="20"/>
                <w:szCs w:val="20"/>
              </w:rPr>
              <w:t>%</w:t>
            </w:r>
          </w:p>
        </w:tc>
        <w:tc>
          <w:tcPr>
            <w:tcW w:w="993" w:type="dxa"/>
            <w:hideMark/>
          </w:tcPr>
          <w:p w14:paraId="5A6C5509"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 xml:space="preserve">Не рассчитывался, введен </w:t>
            </w:r>
            <w:r w:rsidRPr="009B4FC0">
              <w:rPr>
                <w:rFonts w:ascii="Times New Roman" w:hAnsi="Times New Roman" w:cs="Times New Roman"/>
                <w:sz w:val="20"/>
                <w:szCs w:val="20"/>
              </w:rPr>
              <w:lastRenderedPageBreak/>
              <w:t>впервые в 2019 году</w:t>
            </w:r>
          </w:p>
        </w:tc>
        <w:tc>
          <w:tcPr>
            <w:tcW w:w="1275" w:type="dxa"/>
            <w:hideMark/>
          </w:tcPr>
          <w:p w14:paraId="09070F04"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3</w:t>
            </w:r>
          </w:p>
        </w:tc>
        <w:tc>
          <w:tcPr>
            <w:tcW w:w="993" w:type="dxa"/>
            <w:hideMark/>
          </w:tcPr>
          <w:p w14:paraId="6ED7D0A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2</w:t>
            </w:r>
          </w:p>
        </w:tc>
        <w:tc>
          <w:tcPr>
            <w:tcW w:w="2551" w:type="dxa"/>
            <w:hideMark/>
          </w:tcPr>
          <w:p w14:paraId="686BE24A"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Отчетные данные областных исполнительных органов государственной власти Новосибирской области; </w:t>
            </w:r>
            <w:r w:rsidRPr="009B4FC0">
              <w:rPr>
                <w:rFonts w:ascii="Times New Roman" w:hAnsi="Times New Roman" w:cs="Times New Roman"/>
                <w:sz w:val="20"/>
                <w:szCs w:val="20"/>
              </w:rPr>
              <w:lastRenderedPageBreak/>
              <w:t>органов местного самоуправления муниципальных образований Новосибирской области</w:t>
            </w:r>
          </w:p>
        </w:tc>
        <w:tc>
          <w:tcPr>
            <w:tcW w:w="1701" w:type="dxa"/>
            <w:hideMark/>
          </w:tcPr>
          <w:p w14:paraId="0DD53270"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 xml:space="preserve">Отношение общего числа поданных заявок на участие в определении </w:t>
            </w:r>
            <w:r w:rsidRPr="009B4FC0">
              <w:rPr>
                <w:rFonts w:ascii="Times New Roman" w:hAnsi="Times New Roman" w:cs="Times New Roman"/>
                <w:sz w:val="20"/>
                <w:szCs w:val="20"/>
              </w:rPr>
              <w:lastRenderedPageBreak/>
              <w:t xml:space="preserve">поставщика (подрядчика, исполнителя) к общему числу опубликованных конкурентных закупок (за исключением отмененных). </w:t>
            </w:r>
          </w:p>
        </w:tc>
        <w:tc>
          <w:tcPr>
            <w:tcW w:w="1701" w:type="dxa"/>
            <w:noWrap/>
            <w:hideMark/>
          </w:tcPr>
          <w:p w14:paraId="46FCA856"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w:t>
            </w:r>
          </w:p>
        </w:tc>
        <w:tc>
          <w:tcPr>
            <w:tcW w:w="1419" w:type="dxa"/>
            <w:noWrap/>
            <w:hideMark/>
          </w:tcPr>
          <w:p w14:paraId="65D2C72D"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r w:rsidR="00A36B73" w:rsidRPr="00DF030D" w14:paraId="01BF051B" w14:textId="77777777" w:rsidTr="00E77388">
        <w:trPr>
          <w:trHeight w:val="20"/>
        </w:trPr>
        <w:tc>
          <w:tcPr>
            <w:tcW w:w="536" w:type="dxa"/>
            <w:hideMark/>
          </w:tcPr>
          <w:p w14:paraId="6730604C"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5.</w:t>
            </w:r>
          </w:p>
        </w:tc>
        <w:tc>
          <w:tcPr>
            <w:tcW w:w="1591" w:type="dxa"/>
            <w:hideMark/>
          </w:tcPr>
          <w:p w14:paraId="45EB42B0"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Осуществление закупок конкурентными способами определения поставщиков (подрядчиков, исполнителей) </w:t>
            </w:r>
            <w:r w:rsidRPr="009B4FC0">
              <w:rPr>
                <w:rFonts w:ascii="Times New Roman" w:hAnsi="Times New Roman" w:cs="Times New Roman"/>
                <w:sz w:val="20"/>
                <w:szCs w:val="20"/>
              </w:rPr>
              <w:br/>
              <w:t xml:space="preserve">в соответствии с Федеральным законом от 05.04.2013 № 44-ФЗ </w:t>
            </w:r>
            <w:r w:rsidRPr="009B4FC0">
              <w:rPr>
                <w:rFonts w:ascii="Times New Roman" w:hAnsi="Times New Roman" w:cs="Times New Roman"/>
                <w:sz w:val="20"/>
                <w:szCs w:val="20"/>
              </w:rPr>
              <w:br/>
              <w:t xml:space="preserve">«О контрактной системе в сфере закупок товаров, работ, услуг </w:t>
            </w:r>
            <w:r w:rsidRPr="009B4FC0">
              <w:rPr>
                <w:rFonts w:ascii="Times New Roman" w:hAnsi="Times New Roman" w:cs="Times New Roman"/>
                <w:sz w:val="20"/>
                <w:szCs w:val="20"/>
              </w:rPr>
              <w:br/>
              <w:t xml:space="preserve">для обеспечения государственных </w:t>
            </w:r>
            <w:r w:rsidRPr="009B4FC0">
              <w:rPr>
                <w:rFonts w:ascii="Times New Roman" w:hAnsi="Times New Roman" w:cs="Times New Roman"/>
                <w:sz w:val="20"/>
                <w:szCs w:val="20"/>
              </w:rPr>
              <w:br/>
              <w:t>и муниципальных нужд»</w:t>
            </w:r>
          </w:p>
        </w:tc>
        <w:tc>
          <w:tcPr>
            <w:tcW w:w="2115" w:type="dxa"/>
            <w:hideMark/>
          </w:tcPr>
          <w:p w14:paraId="6D6A362C"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Среднее число участников закупок по результатам конкурентных способов определения поставщиков (подрядчиков, исполнителей) в соответствии с Федеральным законом от 05.04.2013 </w:t>
            </w:r>
            <w:r w:rsidRPr="009B4FC0">
              <w:rPr>
                <w:rFonts w:ascii="Times New Roman" w:hAnsi="Times New Roman" w:cs="Times New Roman"/>
                <w:sz w:val="20"/>
                <w:szCs w:val="20"/>
              </w:rPr>
              <w:br/>
              <w:t xml:space="preserve">№ 44-ФЗ «О контрактной системе в сфере закупок товаров, работ, услуг для обеспечения государственных и муниципальных нужд», </w:t>
            </w:r>
            <w:r w:rsidRPr="009B4FC0">
              <w:rPr>
                <w:rFonts w:ascii="Times New Roman" w:hAnsi="Times New Roman" w:cs="Times New Roman"/>
                <w:b/>
                <w:sz w:val="20"/>
                <w:szCs w:val="20"/>
              </w:rPr>
              <w:t>%</w:t>
            </w:r>
          </w:p>
        </w:tc>
        <w:tc>
          <w:tcPr>
            <w:tcW w:w="993" w:type="dxa"/>
            <w:hideMark/>
          </w:tcPr>
          <w:p w14:paraId="1EAD26D4"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3</w:t>
            </w:r>
          </w:p>
        </w:tc>
        <w:tc>
          <w:tcPr>
            <w:tcW w:w="1275" w:type="dxa"/>
            <w:hideMark/>
          </w:tcPr>
          <w:p w14:paraId="73B75BC5"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3</w:t>
            </w:r>
          </w:p>
        </w:tc>
        <w:tc>
          <w:tcPr>
            <w:tcW w:w="993" w:type="dxa"/>
            <w:hideMark/>
          </w:tcPr>
          <w:p w14:paraId="5C487CB7"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2,9</w:t>
            </w:r>
          </w:p>
        </w:tc>
        <w:tc>
          <w:tcPr>
            <w:tcW w:w="2551" w:type="dxa"/>
            <w:hideMark/>
          </w:tcPr>
          <w:p w14:paraId="63E564E6"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Отчетные данные областных исполнительных органов государственной власти Новосибирской области; органов местного самоуправления муниципальных образований Новосибирской области</w:t>
            </w:r>
          </w:p>
        </w:tc>
        <w:tc>
          <w:tcPr>
            <w:tcW w:w="1701" w:type="dxa"/>
            <w:hideMark/>
          </w:tcPr>
          <w:p w14:paraId="725CC56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Отношение общего числа поданных заявок на участие в определении поставщика (подрядчика, исполнителя) к общему числу опубликованных конкурентных закупок (за исключением отмененных).</w:t>
            </w:r>
          </w:p>
        </w:tc>
        <w:tc>
          <w:tcPr>
            <w:tcW w:w="1701" w:type="dxa"/>
            <w:noWrap/>
            <w:hideMark/>
          </w:tcPr>
          <w:p w14:paraId="6C0D4E24"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c>
          <w:tcPr>
            <w:tcW w:w="1419" w:type="dxa"/>
            <w:noWrap/>
            <w:hideMark/>
          </w:tcPr>
          <w:p w14:paraId="557B9990"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r w:rsidR="00A36B73" w:rsidRPr="00DF030D" w14:paraId="5E26132B" w14:textId="77777777" w:rsidTr="00E77388">
        <w:trPr>
          <w:trHeight w:val="20"/>
        </w:trPr>
        <w:tc>
          <w:tcPr>
            <w:tcW w:w="536" w:type="dxa"/>
            <w:hideMark/>
          </w:tcPr>
          <w:p w14:paraId="18337D7B"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6.</w:t>
            </w:r>
          </w:p>
        </w:tc>
        <w:tc>
          <w:tcPr>
            <w:tcW w:w="1591" w:type="dxa"/>
            <w:hideMark/>
          </w:tcPr>
          <w:p w14:paraId="0A6192A8"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Размещение и осуществление «малых» закупок в электронной форме (в рамках </w:t>
            </w:r>
            <w:r w:rsidRPr="009B4FC0">
              <w:rPr>
                <w:rFonts w:ascii="Times New Roman" w:hAnsi="Times New Roman" w:cs="Times New Roman"/>
                <w:sz w:val="20"/>
                <w:szCs w:val="20"/>
              </w:rPr>
              <w:lastRenderedPageBreak/>
              <w:t xml:space="preserve">Федерального закона от 18.07.2011 № 223-ФЗ </w:t>
            </w:r>
            <w:r w:rsidRPr="009B4FC0">
              <w:rPr>
                <w:rFonts w:ascii="Times New Roman" w:hAnsi="Times New Roman" w:cs="Times New Roman"/>
                <w:sz w:val="20"/>
                <w:szCs w:val="20"/>
              </w:rPr>
              <w:br/>
              <w:t>«О закупках товаров, работ, услуг отдельными видами юридических лиц» и Федерального закона</w:t>
            </w:r>
            <w:r w:rsidRPr="009B4FC0">
              <w:rPr>
                <w:rFonts w:ascii="Times New Roman" w:hAnsi="Times New Roman" w:cs="Times New Roman"/>
                <w:sz w:val="20"/>
                <w:szCs w:val="20"/>
              </w:rPr>
              <w:br/>
              <w:t xml:space="preserve">от 05.04.2013 № 44-ФЗ </w:t>
            </w:r>
            <w:r w:rsidRPr="009B4FC0">
              <w:rPr>
                <w:rFonts w:ascii="Times New Roman" w:hAnsi="Times New Roman" w:cs="Times New Roman"/>
                <w:sz w:val="20"/>
                <w:szCs w:val="20"/>
              </w:rPr>
              <w:br/>
              <w:t xml:space="preserve">«О контрактной системе в сфере закупок товаров, работ, услуг </w:t>
            </w:r>
            <w:r w:rsidRPr="009B4FC0">
              <w:rPr>
                <w:rFonts w:ascii="Times New Roman" w:hAnsi="Times New Roman" w:cs="Times New Roman"/>
                <w:sz w:val="20"/>
                <w:szCs w:val="20"/>
              </w:rPr>
              <w:br/>
              <w:t xml:space="preserve">для обеспечения государственных </w:t>
            </w:r>
            <w:r w:rsidRPr="009B4FC0">
              <w:rPr>
                <w:rFonts w:ascii="Times New Roman" w:hAnsi="Times New Roman" w:cs="Times New Roman"/>
                <w:sz w:val="20"/>
                <w:szCs w:val="20"/>
              </w:rPr>
              <w:br/>
              <w:t>и муниципальных нужд»)</w:t>
            </w:r>
          </w:p>
        </w:tc>
        <w:tc>
          <w:tcPr>
            <w:tcW w:w="2115" w:type="dxa"/>
            <w:hideMark/>
          </w:tcPr>
          <w:p w14:paraId="5C43FFA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 xml:space="preserve">1. Доля «малых» закупок, размещенных в электронной форме в рамках Федерального закона от 18.07.2011 </w:t>
            </w:r>
            <w:r w:rsidRPr="009B4FC0">
              <w:rPr>
                <w:rFonts w:ascii="Times New Roman" w:hAnsi="Times New Roman" w:cs="Times New Roman"/>
                <w:sz w:val="20"/>
                <w:szCs w:val="20"/>
              </w:rPr>
              <w:br/>
            </w:r>
            <w:r w:rsidRPr="009B4FC0">
              <w:rPr>
                <w:rFonts w:ascii="Times New Roman" w:hAnsi="Times New Roman" w:cs="Times New Roman"/>
                <w:sz w:val="20"/>
                <w:szCs w:val="20"/>
              </w:rPr>
              <w:lastRenderedPageBreak/>
              <w:t xml:space="preserve">№ 223-ФЗ «О закупках товаров, работ, услуг отдельными видами юридических лиц» </w:t>
            </w:r>
            <w:r w:rsidRPr="009B4FC0">
              <w:rPr>
                <w:rFonts w:ascii="Times New Roman" w:hAnsi="Times New Roman" w:cs="Times New Roman"/>
                <w:sz w:val="20"/>
                <w:szCs w:val="20"/>
              </w:rPr>
              <w:br/>
              <w:t xml:space="preserve">и Федерального закона </w:t>
            </w:r>
            <w:r w:rsidRPr="009B4FC0">
              <w:rPr>
                <w:rFonts w:ascii="Times New Roman" w:hAnsi="Times New Roman" w:cs="Times New Roman"/>
                <w:sz w:val="20"/>
                <w:szCs w:val="20"/>
              </w:rPr>
              <w:br/>
              <w:t xml:space="preserve">от 05.04.2013 № 44-ФЗ «О контрактной системе в сфере закупок товаров, работ, услуг для обеспечения государственных и муниципальных нужд», </w:t>
            </w:r>
            <w:r w:rsidRPr="009B4FC0">
              <w:rPr>
                <w:rFonts w:ascii="Times New Roman" w:hAnsi="Times New Roman" w:cs="Times New Roman"/>
                <w:b/>
                <w:sz w:val="20"/>
                <w:szCs w:val="20"/>
              </w:rPr>
              <w:t>%</w:t>
            </w:r>
          </w:p>
        </w:tc>
        <w:tc>
          <w:tcPr>
            <w:tcW w:w="993" w:type="dxa"/>
            <w:hideMark/>
          </w:tcPr>
          <w:p w14:paraId="37B2EA6E"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Не рассчитывался, введен впервые в 2019 году</w:t>
            </w:r>
          </w:p>
        </w:tc>
        <w:tc>
          <w:tcPr>
            <w:tcW w:w="1275" w:type="dxa"/>
            <w:hideMark/>
          </w:tcPr>
          <w:p w14:paraId="65D84C1C"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50</w:t>
            </w:r>
          </w:p>
        </w:tc>
        <w:tc>
          <w:tcPr>
            <w:tcW w:w="993" w:type="dxa"/>
            <w:hideMark/>
          </w:tcPr>
          <w:p w14:paraId="35ECB952"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25,9</w:t>
            </w:r>
          </w:p>
        </w:tc>
        <w:tc>
          <w:tcPr>
            <w:tcW w:w="2551" w:type="dxa"/>
            <w:hideMark/>
          </w:tcPr>
          <w:p w14:paraId="558E4EE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Отчетные данные областных исполнительных органов государственной власти Новосибирской области; органов местного </w:t>
            </w:r>
            <w:r w:rsidRPr="009B4FC0">
              <w:rPr>
                <w:rFonts w:ascii="Times New Roman" w:hAnsi="Times New Roman" w:cs="Times New Roman"/>
                <w:sz w:val="20"/>
                <w:szCs w:val="20"/>
              </w:rPr>
              <w:lastRenderedPageBreak/>
              <w:t>самоуправления муниципальных образований Новосибирской области</w:t>
            </w:r>
          </w:p>
        </w:tc>
        <w:tc>
          <w:tcPr>
            <w:tcW w:w="1701" w:type="dxa"/>
            <w:hideMark/>
          </w:tcPr>
          <w:p w14:paraId="4F753AF9"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 xml:space="preserve">Отношение суммы малых закупок, размещенных в электронном магазине, к общей </w:t>
            </w:r>
            <w:r w:rsidRPr="009B4FC0">
              <w:rPr>
                <w:rFonts w:ascii="Times New Roman" w:hAnsi="Times New Roman" w:cs="Times New Roman"/>
                <w:sz w:val="20"/>
                <w:szCs w:val="20"/>
              </w:rPr>
              <w:lastRenderedPageBreak/>
              <w:t>сумме осуществленных малых закупок</w:t>
            </w:r>
          </w:p>
        </w:tc>
        <w:tc>
          <w:tcPr>
            <w:tcW w:w="1701" w:type="dxa"/>
            <w:noWrap/>
            <w:hideMark/>
          </w:tcPr>
          <w:p w14:paraId="5F643A7F"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w:t>
            </w:r>
          </w:p>
        </w:tc>
        <w:tc>
          <w:tcPr>
            <w:tcW w:w="1419" w:type="dxa"/>
            <w:noWrap/>
            <w:hideMark/>
          </w:tcPr>
          <w:p w14:paraId="2325046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r w:rsidR="00A36B73" w:rsidRPr="00DF030D" w14:paraId="16DE4B7E" w14:textId="77777777" w:rsidTr="00E77388">
        <w:trPr>
          <w:trHeight w:val="20"/>
        </w:trPr>
        <w:tc>
          <w:tcPr>
            <w:tcW w:w="536" w:type="dxa"/>
            <w:hideMark/>
          </w:tcPr>
          <w:p w14:paraId="75BA4437"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7.</w:t>
            </w:r>
          </w:p>
        </w:tc>
        <w:tc>
          <w:tcPr>
            <w:tcW w:w="1591" w:type="dxa"/>
            <w:hideMark/>
          </w:tcPr>
          <w:p w14:paraId="05D7EBE5"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w:t>
            </w:r>
          </w:p>
        </w:tc>
        <w:tc>
          <w:tcPr>
            <w:tcW w:w="2115" w:type="dxa"/>
            <w:hideMark/>
          </w:tcPr>
          <w:p w14:paraId="478151AF"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2. Доля «малых» закупок, осуществленных в электронной форме в рамках Федерального закона </w:t>
            </w:r>
            <w:r w:rsidRPr="009B4FC0">
              <w:rPr>
                <w:rFonts w:ascii="Times New Roman" w:hAnsi="Times New Roman" w:cs="Times New Roman"/>
                <w:sz w:val="20"/>
                <w:szCs w:val="20"/>
              </w:rPr>
              <w:br/>
              <w:t xml:space="preserve">от 18.07.2011 № 223-ФЗ </w:t>
            </w:r>
            <w:r w:rsidRPr="009B4FC0">
              <w:rPr>
                <w:rFonts w:ascii="Times New Roman" w:hAnsi="Times New Roman" w:cs="Times New Roman"/>
                <w:sz w:val="20"/>
                <w:szCs w:val="20"/>
              </w:rPr>
              <w:br/>
              <w:t xml:space="preserve">«О закупках товаров, работ, услуг отдельными видами юридических лиц» </w:t>
            </w:r>
            <w:r w:rsidRPr="009B4FC0">
              <w:rPr>
                <w:rFonts w:ascii="Times New Roman" w:hAnsi="Times New Roman" w:cs="Times New Roman"/>
                <w:sz w:val="20"/>
                <w:szCs w:val="20"/>
              </w:rPr>
              <w:br/>
              <w:t xml:space="preserve">и Федерального закона </w:t>
            </w:r>
            <w:r w:rsidRPr="009B4FC0">
              <w:rPr>
                <w:rFonts w:ascii="Times New Roman" w:hAnsi="Times New Roman" w:cs="Times New Roman"/>
                <w:sz w:val="20"/>
                <w:szCs w:val="20"/>
              </w:rPr>
              <w:br/>
              <w:t xml:space="preserve">от 05.04.2013 № 44-ФЗ </w:t>
            </w:r>
            <w:r w:rsidRPr="009B4FC0">
              <w:rPr>
                <w:rFonts w:ascii="Times New Roman" w:hAnsi="Times New Roman" w:cs="Times New Roman"/>
                <w:sz w:val="20"/>
                <w:szCs w:val="20"/>
              </w:rPr>
              <w:br/>
              <w:t xml:space="preserve">«О контрактной системе в сфере закупок товаров, работ, услуг для обеспечения государственных и </w:t>
            </w:r>
            <w:r w:rsidRPr="009B4FC0">
              <w:rPr>
                <w:rFonts w:ascii="Times New Roman" w:hAnsi="Times New Roman" w:cs="Times New Roman"/>
                <w:sz w:val="20"/>
                <w:szCs w:val="20"/>
              </w:rPr>
              <w:lastRenderedPageBreak/>
              <w:t xml:space="preserve">муниципальных нужд», </w:t>
            </w:r>
            <w:r w:rsidRPr="009B4FC0">
              <w:rPr>
                <w:rFonts w:ascii="Times New Roman" w:hAnsi="Times New Roman" w:cs="Times New Roman"/>
                <w:b/>
                <w:sz w:val="20"/>
                <w:szCs w:val="20"/>
              </w:rPr>
              <w:t>%</w:t>
            </w:r>
          </w:p>
        </w:tc>
        <w:tc>
          <w:tcPr>
            <w:tcW w:w="993" w:type="dxa"/>
            <w:hideMark/>
          </w:tcPr>
          <w:p w14:paraId="472787D5"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Не рассчитывался, введен впервые в 2019 году</w:t>
            </w:r>
          </w:p>
        </w:tc>
        <w:tc>
          <w:tcPr>
            <w:tcW w:w="1275" w:type="dxa"/>
            <w:hideMark/>
          </w:tcPr>
          <w:p w14:paraId="5292C760"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35</w:t>
            </w:r>
          </w:p>
        </w:tc>
        <w:tc>
          <w:tcPr>
            <w:tcW w:w="993" w:type="dxa"/>
            <w:hideMark/>
          </w:tcPr>
          <w:p w14:paraId="63F79546"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22,7</w:t>
            </w:r>
          </w:p>
        </w:tc>
        <w:tc>
          <w:tcPr>
            <w:tcW w:w="2551" w:type="dxa"/>
            <w:hideMark/>
          </w:tcPr>
          <w:p w14:paraId="2C2691BF"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Отчетные данные областных исполнительных органов государственной власти Новосибирской области; органов местного самоуправления муниципальных образований Новосибирской области</w:t>
            </w:r>
          </w:p>
        </w:tc>
        <w:tc>
          <w:tcPr>
            <w:tcW w:w="1701" w:type="dxa"/>
            <w:hideMark/>
          </w:tcPr>
          <w:p w14:paraId="5EB214C4"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Отношение суммы малых закупок, контракты по которым заключены в электронном магазине, к общей сумме осуществленных малых закупок</w:t>
            </w:r>
          </w:p>
        </w:tc>
        <w:tc>
          <w:tcPr>
            <w:tcW w:w="1701" w:type="dxa"/>
            <w:noWrap/>
            <w:hideMark/>
          </w:tcPr>
          <w:p w14:paraId="70D38EDF"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c>
          <w:tcPr>
            <w:tcW w:w="1419" w:type="dxa"/>
            <w:noWrap/>
            <w:hideMark/>
          </w:tcPr>
          <w:p w14:paraId="7F1D01E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r w:rsidR="00A36B73" w:rsidRPr="00DF030D" w14:paraId="47EEF3E6" w14:textId="77777777" w:rsidTr="00E77388">
        <w:trPr>
          <w:trHeight w:val="20"/>
        </w:trPr>
        <w:tc>
          <w:tcPr>
            <w:tcW w:w="536" w:type="dxa"/>
            <w:hideMark/>
          </w:tcPr>
          <w:p w14:paraId="6902D525"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8.</w:t>
            </w:r>
          </w:p>
        </w:tc>
        <w:tc>
          <w:tcPr>
            <w:tcW w:w="1591" w:type="dxa"/>
            <w:hideMark/>
          </w:tcPr>
          <w:p w14:paraId="2CB7EB5F"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Организация и проведение продажи государственного имущества Новосибирской области, включенного в прогнозный план приватизации государственного имущества Новосибирской области в электронной форме</w:t>
            </w:r>
          </w:p>
        </w:tc>
        <w:tc>
          <w:tcPr>
            <w:tcW w:w="2115" w:type="dxa"/>
            <w:hideMark/>
          </w:tcPr>
          <w:p w14:paraId="26CD69D0"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Доля проданного имущества, включенного в прогнозный план приватизации государственного имущества Новосибирской области </w:t>
            </w:r>
            <w:r w:rsidRPr="009B4FC0">
              <w:rPr>
                <w:rFonts w:ascii="Times New Roman" w:hAnsi="Times New Roman" w:cs="Times New Roman"/>
                <w:sz w:val="20"/>
                <w:szCs w:val="20"/>
              </w:rPr>
              <w:br/>
              <w:t xml:space="preserve">до 100%, </w:t>
            </w:r>
            <w:r w:rsidRPr="009B4FC0">
              <w:rPr>
                <w:rFonts w:ascii="Times New Roman" w:hAnsi="Times New Roman" w:cs="Times New Roman"/>
                <w:b/>
                <w:sz w:val="20"/>
                <w:szCs w:val="20"/>
              </w:rPr>
              <w:t>%</w:t>
            </w:r>
          </w:p>
        </w:tc>
        <w:tc>
          <w:tcPr>
            <w:tcW w:w="993" w:type="dxa"/>
            <w:hideMark/>
          </w:tcPr>
          <w:p w14:paraId="31612349"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29</w:t>
            </w:r>
          </w:p>
        </w:tc>
        <w:tc>
          <w:tcPr>
            <w:tcW w:w="1275" w:type="dxa"/>
            <w:hideMark/>
          </w:tcPr>
          <w:p w14:paraId="76936F5F" w14:textId="6930762C" w:rsidR="00A36B73" w:rsidRPr="009B4FC0" w:rsidRDefault="003D2429" w:rsidP="003D2429">
            <w:pPr>
              <w:rPr>
                <w:rFonts w:ascii="Times New Roman" w:hAnsi="Times New Roman" w:cs="Times New Roman"/>
                <w:sz w:val="20"/>
                <w:szCs w:val="20"/>
              </w:rPr>
            </w:pPr>
            <w:r w:rsidRPr="003D2429">
              <w:rPr>
                <w:rFonts w:ascii="Times New Roman" w:hAnsi="Times New Roman" w:cs="Times New Roman"/>
                <w:sz w:val="20"/>
                <w:szCs w:val="20"/>
              </w:rPr>
              <w:t xml:space="preserve">Конкретное значение показателя на 2019 год не установлено, достижение значения показателя </w:t>
            </w:r>
            <w:r>
              <w:rPr>
                <w:rFonts w:ascii="Times New Roman" w:hAnsi="Times New Roman" w:cs="Times New Roman"/>
                <w:sz w:val="20"/>
                <w:szCs w:val="20"/>
              </w:rPr>
              <w:t>100</w:t>
            </w:r>
            <w:r w:rsidRPr="003D2429">
              <w:rPr>
                <w:rFonts w:ascii="Times New Roman" w:hAnsi="Times New Roman" w:cs="Times New Roman"/>
                <w:sz w:val="20"/>
                <w:szCs w:val="20"/>
              </w:rPr>
              <w:t>% запланировано к 2022 году</w:t>
            </w:r>
          </w:p>
        </w:tc>
        <w:tc>
          <w:tcPr>
            <w:tcW w:w="993" w:type="dxa"/>
            <w:hideMark/>
          </w:tcPr>
          <w:p w14:paraId="1124972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30</w:t>
            </w:r>
          </w:p>
        </w:tc>
        <w:tc>
          <w:tcPr>
            <w:tcW w:w="2551" w:type="dxa"/>
            <w:hideMark/>
          </w:tcPr>
          <w:p w14:paraId="43C6C480"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Ведомственные данные департамента имущества и земельных отношений Новосибирской области (отчет об исполнении прогнозного плана приватиз</w:t>
            </w:r>
            <w:bookmarkStart w:id="156" w:name="_GoBack"/>
            <w:bookmarkEnd w:id="156"/>
            <w:r w:rsidRPr="009B4FC0">
              <w:rPr>
                <w:rFonts w:ascii="Times New Roman" w:hAnsi="Times New Roman" w:cs="Times New Roman"/>
                <w:sz w:val="20"/>
                <w:szCs w:val="20"/>
              </w:rPr>
              <w:t>ации за 2019 год)</w:t>
            </w:r>
          </w:p>
        </w:tc>
        <w:tc>
          <w:tcPr>
            <w:tcW w:w="1701" w:type="dxa"/>
            <w:hideMark/>
          </w:tcPr>
          <w:p w14:paraId="3B6D317A" w14:textId="42A37BFA"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Расчет осуществлялся на основе процентного соотношения количества проданного государственного имущества за 2018-2019 годы к общему количеству объектов, включенных в прогнозный план приватизации государственного имущества Новосибирской области на 2018-2019 годы</w:t>
            </w:r>
          </w:p>
        </w:tc>
        <w:tc>
          <w:tcPr>
            <w:tcW w:w="1701" w:type="dxa"/>
            <w:noWrap/>
            <w:hideMark/>
          </w:tcPr>
          <w:p w14:paraId="670FDA07"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c>
          <w:tcPr>
            <w:tcW w:w="1419" w:type="dxa"/>
            <w:noWrap/>
            <w:hideMark/>
          </w:tcPr>
          <w:p w14:paraId="662C2E09"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r w:rsidR="00A36B73" w:rsidRPr="00DF030D" w14:paraId="2BD79616" w14:textId="77777777" w:rsidTr="00E77388">
        <w:trPr>
          <w:trHeight w:val="20"/>
        </w:trPr>
        <w:tc>
          <w:tcPr>
            <w:tcW w:w="536" w:type="dxa"/>
            <w:hideMark/>
          </w:tcPr>
          <w:p w14:paraId="350F9639"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9.</w:t>
            </w:r>
          </w:p>
        </w:tc>
        <w:tc>
          <w:tcPr>
            <w:tcW w:w="1591" w:type="dxa"/>
            <w:hideMark/>
          </w:tcPr>
          <w:p w14:paraId="3202D01D"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Организация и проведение публичных торгов или иных конкурентных процедур </w:t>
            </w:r>
            <w:r w:rsidRPr="009B4FC0">
              <w:rPr>
                <w:rFonts w:ascii="Times New Roman" w:hAnsi="Times New Roman" w:cs="Times New Roman"/>
                <w:sz w:val="20"/>
                <w:szCs w:val="20"/>
              </w:rPr>
              <w:br/>
              <w:t xml:space="preserve">при реализации имущества хозяйствующими субъектами, </w:t>
            </w:r>
            <w:r w:rsidRPr="009B4FC0">
              <w:rPr>
                <w:rFonts w:ascii="Times New Roman" w:hAnsi="Times New Roman" w:cs="Times New Roman"/>
                <w:sz w:val="20"/>
                <w:szCs w:val="20"/>
              </w:rPr>
              <w:br/>
              <w:t xml:space="preserve">доля участия субъекта Российской Федерации или муниципального образования в которых </w:t>
            </w:r>
            <w:r w:rsidRPr="009B4FC0">
              <w:rPr>
                <w:rFonts w:ascii="Times New Roman" w:hAnsi="Times New Roman" w:cs="Times New Roman"/>
                <w:sz w:val="20"/>
                <w:szCs w:val="20"/>
              </w:rPr>
              <w:lastRenderedPageBreak/>
              <w:t>составляет 50 и более процентов</w:t>
            </w:r>
          </w:p>
        </w:tc>
        <w:tc>
          <w:tcPr>
            <w:tcW w:w="2115" w:type="dxa"/>
            <w:hideMark/>
          </w:tcPr>
          <w:p w14:paraId="30F6C659"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 xml:space="preserve">Доля имущества, реализованного на условиях конкурсных процедур до 100%, </w:t>
            </w:r>
            <w:r w:rsidRPr="009B4FC0">
              <w:rPr>
                <w:rFonts w:ascii="Times New Roman" w:hAnsi="Times New Roman" w:cs="Times New Roman"/>
                <w:b/>
                <w:sz w:val="20"/>
                <w:szCs w:val="20"/>
              </w:rPr>
              <w:t>%</w:t>
            </w:r>
          </w:p>
        </w:tc>
        <w:tc>
          <w:tcPr>
            <w:tcW w:w="993" w:type="dxa"/>
            <w:hideMark/>
          </w:tcPr>
          <w:p w14:paraId="062407B2"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100</w:t>
            </w:r>
          </w:p>
        </w:tc>
        <w:tc>
          <w:tcPr>
            <w:tcW w:w="1275" w:type="dxa"/>
            <w:hideMark/>
          </w:tcPr>
          <w:p w14:paraId="2F47F675"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100</w:t>
            </w:r>
          </w:p>
        </w:tc>
        <w:tc>
          <w:tcPr>
            <w:tcW w:w="993" w:type="dxa"/>
            <w:hideMark/>
          </w:tcPr>
          <w:p w14:paraId="76C6A238"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100</w:t>
            </w:r>
          </w:p>
        </w:tc>
        <w:tc>
          <w:tcPr>
            <w:tcW w:w="2551" w:type="dxa"/>
            <w:hideMark/>
          </w:tcPr>
          <w:p w14:paraId="3D4A35A1"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Ведомственные данные департамента имущества и земельных отношений Новосибирской области</w:t>
            </w:r>
          </w:p>
        </w:tc>
        <w:tc>
          <w:tcPr>
            <w:tcW w:w="1701" w:type="dxa"/>
            <w:hideMark/>
          </w:tcPr>
          <w:p w14:paraId="62F841EB"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Расчет осуществляется на основе процентного соотношения реализованного имущества на условиях конкурсных процедур к общему количеству полученных хозяйствующими субъектами согласий на распоряжение имуществом</w:t>
            </w:r>
          </w:p>
        </w:tc>
        <w:tc>
          <w:tcPr>
            <w:tcW w:w="1701" w:type="dxa"/>
            <w:noWrap/>
            <w:hideMark/>
          </w:tcPr>
          <w:p w14:paraId="6905CBCE"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c>
          <w:tcPr>
            <w:tcW w:w="1419" w:type="dxa"/>
            <w:noWrap/>
            <w:hideMark/>
          </w:tcPr>
          <w:p w14:paraId="1E688C35"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r w:rsidR="00A36B73" w:rsidRPr="00DF030D" w14:paraId="11D24A1D" w14:textId="77777777" w:rsidTr="00E77388">
        <w:trPr>
          <w:trHeight w:val="20"/>
        </w:trPr>
        <w:tc>
          <w:tcPr>
            <w:tcW w:w="536" w:type="dxa"/>
            <w:hideMark/>
          </w:tcPr>
          <w:p w14:paraId="08A592C0"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10.</w:t>
            </w:r>
          </w:p>
        </w:tc>
        <w:tc>
          <w:tcPr>
            <w:tcW w:w="1591" w:type="dxa"/>
            <w:hideMark/>
          </w:tcPr>
          <w:p w14:paraId="52FB9189"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Создание условий, согласно которым хозяйствующие субъекты, доля участия субъекта Российской Федерации или муниципального образования в которых составляет 50 и более процентов, при допуске к участию в закупках для обеспечения государственных и муниципальных нужд принимают участие в указанных закупках на равных условиях (с проведением конкурентных процедур) с иными хозяйствующими субъектами</w:t>
            </w:r>
          </w:p>
        </w:tc>
        <w:tc>
          <w:tcPr>
            <w:tcW w:w="2115" w:type="dxa"/>
            <w:hideMark/>
          </w:tcPr>
          <w:p w14:paraId="180B210B"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Осуществление закупок для обеспечения государственных и муниципальных нужд осуществляется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w:t>
            </w:r>
            <w:r w:rsidRPr="009B4FC0">
              <w:rPr>
                <w:rFonts w:ascii="Times New Roman" w:hAnsi="Times New Roman" w:cs="Times New Roman"/>
                <w:sz w:val="20"/>
                <w:szCs w:val="20"/>
              </w:rPr>
              <w:br/>
              <w:t xml:space="preserve">и муниципальных нужд» до 100%, </w:t>
            </w:r>
            <w:r w:rsidRPr="009B4FC0">
              <w:rPr>
                <w:rFonts w:ascii="Times New Roman" w:hAnsi="Times New Roman" w:cs="Times New Roman"/>
                <w:b/>
                <w:sz w:val="20"/>
                <w:szCs w:val="20"/>
              </w:rPr>
              <w:t>%</w:t>
            </w:r>
          </w:p>
        </w:tc>
        <w:tc>
          <w:tcPr>
            <w:tcW w:w="993" w:type="dxa"/>
            <w:hideMark/>
          </w:tcPr>
          <w:p w14:paraId="7DFF6887"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100</w:t>
            </w:r>
          </w:p>
        </w:tc>
        <w:tc>
          <w:tcPr>
            <w:tcW w:w="1275" w:type="dxa"/>
            <w:hideMark/>
          </w:tcPr>
          <w:p w14:paraId="4A59F276"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100</w:t>
            </w:r>
          </w:p>
        </w:tc>
        <w:tc>
          <w:tcPr>
            <w:tcW w:w="993" w:type="dxa"/>
            <w:hideMark/>
          </w:tcPr>
          <w:p w14:paraId="77B77699"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100</w:t>
            </w:r>
          </w:p>
        </w:tc>
        <w:tc>
          <w:tcPr>
            <w:tcW w:w="2551" w:type="dxa"/>
            <w:hideMark/>
          </w:tcPr>
          <w:p w14:paraId="544DD4B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Ведомственные данные  департамента имущества и земельных отношений Новосибирской области</w:t>
            </w:r>
          </w:p>
        </w:tc>
        <w:tc>
          <w:tcPr>
            <w:tcW w:w="1701" w:type="dxa"/>
            <w:hideMark/>
          </w:tcPr>
          <w:p w14:paraId="48E5C074"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Расчет осуществляется на основе процентного соотношения общего числа проведенных закупок к общему числу заключенных контрактов по результатам конкурсных процедур (в том числе несостоявшихся)</w:t>
            </w:r>
          </w:p>
        </w:tc>
        <w:tc>
          <w:tcPr>
            <w:tcW w:w="1701" w:type="dxa"/>
            <w:noWrap/>
            <w:hideMark/>
          </w:tcPr>
          <w:p w14:paraId="3114EB6C"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c>
          <w:tcPr>
            <w:tcW w:w="1419" w:type="dxa"/>
            <w:noWrap/>
            <w:hideMark/>
          </w:tcPr>
          <w:p w14:paraId="0A985A71"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r w:rsidR="00A36B73" w:rsidRPr="00DF030D" w14:paraId="787E65AF" w14:textId="77777777" w:rsidTr="00E77388">
        <w:trPr>
          <w:trHeight w:val="20"/>
        </w:trPr>
        <w:tc>
          <w:tcPr>
            <w:tcW w:w="536" w:type="dxa"/>
            <w:hideMark/>
          </w:tcPr>
          <w:p w14:paraId="4B7202B1"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11.</w:t>
            </w:r>
          </w:p>
        </w:tc>
        <w:tc>
          <w:tcPr>
            <w:tcW w:w="1591" w:type="dxa"/>
            <w:hideMark/>
          </w:tcPr>
          <w:p w14:paraId="6FDE1711"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Проведение обучающих семинаров, курсов по вопросам осуществления предприниматель</w:t>
            </w:r>
            <w:r w:rsidRPr="009B4FC0">
              <w:rPr>
                <w:rFonts w:ascii="Times New Roman" w:hAnsi="Times New Roman" w:cs="Times New Roman"/>
                <w:sz w:val="20"/>
                <w:szCs w:val="20"/>
              </w:rPr>
              <w:lastRenderedPageBreak/>
              <w:t>ской деятельности</w:t>
            </w:r>
          </w:p>
        </w:tc>
        <w:tc>
          <w:tcPr>
            <w:tcW w:w="2115" w:type="dxa"/>
            <w:hideMark/>
          </w:tcPr>
          <w:p w14:paraId="3627CE0E"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 xml:space="preserve">Обеспечение участия в семинарах, на курсах не менее 200 человек ежегодно, осуществляющих деятельность на территориях муниципальных </w:t>
            </w:r>
            <w:r w:rsidRPr="009B4FC0">
              <w:rPr>
                <w:rFonts w:ascii="Times New Roman" w:hAnsi="Times New Roman" w:cs="Times New Roman"/>
                <w:sz w:val="20"/>
                <w:szCs w:val="20"/>
              </w:rPr>
              <w:lastRenderedPageBreak/>
              <w:t xml:space="preserve">районов </w:t>
            </w:r>
            <w:r w:rsidRPr="009B4FC0">
              <w:rPr>
                <w:rFonts w:ascii="Times New Roman" w:hAnsi="Times New Roman" w:cs="Times New Roman"/>
                <w:sz w:val="20"/>
                <w:szCs w:val="20"/>
              </w:rPr>
              <w:br/>
              <w:t xml:space="preserve">и городских округов; обеспечение СМиСП квалифицированными кадрами, </w:t>
            </w:r>
            <w:r w:rsidRPr="009B4FC0">
              <w:rPr>
                <w:rFonts w:ascii="Times New Roman" w:hAnsi="Times New Roman" w:cs="Times New Roman"/>
                <w:b/>
                <w:sz w:val="20"/>
                <w:szCs w:val="20"/>
              </w:rPr>
              <w:t>%</w:t>
            </w:r>
          </w:p>
        </w:tc>
        <w:tc>
          <w:tcPr>
            <w:tcW w:w="993" w:type="dxa"/>
            <w:hideMark/>
          </w:tcPr>
          <w:p w14:paraId="3018B1B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не менее 200</w:t>
            </w:r>
          </w:p>
        </w:tc>
        <w:tc>
          <w:tcPr>
            <w:tcW w:w="1275" w:type="dxa"/>
            <w:hideMark/>
          </w:tcPr>
          <w:p w14:paraId="3E65E5DC"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не менее 200</w:t>
            </w:r>
          </w:p>
        </w:tc>
        <w:tc>
          <w:tcPr>
            <w:tcW w:w="993" w:type="dxa"/>
            <w:hideMark/>
          </w:tcPr>
          <w:p w14:paraId="66300DD9"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4051</w:t>
            </w:r>
          </w:p>
        </w:tc>
        <w:tc>
          <w:tcPr>
            <w:tcW w:w="2551" w:type="dxa"/>
            <w:hideMark/>
          </w:tcPr>
          <w:p w14:paraId="5C90315F"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Ведомственные данные министерства промышленности, торговли и развития предпринимательства Новосибирской области</w:t>
            </w:r>
          </w:p>
        </w:tc>
        <w:tc>
          <w:tcPr>
            <w:tcW w:w="1701" w:type="dxa"/>
            <w:hideMark/>
          </w:tcPr>
          <w:p w14:paraId="22C2E6CD"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В 2019 году за счет средств областного бюджета Новосибирской области в размере 1,5 млн. рублей проведено 37 обучающих </w:t>
            </w:r>
            <w:r w:rsidRPr="009B4FC0">
              <w:rPr>
                <w:rFonts w:ascii="Times New Roman" w:hAnsi="Times New Roman" w:cs="Times New Roman"/>
                <w:sz w:val="20"/>
                <w:szCs w:val="20"/>
              </w:rPr>
              <w:lastRenderedPageBreak/>
              <w:t>семинаров, курсов по вопросам осуществления предпринимательской деятельности, в которых приняли участие 945 субъектов МСП.</w:t>
            </w:r>
            <w:r w:rsidRPr="009B4FC0">
              <w:rPr>
                <w:rFonts w:ascii="Times New Roman" w:hAnsi="Times New Roman" w:cs="Times New Roman"/>
                <w:sz w:val="20"/>
                <w:szCs w:val="20"/>
              </w:rPr>
              <w:br/>
              <w:t>Центром поддержки предпринимательства Новосибирской области проведено 14 обучающих семинаров для субъектов МСП, в которых приняли участие 1600 человек. Новосибирским отделением «ОПОРА России» проведено 12 обучающих семинаров для 1506 субъектов МСП</w:t>
            </w:r>
          </w:p>
        </w:tc>
        <w:tc>
          <w:tcPr>
            <w:tcW w:w="1701" w:type="dxa"/>
            <w:noWrap/>
            <w:hideMark/>
          </w:tcPr>
          <w:p w14:paraId="2A1CFF6B"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w:t>
            </w:r>
          </w:p>
        </w:tc>
        <w:tc>
          <w:tcPr>
            <w:tcW w:w="1419" w:type="dxa"/>
            <w:noWrap/>
            <w:hideMark/>
          </w:tcPr>
          <w:p w14:paraId="357F8782"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r w:rsidR="00A36B73" w:rsidRPr="00DF030D" w14:paraId="4F764814" w14:textId="77777777" w:rsidTr="00E77388">
        <w:trPr>
          <w:trHeight w:val="20"/>
        </w:trPr>
        <w:tc>
          <w:tcPr>
            <w:tcW w:w="536" w:type="dxa"/>
            <w:hideMark/>
          </w:tcPr>
          <w:p w14:paraId="240FD426"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12.</w:t>
            </w:r>
          </w:p>
        </w:tc>
        <w:tc>
          <w:tcPr>
            <w:tcW w:w="1591" w:type="dxa"/>
            <w:hideMark/>
          </w:tcPr>
          <w:p w14:paraId="0E4A8D19"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Размещение перечня государственного имущества Новосибирской области, свободного от прав третьих лиц (за исключением имущественных прав субъектов малого и среднего предприниматель</w:t>
            </w:r>
            <w:r w:rsidRPr="009B4FC0">
              <w:rPr>
                <w:rFonts w:ascii="Times New Roman" w:hAnsi="Times New Roman" w:cs="Times New Roman"/>
                <w:sz w:val="20"/>
                <w:szCs w:val="20"/>
              </w:rPr>
              <w:lastRenderedPageBreak/>
              <w:t xml:space="preserve">ства), указанных </w:t>
            </w:r>
            <w:r w:rsidRPr="009B4FC0">
              <w:rPr>
                <w:rFonts w:ascii="Times New Roman" w:hAnsi="Times New Roman" w:cs="Times New Roman"/>
                <w:sz w:val="20"/>
                <w:szCs w:val="20"/>
              </w:rPr>
              <w:br/>
              <w:t xml:space="preserve">в части 4 статьи 18 Федерального закона от 24.07.2007 № 209-ФЗ </w:t>
            </w:r>
            <w:r w:rsidRPr="009B4FC0">
              <w:rPr>
                <w:rFonts w:ascii="Times New Roman" w:hAnsi="Times New Roman" w:cs="Times New Roman"/>
                <w:sz w:val="20"/>
                <w:szCs w:val="20"/>
              </w:rPr>
              <w:br/>
              <w:t>«О развитии малого и среднего предпринимательства в Российской Федерации» в сети «Интернет»</w:t>
            </w:r>
          </w:p>
        </w:tc>
        <w:tc>
          <w:tcPr>
            <w:tcW w:w="2115" w:type="dxa"/>
            <w:hideMark/>
          </w:tcPr>
          <w:p w14:paraId="5D13C302"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 xml:space="preserve">Доля сданного в аренду имущества, включенного </w:t>
            </w:r>
            <w:r w:rsidRPr="009B4FC0">
              <w:rPr>
                <w:rFonts w:ascii="Times New Roman" w:hAnsi="Times New Roman" w:cs="Times New Roman"/>
                <w:sz w:val="20"/>
                <w:szCs w:val="20"/>
              </w:rPr>
              <w:br/>
              <w:t xml:space="preserve">в перечень государственного имущества Новосибирской области, свободного от прав третьих лиц (за исключением имущественных прав субъектов малого и среднего </w:t>
            </w:r>
            <w:r w:rsidRPr="009B4FC0">
              <w:rPr>
                <w:rFonts w:ascii="Times New Roman" w:hAnsi="Times New Roman" w:cs="Times New Roman"/>
                <w:sz w:val="20"/>
                <w:szCs w:val="20"/>
              </w:rPr>
              <w:lastRenderedPageBreak/>
              <w:t xml:space="preserve">предпринимательства) до 80%, </w:t>
            </w:r>
            <w:r w:rsidRPr="009B4FC0">
              <w:rPr>
                <w:rFonts w:ascii="Times New Roman" w:hAnsi="Times New Roman" w:cs="Times New Roman"/>
                <w:b/>
                <w:sz w:val="20"/>
                <w:szCs w:val="20"/>
              </w:rPr>
              <w:t>%</w:t>
            </w:r>
          </w:p>
        </w:tc>
        <w:tc>
          <w:tcPr>
            <w:tcW w:w="993" w:type="dxa"/>
            <w:hideMark/>
          </w:tcPr>
          <w:p w14:paraId="5A2D1624"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48</w:t>
            </w:r>
          </w:p>
        </w:tc>
        <w:tc>
          <w:tcPr>
            <w:tcW w:w="1275" w:type="dxa"/>
            <w:hideMark/>
          </w:tcPr>
          <w:p w14:paraId="0EB74AEF" w14:textId="55C74252" w:rsidR="00A36B73" w:rsidRPr="009B4FC0" w:rsidRDefault="003D2429" w:rsidP="003D2429">
            <w:pPr>
              <w:rPr>
                <w:rFonts w:ascii="Times New Roman" w:hAnsi="Times New Roman" w:cs="Times New Roman"/>
                <w:sz w:val="20"/>
                <w:szCs w:val="20"/>
              </w:rPr>
            </w:pPr>
            <w:r>
              <w:rPr>
                <w:rFonts w:ascii="Times New Roman" w:hAnsi="Times New Roman" w:cs="Times New Roman"/>
                <w:sz w:val="20"/>
                <w:szCs w:val="20"/>
              </w:rPr>
              <w:t>Конкретное значение п</w:t>
            </w:r>
            <w:r w:rsidR="0044228C" w:rsidRPr="009B4FC0">
              <w:rPr>
                <w:rFonts w:ascii="Times New Roman" w:hAnsi="Times New Roman" w:cs="Times New Roman"/>
                <w:sz w:val="20"/>
                <w:szCs w:val="20"/>
              </w:rPr>
              <w:t>оказател</w:t>
            </w:r>
            <w:r>
              <w:rPr>
                <w:rFonts w:ascii="Times New Roman" w:hAnsi="Times New Roman" w:cs="Times New Roman"/>
                <w:sz w:val="20"/>
                <w:szCs w:val="20"/>
              </w:rPr>
              <w:t>я</w:t>
            </w:r>
            <w:r w:rsidR="0044228C" w:rsidRPr="009B4FC0">
              <w:rPr>
                <w:rFonts w:ascii="Times New Roman" w:hAnsi="Times New Roman" w:cs="Times New Roman"/>
                <w:sz w:val="20"/>
                <w:szCs w:val="20"/>
              </w:rPr>
              <w:t xml:space="preserve"> на 2019 год не установлен</w:t>
            </w:r>
            <w:r>
              <w:rPr>
                <w:rFonts w:ascii="Times New Roman" w:hAnsi="Times New Roman" w:cs="Times New Roman"/>
                <w:sz w:val="20"/>
                <w:szCs w:val="20"/>
              </w:rPr>
              <w:t>о</w:t>
            </w:r>
            <w:r w:rsidR="00DA3C35">
              <w:rPr>
                <w:rFonts w:ascii="Times New Roman" w:hAnsi="Times New Roman" w:cs="Times New Roman"/>
                <w:sz w:val="20"/>
                <w:szCs w:val="20"/>
              </w:rPr>
              <w:t>, достижение</w:t>
            </w:r>
            <w:r>
              <w:rPr>
                <w:rFonts w:ascii="Times New Roman" w:hAnsi="Times New Roman" w:cs="Times New Roman"/>
                <w:sz w:val="20"/>
                <w:szCs w:val="20"/>
              </w:rPr>
              <w:t xml:space="preserve"> значения показателя 80% запланировано</w:t>
            </w:r>
            <w:r w:rsidR="00DA3C35">
              <w:rPr>
                <w:rFonts w:ascii="Times New Roman" w:hAnsi="Times New Roman" w:cs="Times New Roman"/>
                <w:sz w:val="20"/>
                <w:szCs w:val="20"/>
              </w:rPr>
              <w:t xml:space="preserve"> к 2022 году</w:t>
            </w:r>
          </w:p>
        </w:tc>
        <w:tc>
          <w:tcPr>
            <w:tcW w:w="993" w:type="dxa"/>
            <w:hideMark/>
          </w:tcPr>
          <w:p w14:paraId="28C25CDC"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60</w:t>
            </w:r>
          </w:p>
        </w:tc>
        <w:tc>
          <w:tcPr>
            <w:tcW w:w="2551" w:type="dxa"/>
            <w:hideMark/>
          </w:tcPr>
          <w:p w14:paraId="437139F1"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Ведомственные данные департамента имущества и земельных отношений Новосибирской области</w:t>
            </w:r>
          </w:p>
        </w:tc>
        <w:tc>
          <w:tcPr>
            <w:tcW w:w="1701" w:type="dxa"/>
            <w:hideMark/>
          </w:tcPr>
          <w:p w14:paraId="69C89A1B"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Расчет осуществлялся на основе процентного соотношения количества сданного в аренду имущества, включенного в перечень государственного имущества Новосибирской </w:t>
            </w:r>
            <w:r w:rsidRPr="009B4FC0">
              <w:rPr>
                <w:rFonts w:ascii="Times New Roman" w:hAnsi="Times New Roman" w:cs="Times New Roman"/>
                <w:sz w:val="20"/>
                <w:szCs w:val="20"/>
              </w:rPr>
              <w:lastRenderedPageBreak/>
              <w:t>области, свободного от прав третьих лиц, к общему количеству объектов, включенных в перечень, утвержденный распоряжением Правительства Новосибирской области от 05.07.2016 № 228-рп</w:t>
            </w:r>
          </w:p>
        </w:tc>
        <w:tc>
          <w:tcPr>
            <w:tcW w:w="1701" w:type="dxa"/>
            <w:noWrap/>
            <w:hideMark/>
          </w:tcPr>
          <w:p w14:paraId="4FCCE98E"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w:t>
            </w:r>
          </w:p>
        </w:tc>
        <w:tc>
          <w:tcPr>
            <w:tcW w:w="1419" w:type="dxa"/>
            <w:noWrap/>
            <w:hideMark/>
          </w:tcPr>
          <w:p w14:paraId="0328CE12"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r w:rsidR="00A36B73" w:rsidRPr="00DF030D" w14:paraId="65AE53FF" w14:textId="77777777" w:rsidTr="00E77388">
        <w:trPr>
          <w:trHeight w:val="20"/>
        </w:trPr>
        <w:tc>
          <w:tcPr>
            <w:tcW w:w="536" w:type="dxa"/>
            <w:hideMark/>
          </w:tcPr>
          <w:p w14:paraId="07B8024F"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13.</w:t>
            </w:r>
          </w:p>
        </w:tc>
        <w:tc>
          <w:tcPr>
            <w:tcW w:w="1591" w:type="dxa"/>
            <w:hideMark/>
          </w:tcPr>
          <w:p w14:paraId="393D4F6A"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Организация предоставления субъектам малого и среднего предпринимательства услуг </w:t>
            </w:r>
          </w:p>
        </w:tc>
        <w:tc>
          <w:tcPr>
            <w:tcW w:w="2115" w:type="dxa"/>
            <w:hideMark/>
          </w:tcPr>
          <w:p w14:paraId="001C70A0"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Предоставление </w:t>
            </w:r>
            <w:r w:rsidRPr="009B4FC0">
              <w:rPr>
                <w:rFonts w:ascii="Times New Roman" w:hAnsi="Times New Roman" w:cs="Times New Roman"/>
                <w:sz w:val="20"/>
                <w:szCs w:val="20"/>
              </w:rPr>
              <w:br/>
              <w:t xml:space="preserve">не менее 7 услуг </w:t>
            </w:r>
            <w:r w:rsidRPr="009B4FC0">
              <w:rPr>
                <w:rFonts w:ascii="Times New Roman" w:hAnsi="Times New Roman" w:cs="Times New Roman"/>
                <w:sz w:val="20"/>
                <w:szCs w:val="20"/>
              </w:rPr>
              <w:br/>
              <w:t xml:space="preserve">через ГАУ НСО «МФЦ», </w:t>
            </w:r>
            <w:r w:rsidRPr="009B4FC0">
              <w:rPr>
                <w:rFonts w:ascii="Times New Roman" w:hAnsi="Times New Roman" w:cs="Times New Roman"/>
                <w:b/>
                <w:sz w:val="20"/>
                <w:szCs w:val="20"/>
              </w:rPr>
              <w:t>ед.</w:t>
            </w:r>
          </w:p>
        </w:tc>
        <w:tc>
          <w:tcPr>
            <w:tcW w:w="993" w:type="dxa"/>
            <w:hideMark/>
          </w:tcPr>
          <w:p w14:paraId="5E1958CE"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7</w:t>
            </w:r>
          </w:p>
        </w:tc>
        <w:tc>
          <w:tcPr>
            <w:tcW w:w="1275" w:type="dxa"/>
            <w:hideMark/>
          </w:tcPr>
          <w:p w14:paraId="0D70B6E6"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7</w:t>
            </w:r>
          </w:p>
        </w:tc>
        <w:tc>
          <w:tcPr>
            <w:tcW w:w="993" w:type="dxa"/>
            <w:hideMark/>
          </w:tcPr>
          <w:p w14:paraId="3825522C"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7</w:t>
            </w:r>
          </w:p>
        </w:tc>
        <w:tc>
          <w:tcPr>
            <w:tcW w:w="2551" w:type="dxa"/>
            <w:hideMark/>
          </w:tcPr>
          <w:p w14:paraId="0ACE39CE"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В МФЦ Новосибирской области предоставляется 7 услуг АО «Корпорация «МСП» во всех филиалах МФЦ. Число обращений за услугами Корпорации субъектов МСП в 2019 году: через МФЦ составило 2058 (уникальных – 1806)</w:t>
            </w:r>
          </w:p>
        </w:tc>
        <w:tc>
          <w:tcPr>
            <w:tcW w:w="1701" w:type="dxa"/>
            <w:hideMark/>
          </w:tcPr>
          <w:p w14:paraId="248C42D1" w14:textId="77777777" w:rsidR="00A36B73" w:rsidRPr="009B4FC0" w:rsidRDefault="00E3307E" w:rsidP="00A36B73">
            <w:pPr>
              <w:rPr>
                <w:rFonts w:ascii="Times New Roman" w:hAnsi="Times New Roman" w:cs="Times New Roman"/>
                <w:sz w:val="20"/>
                <w:szCs w:val="20"/>
                <w:u w:val="single"/>
              </w:rPr>
            </w:pPr>
            <w:hyperlink r:id="rId237" w:history="1">
              <w:r w:rsidR="00A36B73" w:rsidRPr="009B4FC0">
                <w:rPr>
                  <w:rStyle w:val="a3"/>
                  <w:rFonts w:ascii="Times New Roman" w:hAnsi="Times New Roman" w:cs="Times New Roman"/>
                  <w:sz w:val="20"/>
                  <w:szCs w:val="20"/>
                </w:rPr>
                <w:t>https://www.mfc-nso.ru/articles/uslugi-for-bisnes</w:t>
              </w:r>
            </w:hyperlink>
          </w:p>
        </w:tc>
        <w:tc>
          <w:tcPr>
            <w:tcW w:w="1701" w:type="dxa"/>
            <w:noWrap/>
            <w:hideMark/>
          </w:tcPr>
          <w:p w14:paraId="33EC217F"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c>
          <w:tcPr>
            <w:tcW w:w="1419" w:type="dxa"/>
            <w:noWrap/>
            <w:hideMark/>
          </w:tcPr>
          <w:p w14:paraId="04CDC940"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r w:rsidR="00A36B73" w:rsidRPr="00DF030D" w14:paraId="25FEADEA" w14:textId="77777777" w:rsidTr="00E77388">
        <w:trPr>
          <w:trHeight w:val="20"/>
        </w:trPr>
        <w:tc>
          <w:tcPr>
            <w:tcW w:w="536" w:type="dxa"/>
            <w:hideMark/>
          </w:tcPr>
          <w:p w14:paraId="6BD93CDE"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14.</w:t>
            </w:r>
          </w:p>
        </w:tc>
        <w:tc>
          <w:tcPr>
            <w:tcW w:w="1591" w:type="dxa"/>
            <w:hideMark/>
          </w:tcPr>
          <w:p w14:paraId="08010BAF"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 xml:space="preserve">Мониторинг размещения </w:t>
            </w:r>
            <w:r w:rsidRPr="009B4FC0">
              <w:rPr>
                <w:rFonts w:ascii="Times New Roman" w:hAnsi="Times New Roman" w:cs="Times New Roman"/>
                <w:sz w:val="20"/>
                <w:szCs w:val="20"/>
              </w:rPr>
              <w:br/>
              <w:t xml:space="preserve">на официальных сайтах муниципальных образований актуального административного регламента предоставления муниципальной услуги по выдаче разрешения на строительство и актуального административного регламента </w:t>
            </w:r>
            <w:r w:rsidRPr="009B4FC0">
              <w:rPr>
                <w:rFonts w:ascii="Times New Roman" w:hAnsi="Times New Roman" w:cs="Times New Roman"/>
                <w:sz w:val="20"/>
                <w:szCs w:val="20"/>
              </w:rPr>
              <w:lastRenderedPageBreak/>
              <w:t xml:space="preserve">предоставления муниципальной услуги по выдаче разрешений на ввод объекта </w:t>
            </w:r>
            <w:r w:rsidRPr="009B4FC0">
              <w:rPr>
                <w:rFonts w:ascii="Times New Roman" w:hAnsi="Times New Roman" w:cs="Times New Roman"/>
                <w:sz w:val="20"/>
                <w:szCs w:val="20"/>
              </w:rPr>
              <w:br/>
              <w:t>в эксплуатацию при осуществлении строительства, реконструкции объектов капитального строительства</w:t>
            </w:r>
          </w:p>
        </w:tc>
        <w:tc>
          <w:tcPr>
            <w:tcW w:w="2115" w:type="dxa"/>
            <w:hideMark/>
          </w:tcPr>
          <w:p w14:paraId="2B29F5F1"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 xml:space="preserve">Доля размещенных </w:t>
            </w:r>
            <w:r w:rsidRPr="009B4FC0">
              <w:rPr>
                <w:rFonts w:ascii="Times New Roman" w:hAnsi="Times New Roman" w:cs="Times New Roman"/>
                <w:sz w:val="20"/>
                <w:szCs w:val="20"/>
              </w:rPr>
              <w:br/>
              <w:t xml:space="preserve">на официальных сайтах муниципальных образований Новосибирской области актуальных административных регламентов по выдаче разрешения на строительство и актуального административного регламента предоставления муниципальной услуги </w:t>
            </w:r>
            <w:r w:rsidRPr="009B4FC0">
              <w:rPr>
                <w:rFonts w:ascii="Times New Roman" w:hAnsi="Times New Roman" w:cs="Times New Roman"/>
                <w:sz w:val="20"/>
                <w:szCs w:val="20"/>
              </w:rPr>
              <w:br/>
              <w:t xml:space="preserve">по выдаче разрешений на ввод объекта в </w:t>
            </w:r>
            <w:r w:rsidRPr="009B4FC0">
              <w:rPr>
                <w:rFonts w:ascii="Times New Roman" w:hAnsi="Times New Roman" w:cs="Times New Roman"/>
                <w:sz w:val="20"/>
                <w:szCs w:val="20"/>
              </w:rPr>
              <w:lastRenderedPageBreak/>
              <w:t xml:space="preserve">эксплуатацию при осуществлении строительства, реконструкции объектов капитального строительства 100%, </w:t>
            </w:r>
            <w:r w:rsidRPr="009B4FC0">
              <w:rPr>
                <w:rFonts w:ascii="Times New Roman" w:hAnsi="Times New Roman" w:cs="Times New Roman"/>
                <w:b/>
                <w:sz w:val="20"/>
                <w:szCs w:val="20"/>
              </w:rPr>
              <w:t>%</w:t>
            </w:r>
          </w:p>
        </w:tc>
        <w:tc>
          <w:tcPr>
            <w:tcW w:w="993" w:type="dxa"/>
            <w:hideMark/>
          </w:tcPr>
          <w:p w14:paraId="03CCEF54"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lastRenderedPageBreak/>
              <w:t>100</w:t>
            </w:r>
          </w:p>
        </w:tc>
        <w:tc>
          <w:tcPr>
            <w:tcW w:w="1275" w:type="dxa"/>
            <w:hideMark/>
          </w:tcPr>
          <w:p w14:paraId="680615A5"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100</w:t>
            </w:r>
          </w:p>
        </w:tc>
        <w:tc>
          <w:tcPr>
            <w:tcW w:w="993" w:type="dxa"/>
            <w:hideMark/>
          </w:tcPr>
          <w:p w14:paraId="4C795A9E"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100</w:t>
            </w:r>
          </w:p>
        </w:tc>
        <w:tc>
          <w:tcPr>
            <w:tcW w:w="2551" w:type="dxa"/>
            <w:hideMark/>
          </w:tcPr>
          <w:p w14:paraId="66964D04"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Ведомственные данные министерства строительства Новосибирской области</w:t>
            </w:r>
          </w:p>
        </w:tc>
        <w:tc>
          <w:tcPr>
            <w:tcW w:w="1701" w:type="dxa"/>
            <w:hideMark/>
          </w:tcPr>
          <w:p w14:paraId="2F1588B1"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Анализ официальных сайтов органов местного самоуправления муниципальных образований Новосибирской области</w:t>
            </w:r>
          </w:p>
        </w:tc>
        <w:tc>
          <w:tcPr>
            <w:tcW w:w="1701" w:type="dxa"/>
            <w:noWrap/>
            <w:hideMark/>
          </w:tcPr>
          <w:p w14:paraId="6829B9E7"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c>
          <w:tcPr>
            <w:tcW w:w="1419" w:type="dxa"/>
            <w:noWrap/>
            <w:hideMark/>
          </w:tcPr>
          <w:p w14:paraId="23CDB753" w14:textId="77777777" w:rsidR="00A36B73" w:rsidRPr="009B4FC0" w:rsidRDefault="00A36B73" w:rsidP="00A36B73">
            <w:pPr>
              <w:rPr>
                <w:rFonts w:ascii="Times New Roman" w:hAnsi="Times New Roman" w:cs="Times New Roman"/>
                <w:sz w:val="20"/>
                <w:szCs w:val="20"/>
              </w:rPr>
            </w:pPr>
            <w:r w:rsidRPr="009B4FC0">
              <w:rPr>
                <w:rFonts w:ascii="Times New Roman" w:hAnsi="Times New Roman" w:cs="Times New Roman"/>
                <w:sz w:val="20"/>
                <w:szCs w:val="20"/>
              </w:rPr>
              <w:t>-</w:t>
            </w:r>
          </w:p>
        </w:tc>
      </w:tr>
    </w:tbl>
    <w:p w14:paraId="3662BDC7" w14:textId="77777777" w:rsidR="00F41852" w:rsidRDefault="00F41852" w:rsidP="00F41852"/>
    <w:p w14:paraId="6A7E5D0B" w14:textId="77777777" w:rsidR="00CC33F8" w:rsidRDefault="00CC33F8" w:rsidP="003F4CFF">
      <w:pPr>
        <w:ind w:firstLine="567"/>
        <w:jc w:val="both"/>
        <w:rPr>
          <w:rFonts w:ascii="Times New Roman" w:eastAsia="Times New Roman" w:hAnsi="Times New Roman" w:cs="Times New Roman"/>
          <w:sz w:val="28"/>
          <w:szCs w:val="28"/>
        </w:rPr>
      </w:pPr>
    </w:p>
    <w:p w14:paraId="0CC4555A" w14:textId="77777777" w:rsidR="00CC33F8" w:rsidRDefault="00CC33F8" w:rsidP="003F4CFF">
      <w:pPr>
        <w:ind w:firstLine="567"/>
        <w:jc w:val="both"/>
        <w:rPr>
          <w:rFonts w:ascii="Times New Roman" w:eastAsia="Times New Roman" w:hAnsi="Times New Roman" w:cs="Times New Roman"/>
          <w:sz w:val="28"/>
          <w:szCs w:val="28"/>
        </w:rPr>
        <w:sectPr w:rsidR="00CC33F8" w:rsidSect="00BE512F">
          <w:pgSz w:w="16838" w:h="11906" w:orient="landscape" w:code="9"/>
          <w:pgMar w:top="1418" w:right="1134" w:bottom="567" w:left="1134" w:header="709" w:footer="709" w:gutter="0"/>
          <w:cols w:space="708"/>
          <w:docGrid w:linePitch="360"/>
        </w:sectPr>
      </w:pPr>
    </w:p>
    <w:p w14:paraId="630B15D1" w14:textId="77777777" w:rsidR="003F4CFF" w:rsidRPr="0009096E" w:rsidRDefault="003F4CFF" w:rsidP="003F4CFF">
      <w:pPr>
        <w:ind w:firstLine="567"/>
        <w:jc w:val="both"/>
        <w:rPr>
          <w:rFonts w:ascii="Times New Roman" w:eastAsia="Times New Roman" w:hAnsi="Times New Roman" w:cs="Times New Roman"/>
          <w:sz w:val="28"/>
          <w:szCs w:val="28"/>
        </w:rPr>
      </w:pPr>
    </w:p>
    <w:p w14:paraId="3B50CEA3" w14:textId="77777777" w:rsidR="003F4CFF" w:rsidRPr="00A83F60" w:rsidRDefault="003F4CFF" w:rsidP="003F4CFF">
      <w:pPr>
        <w:pStyle w:val="aa"/>
        <w:spacing w:after="0"/>
        <w:outlineLvl w:val="0"/>
        <w:rPr>
          <w:rFonts w:ascii="Times New Roman" w:hAnsi="Times New Roman"/>
          <w:b/>
          <w:sz w:val="28"/>
          <w:szCs w:val="28"/>
        </w:rPr>
      </w:pPr>
      <w:bookmarkStart w:id="157" w:name="_Toc31983995"/>
      <w:bookmarkStart w:id="158" w:name="_Toc32240335"/>
      <w:bookmarkStart w:id="159" w:name="_Toc32421920"/>
      <w:bookmarkStart w:id="160" w:name="_Toc34129200"/>
      <w:r w:rsidRPr="003B09FE">
        <w:rPr>
          <w:rFonts w:ascii="Times New Roman" w:hAnsi="Times New Roman"/>
          <w:b/>
          <w:color w:val="C00000"/>
          <w:sz w:val="28"/>
          <w:szCs w:val="28"/>
        </w:rPr>
        <w:t>Раздел 4. </w:t>
      </w:r>
      <w:r w:rsidRPr="00A83F60">
        <w:rPr>
          <w:rFonts w:ascii="Times New Roman" w:hAnsi="Times New Roman"/>
          <w:b/>
          <w:sz w:val="28"/>
          <w:szCs w:val="28"/>
        </w:rPr>
        <w:t>Сведения о лучших региональных практиках содействия развитию конкуренции</w:t>
      </w:r>
      <w:bookmarkEnd w:id="157"/>
      <w:bookmarkEnd w:id="158"/>
      <w:bookmarkEnd w:id="159"/>
      <w:bookmarkEnd w:id="160"/>
    </w:p>
    <w:p w14:paraId="261429A5" w14:textId="77777777" w:rsidR="003F4CFF" w:rsidRPr="00B76649" w:rsidRDefault="003F4CFF" w:rsidP="003F4CFF">
      <w:pPr>
        <w:rPr>
          <w:rFonts w:ascii="Times New Roman" w:eastAsiaTheme="majorEastAsia" w:hAnsi="Times New Roman" w:cs="Times New Roman"/>
          <w:sz w:val="28"/>
          <w:szCs w:val="28"/>
        </w:rPr>
      </w:pPr>
    </w:p>
    <w:p w14:paraId="6E8E5E07" w14:textId="77777777" w:rsidR="003F4CFF" w:rsidRPr="00B76649" w:rsidRDefault="003F4CFF" w:rsidP="003F4CFF">
      <w:pPr>
        <w:pStyle w:val="ac"/>
        <w:ind w:firstLine="567"/>
        <w:jc w:val="both"/>
        <w:outlineLvl w:val="1"/>
        <w:rPr>
          <w:rFonts w:ascii="Times New Roman" w:hAnsi="Times New Roman"/>
          <w:b/>
        </w:rPr>
      </w:pPr>
      <w:bookmarkStart w:id="161" w:name="_Toc31983996"/>
      <w:bookmarkStart w:id="162" w:name="_Toc32240336"/>
      <w:bookmarkStart w:id="163" w:name="_Toc32421921"/>
      <w:bookmarkStart w:id="164" w:name="_Toc34129201"/>
      <w:r w:rsidRPr="00B76649">
        <w:rPr>
          <w:rFonts w:ascii="Times New Roman" w:hAnsi="Times New Roman"/>
          <w:b/>
        </w:rPr>
        <w:t>4.1. Информация о лучших региональных практиках, внедренных субъектом Российской Федерации по итогам отчетного года</w:t>
      </w:r>
      <w:bookmarkEnd w:id="161"/>
      <w:bookmarkEnd w:id="162"/>
      <w:bookmarkEnd w:id="163"/>
      <w:bookmarkEnd w:id="164"/>
    </w:p>
    <w:p w14:paraId="66BA307F" w14:textId="77777777" w:rsidR="003F4CFF"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По результатам заседания Межведомственной рабочей группы по вопросам реализации положений стандарта развития конкуренции в субъектах Российской Федерации (далее соответственно – Ме</w:t>
      </w:r>
      <w:r w:rsidR="00192D8B">
        <w:rPr>
          <w:rFonts w:ascii="Times New Roman" w:hAnsi="Times New Roman" w:cs="Times New Roman"/>
          <w:sz w:val="28"/>
          <w:szCs w:val="28"/>
        </w:rPr>
        <w:t>жведомственная рабочая группа, С</w:t>
      </w:r>
      <w:r>
        <w:rPr>
          <w:rFonts w:ascii="Times New Roman" w:hAnsi="Times New Roman" w:cs="Times New Roman"/>
          <w:sz w:val="28"/>
          <w:szCs w:val="28"/>
        </w:rPr>
        <w:t xml:space="preserve">тандарт), состоявшегося 5 декабря 2018 г., отобран перечень лучших региональных практик содействия развитию конкуренции, которые будут учитываться при оценке внедрения </w:t>
      </w:r>
      <w:r w:rsidR="00192D8B">
        <w:rPr>
          <w:rFonts w:ascii="Times New Roman" w:hAnsi="Times New Roman" w:cs="Times New Roman"/>
          <w:sz w:val="28"/>
          <w:szCs w:val="28"/>
        </w:rPr>
        <w:t>С</w:t>
      </w:r>
      <w:r>
        <w:rPr>
          <w:rFonts w:ascii="Times New Roman" w:hAnsi="Times New Roman" w:cs="Times New Roman"/>
          <w:sz w:val="28"/>
          <w:szCs w:val="28"/>
        </w:rPr>
        <w:t>тандарта по результатам 2019 года.</w:t>
      </w:r>
    </w:p>
    <w:p w14:paraId="0FE35F04" w14:textId="77777777" w:rsidR="003F4CFF"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Кроме того, Межведомственной рабочей группой был отобран перечень практик содействия развитию конкуренции, рекомендованных для внедрения на территории субъектов Российской Федерации.</w:t>
      </w:r>
    </w:p>
    <w:p w14:paraId="20C0DEFE" w14:textId="77777777" w:rsidR="003F4CFF"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В Новосибирской области данная информация учтена в работе при реализации Стандарта. Практики по содействию органам местного самоуправления в вопросах развития конкуренции и внедрения Стандарта, а также государственно-частному партнерству внедрены в Новосибирской области, работа по данным направлениям осуществляется с 2016 года. </w:t>
      </w:r>
    </w:p>
    <w:p w14:paraId="22377524" w14:textId="77777777" w:rsidR="00961841" w:rsidRDefault="00961841" w:rsidP="00961841">
      <w:pPr>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все 3 лучшие практики из предложенных Межведомственной рабочей группой внедрены в Новосибирской области. </w:t>
      </w:r>
    </w:p>
    <w:p w14:paraId="4495A8C4" w14:textId="77777777" w:rsidR="003F4CFF" w:rsidRPr="006D3D11" w:rsidRDefault="003F4CFF" w:rsidP="003F4CFF">
      <w:pPr>
        <w:ind w:firstLine="567"/>
        <w:jc w:val="both"/>
        <w:rPr>
          <w:rFonts w:ascii="Times New Roman" w:hAnsi="Times New Roman" w:cs="Times New Roman"/>
          <w:sz w:val="28"/>
          <w:szCs w:val="28"/>
        </w:rPr>
      </w:pPr>
      <w:r>
        <w:rPr>
          <w:rFonts w:ascii="Times New Roman" w:hAnsi="Times New Roman" w:cs="Times New Roman"/>
          <w:sz w:val="28"/>
          <w:szCs w:val="28"/>
        </w:rPr>
        <w:t xml:space="preserve">Информация по каждой внедренной регионом лучшей практике представлена </w:t>
      </w:r>
      <w:r w:rsidRPr="006D3D11">
        <w:rPr>
          <w:rFonts w:ascii="Times New Roman" w:hAnsi="Times New Roman" w:cs="Times New Roman"/>
          <w:sz w:val="28"/>
          <w:szCs w:val="28"/>
        </w:rPr>
        <w:t xml:space="preserve">в таблице </w:t>
      </w:r>
      <w:r w:rsidR="006D3D11" w:rsidRPr="006D3D11">
        <w:rPr>
          <w:rFonts w:ascii="Times New Roman" w:hAnsi="Times New Roman" w:cs="Times New Roman"/>
          <w:sz w:val="28"/>
          <w:szCs w:val="28"/>
        </w:rPr>
        <w:t>33</w:t>
      </w:r>
      <w:r w:rsidRPr="006D3D11">
        <w:rPr>
          <w:rFonts w:ascii="Times New Roman" w:hAnsi="Times New Roman" w:cs="Times New Roman"/>
          <w:sz w:val="28"/>
          <w:szCs w:val="28"/>
        </w:rPr>
        <w:t>.</w:t>
      </w:r>
    </w:p>
    <w:p w14:paraId="3C783401" w14:textId="77777777" w:rsidR="00961841" w:rsidRDefault="00961841" w:rsidP="00961841">
      <w:pPr>
        <w:ind w:firstLine="567"/>
        <w:jc w:val="both"/>
        <w:rPr>
          <w:rFonts w:ascii="Times New Roman" w:hAnsi="Times New Roman" w:cs="Times New Roman"/>
          <w:sz w:val="28"/>
          <w:szCs w:val="28"/>
        </w:rPr>
      </w:pPr>
      <w:r w:rsidRPr="006D3D11">
        <w:rPr>
          <w:rFonts w:ascii="Times New Roman" w:hAnsi="Times New Roman" w:cs="Times New Roman"/>
          <w:sz w:val="28"/>
          <w:szCs w:val="28"/>
        </w:rPr>
        <w:t>Информация о внедрении на территории Новосибирской области практик из числа рекомендованных представлена в таблице</w:t>
      </w:r>
      <w:r w:rsidR="006D3D11" w:rsidRPr="006D3D11">
        <w:rPr>
          <w:rFonts w:ascii="Times New Roman" w:hAnsi="Times New Roman" w:cs="Times New Roman"/>
          <w:sz w:val="28"/>
          <w:szCs w:val="28"/>
        </w:rPr>
        <w:t xml:space="preserve"> 34</w:t>
      </w:r>
      <w:r w:rsidRPr="006D3D11">
        <w:rPr>
          <w:rFonts w:ascii="Times New Roman" w:hAnsi="Times New Roman" w:cs="Times New Roman"/>
          <w:sz w:val="28"/>
          <w:szCs w:val="28"/>
        </w:rPr>
        <w:t>.</w:t>
      </w:r>
    </w:p>
    <w:p w14:paraId="6A6FEB2B" w14:textId="77777777" w:rsidR="00647D59" w:rsidRDefault="00647D59" w:rsidP="003F4CFF">
      <w:pPr>
        <w:jc w:val="both"/>
        <w:rPr>
          <w:rFonts w:ascii="Times New Roman" w:hAnsi="Times New Roman" w:cs="Times New Roman"/>
          <w:sz w:val="28"/>
          <w:szCs w:val="28"/>
        </w:rPr>
      </w:pPr>
    </w:p>
    <w:p w14:paraId="629DC489" w14:textId="77777777" w:rsidR="00961841" w:rsidRDefault="00961841" w:rsidP="003F4CFF">
      <w:pPr>
        <w:jc w:val="both"/>
        <w:rPr>
          <w:rFonts w:ascii="Times New Roman" w:hAnsi="Times New Roman" w:cs="Times New Roman"/>
          <w:sz w:val="28"/>
          <w:szCs w:val="28"/>
        </w:rPr>
      </w:pPr>
    </w:p>
    <w:p w14:paraId="59899588" w14:textId="77777777" w:rsidR="00961841" w:rsidRDefault="00961841" w:rsidP="003F4CFF">
      <w:pPr>
        <w:jc w:val="both"/>
        <w:rPr>
          <w:rFonts w:ascii="Times New Roman" w:hAnsi="Times New Roman" w:cs="Times New Roman"/>
          <w:sz w:val="28"/>
          <w:szCs w:val="28"/>
        </w:rPr>
        <w:sectPr w:rsidR="00961841" w:rsidSect="00647D59">
          <w:pgSz w:w="11906" w:h="16838" w:code="9"/>
          <w:pgMar w:top="1134" w:right="567" w:bottom="1134" w:left="1418" w:header="708" w:footer="708" w:gutter="0"/>
          <w:cols w:space="708"/>
          <w:docGrid w:linePitch="360"/>
        </w:sectPr>
      </w:pPr>
    </w:p>
    <w:p w14:paraId="0E3A737A" w14:textId="77777777" w:rsidR="003F4CFF" w:rsidRDefault="003F4CFF" w:rsidP="003F4CFF">
      <w:pPr>
        <w:jc w:val="both"/>
        <w:rPr>
          <w:rFonts w:ascii="Times New Roman" w:hAnsi="Times New Roman" w:cs="Times New Roman"/>
          <w:sz w:val="28"/>
          <w:szCs w:val="28"/>
        </w:rPr>
      </w:pPr>
      <w:r>
        <w:rPr>
          <w:rFonts w:ascii="Times New Roman" w:hAnsi="Times New Roman" w:cs="Times New Roman"/>
          <w:sz w:val="28"/>
          <w:szCs w:val="28"/>
        </w:rPr>
        <w:lastRenderedPageBreak/>
        <w:t>Таблица</w:t>
      </w:r>
      <w:r w:rsidR="006D3D11">
        <w:rPr>
          <w:rFonts w:ascii="Times New Roman" w:hAnsi="Times New Roman" w:cs="Times New Roman"/>
          <w:sz w:val="28"/>
          <w:szCs w:val="28"/>
        </w:rPr>
        <w:t xml:space="preserve"> 33 </w:t>
      </w:r>
      <w:r>
        <w:rPr>
          <w:rFonts w:ascii="Times New Roman" w:hAnsi="Times New Roman" w:cs="Times New Roman"/>
          <w:sz w:val="28"/>
          <w:szCs w:val="28"/>
        </w:rPr>
        <w:t>– Внедренные регионом лучшие практики содействия развитию конкуренции</w:t>
      </w:r>
    </w:p>
    <w:tbl>
      <w:tblPr>
        <w:tblStyle w:val="110"/>
        <w:tblW w:w="5000" w:type="pct"/>
        <w:tblLook w:val="04A0" w:firstRow="1" w:lastRow="0" w:firstColumn="1" w:lastColumn="0" w:noHBand="0" w:noVBand="1"/>
      </w:tblPr>
      <w:tblGrid>
        <w:gridCol w:w="1255"/>
        <w:gridCol w:w="3454"/>
        <w:gridCol w:w="9851"/>
      </w:tblGrid>
      <w:tr w:rsidR="003F4CFF" w:rsidRPr="00C03A12" w14:paraId="2F06B772" w14:textId="77777777" w:rsidTr="00A02DE4">
        <w:tc>
          <w:tcPr>
            <w:tcW w:w="5000" w:type="pct"/>
            <w:gridSpan w:val="3"/>
            <w:tcBorders>
              <w:top w:val="single" w:sz="4" w:space="0" w:color="auto"/>
              <w:left w:val="single" w:sz="4" w:space="0" w:color="auto"/>
              <w:bottom w:val="single" w:sz="4" w:space="0" w:color="auto"/>
              <w:right w:val="single" w:sz="4" w:space="0" w:color="auto"/>
            </w:tcBorders>
          </w:tcPr>
          <w:p w14:paraId="736CC677" w14:textId="77777777" w:rsidR="003F4CFF" w:rsidRPr="0044623C" w:rsidRDefault="003F4CFF" w:rsidP="003F4CFF">
            <w:pPr>
              <w:ind w:firstLine="709"/>
              <w:rPr>
                <w:rFonts w:ascii="Times New Roman" w:hAnsi="Times New Roman" w:cs="Times New Roman"/>
                <w:b/>
                <w:sz w:val="24"/>
                <w:szCs w:val="24"/>
              </w:rPr>
            </w:pPr>
            <w:r w:rsidRPr="0044623C">
              <w:rPr>
                <w:rFonts w:ascii="Times New Roman" w:hAnsi="Times New Roman" w:cs="Times New Roman"/>
                <w:b/>
                <w:sz w:val="24"/>
                <w:szCs w:val="24"/>
              </w:rPr>
              <w:t>Содействие органам местного самоуправления в вопросах развития конкуренции и внедрения Стандарта</w:t>
            </w:r>
          </w:p>
        </w:tc>
      </w:tr>
      <w:tr w:rsidR="003F4CFF" w:rsidRPr="00C03A12" w14:paraId="29A13A7C" w14:textId="77777777" w:rsidTr="00E37891">
        <w:tc>
          <w:tcPr>
            <w:tcW w:w="431" w:type="pct"/>
            <w:vMerge w:val="restart"/>
            <w:tcBorders>
              <w:top w:val="single" w:sz="4" w:space="0" w:color="auto"/>
              <w:left w:val="single" w:sz="4" w:space="0" w:color="auto"/>
              <w:right w:val="single" w:sz="4" w:space="0" w:color="auto"/>
            </w:tcBorders>
          </w:tcPr>
          <w:p w14:paraId="2FB85FC4" w14:textId="77777777" w:rsidR="003F4CFF" w:rsidRPr="0044623C" w:rsidRDefault="003F4CFF" w:rsidP="003F4CFF">
            <w:pPr>
              <w:rPr>
                <w:rFonts w:ascii="Times New Roman" w:hAnsi="Times New Roman" w:cs="Times New Roman"/>
                <w:sz w:val="24"/>
                <w:szCs w:val="24"/>
              </w:rPr>
            </w:pPr>
            <w:r w:rsidRPr="0044623C">
              <w:rPr>
                <w:rFonts w:ascii="Times New Roman" w:hAnsi="Times New Roman" w:cs="Times New Roman"/>
                <w:sz w:val="24"/>
                <w:szCs w:val="24"/>
              </w:rPr>
              <w:t>1.</w:t>
            </w:r>
          </w:p>
        </w:tc>
        <w:tc>
          <w:tcPr>
            <w:tcW w:w="1186"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4F3EA364"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3383"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310F0E38"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Разработка Методических рекомендаций о средствах и методах развития конкурентной среды на рынках товаров работ и услуг муниципального образования (содействие органам местного самоуправления в вопросах развития конкуренции и внедрения Стандарта, Московская область)</w:t>
            </w:r>
          </w:p>
        </w:tc>
      </w:tr>
      <w:tr w:rsidR="003F4CFF" w:rsidRPr="00C03A12" w14:paraId="3D98D779" w14:textId="77777777" w:rsidTr="00A02DE4">
        <w:tc>
          <w:tcPr>
            <w:tcW w:w="431" w:type="pct"/>
            <w:vMerge/>
            <w:tcBorders>
              <w:left w:val="single" w:sz="4" w:space="0" w:color="auto"/>
              <w:right w:val="single" w:sz="4" w:space="0" w:color="auto"/>
            </w:tcBorders>
          </w:tcPr>
          <w:p w14:paraId="294D6D1B" w14:textId="77777777" w:rsidR="003F4CFF" w:rsidRPr="0044623C" w:rsidRDefault="003F4CFF" w:rsidP="003F4CFF">
            <w:pPr>
              <w:jc w:val="both"/>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1A5F7848"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Краткое описание успешной практики</w:t>
            </w:r>
          </w:p>
        </w:tc>
        <w:tc>
          <w:tcPr>
            <w:tcW w:w="3383" w:type="pct"/>
            <w:tcBorders>
              <w:top w:val="single" w:sz="4" w:space="0" w:color="auto"/>
              <w:left w:val="single" w:sz="4" w:space="0" w:color="auto"/>
              <w:bottom w:val="single" w:sz="4" w:space="0" w:color="auto"/>
              <w:right w:val="single" w:sz="4" w:space="0" w:color="auto"/>
            </w:tcBorders>
          </w:tcPr>
          <w:p w14:paraId="5B9622F8"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Данная практика внедрена в Новосибирской области в 2016 году.</w:t>
            </w:r>
          </w:p>
          <w:p w14:paraId="29C86281" w14:textId="77777777" w:rsidR="003F4CFF" w:rsidRPr="0044623C" w:rsidRDefault="003F4CFF" w:rsidP="003F4CFF">
            <w:pPr>
              <w:pStyle w:val="ConsPlusNormal"/>
              <w:jc w:val="both"/>
              <w:rPr>
                <w:rFonts w:ascii="Times New Roman" w:hAnsi="Times New Roman" w:cs="Times New Roman"/>
                <w:b/>
                <w:bCs/>
                <w:sz w:val="24"/>
                <w:szCs w:val="24"/>
              </w:rPr>
            </w:pPr>
            <w:r w:rsidRPr="0044623C">
              <w:rPr>
                <w:rFonts w:ascii="Times New Roman" w:hAnsi="Times New Roman" w:cs="Times New Roman"/>
                <w:sz w:val="24"/>
                <w:szCs w:val="24"/>
              </w:rPr>
              <w:t>Эффективная деятельность органов местного самоуправления муниципальных районов и городских округов Новосибирской области (далее – органы местного самоуправления) прямо связана с профессиональной компетентностью руководителей органов местного самоуправления и специалистов структурных подразделений администраций, осуществляющих полномочия в областях, непосредственно связанных с процессом развития конкуренции в Новосибирской области.</w:t>
            </w:r>
          </w:p>
          <w:p w14:paraId="0777C39C" w14:textId="77777777" w:rsidR="003F4CFF" w:rsidRPr="0044623C" w:rsidRDefault="003F4CFF" w:rsidP="003F4CFF">
            <w:pPr>
              <w:pStyle w:val="ConsPlusNormal"/>
              <w:jc w:val="both"/>
              <w:rPr>
                <w:rFonts w:ascii="Times New Roman" w:hAnsi="Times New Roman" w:cs="Times New Roman"/>
                <w:sz w:val="24"/>
                <w:szCs w:val="24"/>
              </w:rPr>
            </w:pPr>
            <w:r w:rsidRPr="0044623C">
              <w:rPr>
                <w:rFonts w:ascii="Times New Roman" w:hAnsi="Times New Roman" w:cs="Times New Roman"/>
                <w:sz w:val="24"/>
                <w:szCs w:val="24"/>
              </w:rPr>
              <w:t>В 2016 году с целью разъяснения органам местного самоуправления наиболее важных вопросов содействия и развития конкуренции в регионе министерством экономического развития Новосибирской области были разработаны Методические рекомендации по содействию развитию конкуренции в Новосибирской области.</w:t>
            </w:r>
          </w:p>
          <w:p w14:paraId="1897FBDC" w14:textId="77777777" w:rsidR="003F4CFF" w:rsidRPr="0044623C" w:rsidRDefault="003F4CFF" w:rsidP="003F4CFF">
            <w:pPr>
              <w:pStyle w:val="ConsPlusNormal"/>
              <w:jc w:val="both"/>
              <w:rPr>
                <w:rFonts w:ascii="Times New Roman" w:hAnsi="Times New Roman" w:cs="Times New Roman"/>
                <w:sz w:val="24"/>
                <w:szCs w:val="24"/>
              </w:rPr>
            </w:pPr>
            <w:r w:rsidRPr="0044623C">
              <w:rPr>
                <w:rFonts w:ascii="Times New Roman" w:hAnsi="Times New Roman" w:cs="Times New Roman"/>
                <w:sz w:val="24"/>
                <w:szCs w:val="24"/>
              </w:rPr>
              <w:t>Поскольку развитие конкуренции непосредственно связано с социально-экономическим развитием муниципалитетов, в 2018 году дополнительно были разработаны еще Методические рекомендации по разработке стратегии социально-экономического развития муниципального образования Новосибирской области и плана мероприятий по ее реализации.</w:t>
            </w:r>
          </w:p>
          <w:p w14:paraId="19A5E5A4"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В 2019 году работа по данному направлению продолжена.</w:t>
            </w:r>
          </w:p>
          <w:p w14:paraId="0C677955"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 xml:space="preserve">19 июня 2019 года проведен семинар-совещание с представителями 30 муниципальных районов и 5 городских округов Новосибирской области. Органам местного самоуправления представлены методические рекомендации по внедрению новой редакции стандарта. </w:t>
            </w:r>
          </w:p>
          <w:p w14:paraId="78A6608E"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Методическими рекомендациями определены основные подходы к формированию перечня товарных рынков и разработке муниципальной дорожной карты. Акцент сделан на системном и единообразном подходе к осуществлению деятельности органов исполнительной власти Новосибирской области и органов местного самоуправления по созданию с учетом региональной специфики условий для развития конкуренции между хозяйствующими субъектами в отраслях экономики.</w:t>
            </w:r>
          </w:p>
          <w:p w14:paraId="21D32E02"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lastRenderedPageBreak/>
              <w:t xml:space="preserve">Разработанные методические рекомендации позволили перейти к формированию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 Приказом министерства экономического развития Новосибирской области от 27.06.2019 № 69 утверждена Методика формирования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 </w:t>
            </w:r>
            <w:r w:rsidRPr="0044623C">
              <w:rPr>
                <w:rFonts w:ascii="Times New Roman" w:eastAsia="Times New Roman" w:hAnsi="Times New Roman" w:cs="Times New Roman"/>
                <w:sz w:val="24"/>
                <w:szCs w:val="24"/>
              </w:rPr>
              <w:t>Для расчета рейтинга используются 32 индикатора, из них 17 индикаторов по содействию развитию конкуренции.</w:t>
            </w:r>
          </w:p>
        </w:tc>
      </w:tr>
      <w:tr w:rsidR="003F4CFF" w:rsidRPr="00C03A12" w14:paraId="6A03C95C" w14:textId="77777777" w:rsidTr="00A02DE4">
        <w:tc>
          <w:tcPr>
            <w:tcW w:w="431" w:type="pct"/>
            <w:vMerge/>
            <w:tcBorders>
              <w:left w:val="single" w:sz="4" w:space="0" w:color="auto"/>
              <w:right w:val="single" w:sz="4" w:space="0" w:color="auto"/>
            </w:tcBorders>
          </w:tcPr>
          <w:p w14:paraId="2B8F0125" w14:textId="77777777" w:rsidR="003F4CFF" w:rsidRPr="0044623C"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282BA728" w14:textId="77777777" w:rsidR="003F4CFF" w:rsidRPr="0044623C" w:rsidRDefault="003F4CFF" w:rsidP="003F4CFF">
            <w:pPr>
              <w:rPr>
                <w:rFonts w:ascii="Times New Roman" w:hAnsi="Times New Roman" w:cs="Times New Roman"/>
                <w:sz w:val="24"/>
                <w:szCs w:val="24"/>
              </w:rPr>
            </w:pPr>
            <w:r w:rsidRPr="0044623C">
              <w:rPr>
                <w:rFonts w:ascii="Times New Roman" w:hAnsi="Times New Roman" w:cs="Times New Roman"/>
                <w:sz w:val="24"/>
                <w:szCs w:val="24"/>
              </w:rPr>
              <w:t>Ресурсы, привлеченные для ее реализации</w:t>
            </w:r>
          </w:p>
        </w:tc>
        <w:tc>
          <w:tcPr>
            <w:tcW w:w="3383" w:type="pct"/>
            <w:tcBorders>
              <w:top w:val="single" w:sz="4" w:space="0" w:color="auto"/>
              <w:left w:val="single" w:sz="4" w:space="0" w:color="auto"/>
              <w:bottom w:val="single" w:sz="4" w:space="0" w:color="auto"/>
              <w:right w:val="single" w:sz="4" w:space="0" w:color="auto"/>
            </w:tcBorders>
          </w:tcPr>
          <w:p w14:paraId="2DB884A5"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Работа была проведена силами министерства экономического развития Новосибирской области.</w:t>
            </w:r>
          </w:p>
          <w:p w14:paraId="1AC582FD"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Для внедрения практики необходимы только нефинансовые ресурсы:</w:t>
            </w:r>
          </w:p>
          <w:p w14:paraId="263EDD9B"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1) организационные (принятие решение о разработке методических рекомендаций, проведении семинаров и пр.)</w:t>
            </w:r>
          </w:p>
          <w:p w14:paraId="54C857E7"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2) информационные (извещение органов местного самоуправления о необходимости изучения методических рекомендаций, презентационных материалов, проведении семинаров; опубликование пресс-релизов на официальном сайте министерства и Инвестиционном портале Новосибирской области, рассылка по СЭДД);</w:t>
            </w:r>
          </w:p>
          <w:p w14:paraId="24E11588"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3) кадровые (привлечение специалистов к работе по данному направлению (3 чел.).</w:t>
            </w:r>
          </w:p>
        </w:tc>
      </w:tr>
      <w:tr w:rsidR="003F4CFF" w:rsidRPr="00C03A12" w14:paraId="45D542E8" w14:textId="77777777" w:rsidTr="00A02DE4">
        <w:tc>
          <w:tcPr>
            <w:tcW w:w="431" w:type="pct"/>
            <w:vMerge/>
            <w:tcBorders>
              <w:left w:val="single" w:sz="4" w:space="0" w:color="auto"/>
              <w:right w:val="single" w:sz="4" w:space="0" w:color="auto"/>
            </w:tcBorders>
          </w:tcPr>
          <w:p w14:paraId="2E50CF26" w14:textId="77777777" w:rsidR="003F4CFF" w:rsidRPr="0044623C"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6D27C0E4" w14:textId="77777777" w:rsidR="003F4CFF" w:rsidRPr="0044623C" w:rsidRDefault="003F4CFF" w:rsidP="003F4CFF">
            <w:pPr>
              <w:rPr>
                <w:rFonts w:ascii="Times New Roman" w:hAnsi="Times New Roman" w:cs="Times New Roman"/>
                <w:sz w:val="24"/>
                <w:szCs w:val="24"/>
              </w:rPr>
            </w:pPr>
            <w:r w:rsidRPr="0044623C">
              <w:rPr>
                <w:rFonts w:ascii="Times New Roman" w:hAnsi="Times New Roman" w:cs="Times New Roman"/>
                <w:sz w:val="24"/>
                <w:szCs w:val="24"/>
              </w:rPr>
              <w:t>Описание результата</w:t>
            </w:r>
          </w:p>
        </w:tc>
        <w:tc>
          <w:tcPr>
            <w:tcW w:w="3383" w:type="pct"/>
            <w:tcBorders>
              <w:top w:val="single" w:sz="4" w:space="0" w:color="auto"/>
              <w:left w:val="single" w:sz="4" w:space="0" w:color="auto"/>
              <w:bottom w:val="single" w:sz="4" w:space="0" w:color="auto"/>
              <w:right w:val="single" w:sz="4" w:space="0" w:color="auto"/>
            </w:tcBorders>
          </w:tcPr>
          <w:p w14:paraId="291FCDBC" w14:textId="77777777" w:rsidR="003F4CFF" w:rsidRPr="0044623C" w:rsidRDefault="003F4CFF" w:rsidP="003F4CFF">
            <w:pPr>
              <w:autoSpaceDE w:val="0"/>
              <w:autoSpaceDN w:val="0"/>
              <w:adjustRightInd w:val="0"/>
              <w:jc w:val="both"/>
              <w:rPr>
                <w:rFonts w:ascii="Times New Roman" w:hAnsi="Times New Roman" w:cs="Times New Roman"/>
                <w:sz w:val="24"/>
                <w:szCs w:val="24"/>
              </w:rPr>
            </w:pPr>
            <w:r w:rsidRPr="0044623C">
              <w:rPr>
                <w:rFonts w:ascii="Times New Roman" w:hAnsi="Times New Roman" w:cs="Times New Roman"/>
                <w:sz w:val="24"/>
                <w:szCs w:val="24"/>
              </w:rPr>
              <w:t>Обеспечение единства целей и направлений деятельности областных исполнительных органов государственной власти Новосибирской области и органов местного самоуправления.</w:t>
            </w:r>
          </w:p>
          <w:p w14:paraId="44247625" w14:textId="77777777" w:rsidR="003F4CFF" w:rsidRPr="0044623C" w:rsidRDefault="003F4CFF" w:rsidP="003F4CFF">
            <w:pPr>
              <w:autoSpaceDE w:val="0"/>
              <w:autoSpaceDN w:val="0"/>
              <w:adjustRightInd w:val="0"/>
              <w:jc w:val="both"/>
              <w:rPr>
                <w:rFonts w:ascii="Times New Roman" w:hAnsi="Times New Roman" w:cs="Times New Roman"/>
                <w:sz w:val="24"/>
                <w:szCs w:val="24"/>
              </w:rPr>
            </w:pPr>
            <w:r w:rsidRPr="0044623C">
              <w:rPr>
                <w:rFonts w:ascii="Times New Roman" w:hAnsi="Times New Roman" w:cs="Times New Roman"/>
                <w:sz w:val="24"/>
                <w:szCs w:val="24"/>
              </w:rPr>
              <w:t>Разработка планов мероприятий («дорожных карт») по содействию развитию конкуренции в Новосибирской области на региональном и муниципальном уровнях власти.</w:t>
            </w:r>
          </w:p>
        </w:tc>
      </w:tr>
      <w:tr w:rsidR="003F4CFF" w:rsidRPr="00C03A12" w14:paraId="31515981" w14:textId="77777777" w:rsidTr="00A02DE4">
        <w:tc>
          <w:tcPr>
            <w:tcW w:w="431" w:type="pct"/>
            <w:vMerge/>
            <w:tcBorders>
              <w:left w:val="single" w:sz="4" w:space="0" w:color="auto"/>
              <w:bottom w:val="single" w:sz="4" w:space="0" w:color="auto"/>
              <w:right w:val="single" w:sz="4" w:space="0" w:color="auto"/>
            </w:tcBorders>
          </w:tcPr>
          <w:p w14:paraId="2174937A" w14:textId="77777777" w:rsidR="003F4CFF" w:rsidRPr="0044623C"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104A76F4" w14:textId="77777777" w:rsidR="003F4CFF" w:rsidRPr="0044623C" w:rsidRDefault="003F4CFF" w:rsidP="003F4CFF">
            <w:pPr>
              <w:rPr>
                <w:rFonts w:ascii="Times New Roman" w:hAnsi="Times New Roman" w:cs="Times New Roman"/>
                <w:sz w:val="24"/>
                <w:szCs w:val="24"/>
              </w:rPr>
            </w:pPr>
            <w:r w:rsidRPr="0044623C">
              <w:rPr>
                <w:rFonts w:ascii="Times New Roman" w:hAnsi="Times New Roman" w:cs="Times New Roman"/>
                <w:sz w:val="24"/>
                <w:szCs w:val="24"/>
              </w:rPr>
              <w:t>Значение количественного (качественного) показателя результата</w:t>
            </w:r>
          </w:p>
        </w:tc>
        <w:tc>
          <w:tcPr>
            <w:tcW w:w="3383" w:type="pct"/>
            <w:tcBorders>
              <w:top w:val="single" w:sz="4" w:space="0" w:color="auto"/>
              <w:left w:val="single" w:sz="4" w:space="0" w:color="auto"/>
              <w:bottom w:val="single" w:sz="4" w:space="0" w:color="auto"/>
              <w:right w:val="single" w:sz="4" w:space="0" w:color="auto"/>
            </w:tcBorders>
          </w:tcPr>
          <w:p w14:paraId="13C23AFF" w14:textId="77777777" w:rsidR="003F4CFF" w:rsidRPr="0044623C" w:rsidRDefault="003F4CFF" w:rsidP="003F4CFF">
            <w:pPr>
              <w:adjustRightInd w:val="0"/>
              <w:jc w:val="both"/>
              <w:rPr>
                <w:rFonts w:ascii="Times New Roman" w:eastAsia="Times New Roman" w:hAnsi="Times New Roman" w:cs="Times New Roman"/>
                <w:sz w:val="24"/>
                <w:szCs w:val="24"/>
              </w:rPr>
            </w:pPr>
            <w:r w:rsidRPr="0044623C">
              <w:rPr>
                <w:rFonts w:ascii="Times New Roman" w:eastAsia="Times New Roman" w:hAnsi="Times New Roman" w:cs="Times New Roman"/>
                <w:sz w:val="24"/>
                <w:szCs w:val="24"/>
              </w:rPr>
              <w:t>На региональном уровне принято постановление Губернатора Новосибирской области от 20.12.2019 № 287 «Об утверждении перечня товарных рынков для содействия развитию конкуренции и плана мероприятий («дорожной карты») по содействию развитию конкуренции в Новосибирской области».</w:t>
            </w:r>
          </w:p>
          <w:p w14:paraId="1D5DFFA3" w14:textId="77777777" w:rsidR="003F4CFF" w:rsidRPr="0044623C" w:rsidRDefault="003F4CFF" w:rsidP="003F4CFF">
            <w:pPr>
              <w:adjustRightInd w:val="0"/>
              <w:jc w:val="both"/>
              <w:rPr>
                <w:rFonts w:ascii="Times New Roman" w:eastAsia="Times New Roman" w:hAnsi="Times New Roman" w:cs="Times New Roman"/>
                <w:sz w:val="24"/>
                <w:szCs w:val="24"/>
              </w:rPr>
            </w:pPr>
            <w:r w:rsidRPr="0044623C">
              <w:rPr>
                <w:rFonts w:ascii="Times New Roman" w:eastAsia="Times New Roman" w:hAnsi="Times New Roman" w:cs="Times New Roman"/>
                <w:sz w:val="24"/>
                <w:szCs w:val="24"/>
              </w:rPr>
              <w:t>Муниципальные планы мероприятий («дорожные карты») разработаны во всех муниципальных районах и городских округах Новосибирской области (35 муниципальных образований).</w:t>
            </w:r>
          </w:p>
          <w:p w14:paraId="3A24D021"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 xml:space="preserve">В 2019 году сформирован рейтинг муниципальных районов и городских округов Новосибирской области в части их деятельности по содействию развитию конкуренции и </w:t>
            </w:r>
            <w:r w:rsidRPr="0044623C">
              <w:rPr>
                <w:rFonts w:ascii="Times New Roman" w:hAnsi="Times New Roman" w:cs="Times New Roman"/>
                <w:sz w:val="24"/>
                <w:szCs w:val="24"/>
              </w:rPr>
              <w:lastRenderedPageBreak/>
              <w:t xml:space="preserve">обеспечению условий для благоприятного инвестиционного климата в Новосибирской области. По результатам рейтинга определены лучшие 5 муниципальных районов и 2 городских округа, которые награждены Почетной грамотой Губернатора Новосибирской области. </w:t>
            </w:r>
          </w:p>
        </w:tc>
      </w:tr>
      <w:tr w:rsidR="003F4CFF" w:rsidRPr="00C03A12" w14:paraId="16B87E6A" w14:textId="77777777" w:rsidTr="00E37891">
        <w:tc>
          <w:tcPr>
            <w:tcW w:w="431" w:type="pct"/>
            <w:vMerge w:val="restart"/>
            <w:tcBorders>
              <w:top w:val="single" w:sz="4" w:space="0" w:color="auto"/>
              <w:left w:val="single" w:sz="4" w:space="0" w:color="auto"/>
              <w:right w:val="single" w:sz="4" w:space="0" w:color="auto"/>
            </w:tcBorders>
          </w:tcPr>
          <w:p w14:paraId="18E389B3" w14:textId="77777777" w:rsidR="003F4CFF" w:rsidRPr="0044623C" w:rsidRDefault="003F4CFF" w:rsidP="003F4CFF">
            <w:pPr>
              <w:rPr>
                <w:rFonts w:ascii="Times New Roman" w:hAnsi="Times New Roman" w:cs="Times New Roman"/>
                <w:sz w:val="24"/>
                <w:szCs w:val="24"/>
              </w:rPr>
            </w:pPr>
            <w:r w:rsidRPr="0044623C">
              <w:rPr>
                <w:rFonts w:ascii="Times New Roman" w:hAnsi="Times New Roman" w:cs="Times New Roman"/>
                <w:sz w:val="24"/>
                <w:szCs w:val="24"/>
              </w:rPr>
              <w:lastRenderedPageBreak/>
              <w:t>2.</w:t>
            </w:r>
          </w:p>
        </w:tc>
        <w:tc>
          <w:tcPr>
            <w:tcW w:w="1186"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6C2657B7"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3383"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15FFF075"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Формирование рейтинга муниципальных образований по содействию развитию конкуренции и обеспечению условий для благоприятного инвестиционного климата (Содействие органам местного самоуправления в вопросах развития конкуренции и внедрении Стандарта, Республика Мордовия)</w:t>
            </w:r>
          </w:p>
        </w:tc>
      </w:tr>
      <w:tr w:rsidR="003F4CFF" w:rsidRPr="00C03A12" w14:paraId="344F3A39" w14:textId="77777777" w:rsidTr="00A02DE4">
        <w:tc>
          <w:tcPr>
            <w:tcW w:w="431" w:type="pct"/>
            <w:vMerge/>
            <w:tcBorders>
              <w:left w:val="single" w:sz="4" w:space="0" w:color="auto"/>
              <w:right w:val="single" w:sz="4" w:space="0" w:color="auto"/>
            </w:tcBorders>
          </w:tcPr>
          <w:p w14:paraId="3ED66E0B" w14:textId="77777777" w:rsidR="003F4CFF" w:rsidRPr="0044623C" w:rsidRDefault="003F4CFF" w:rsidP="003F4CFF">
            <w:pPr>
              <w:jc w:val="both"/>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4348650D"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Краткое описание успешной практики</w:t>
            </w:r>
          </w:p>
        </w:tc>
        <w:tc>
          <w:tcPr>
            <w:tcW w:w="3383" w:type="pct"/>
            <w:tcBorders>
              <w:top w:val="single" w:sz="4" w:space="0" w:color="auto"/>
              <w:left w:val="single" w:sz="4" w:space="0" w:color="auto"/>
              <w:bottom w:val="single" w:sz="4" w:space="0" w:color="auto"/>
              <w:right w:val="single" w:sz="4" w:space="0" w:color="auto"/>
            </w:tcBorders>
          </w:tcPr>
          <w:p w14:paraId="4B598162"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Данная практика внедрена в Новосибирской области в 2016 году.</w:t>
            </w:r>
          </w:p>
          <w:p w14:paraId="43C56864" w14:textId="77777777" w:rsidR="003F4CFF" w:rsidRPr="0044623C" w:rsidRDefault="003F4CFF" w:rsidP="003F4CFF">
            <w:pPr>
              <w:autoSpaceDE w:val="0"/>
              <w:autoSpaceDN w:val="0"/>
              <w:adjustRightInd w:val="0"/>
              <w:jc w:val="both"/>
              <w:rPr>
                <w:rFonts w:ascii="Times New Roman" w:hAnsi="Times New Roman" w:cs="Times New Roman"/>
                <w:sz w:val="24"/>
                <w:szCs w:val="24"/>
              </w:rPr>
            </w:pPr>
            <w:r w:rsidRPr="0044623C">
              <w:rPr>
                <w:rFonts w:ascii="Times New Roman" w:hAnsi="Times New Roman" w:cs="Times New Roman"/>
                <w:sz w:val="24"/>
                <w:szCs w:val="24"/>
              </w:rPr>
              <w:t>Министерством экономического развития Новосибирской области, определенным уполномоченным органом по содействию развитию конкуренции в Новосибирской области, был принят приказ Минэкономразвития Новосибирской области от 20.10.2016 № 103 «О формировании регионального рейтинга инвестиционной привлекательности муниципальных районов и городских округов Новосибирской области».</w:t>
            </w:r>
          </w:p>
          <w:p w14:paraId="07428B5D" w14:textId="77777777" w:rsidR="003F4CFF" w:rsidRPr="0044623C" w:rsidRDefault="003F4CFF" w:rsidP="003F4CFF">
            <w:pPr>
              <w:autoSpaceDE w:val="0"/>
              <w:autoSpaceDN w:val="0"/>
              <w:adjustRightInd w:val="0"/>
              <w:jc w:val="both"/>
              <w:rPr>
                <w:rFonts w:ascii="Times New Roman" w:hAnsi="Times New Roman" w:cs="Times New Roman"/>
                <w:sz w:val="24"/>
                <w:szCs w:val="24"/>
              </w:rPr>
            </w:pPr>
            <w:r w:rsidRPr="0044623C">
              <w:rPr>
                <w:rFonts w:ascii="Times New Roman" w:hAnsi="Times New Roman" w:cs="Times New Roman"/>
                <w:sz w:val="24"/>
                <w:szCs w:val="24"/>
              </w:rPr>
              <w:t>В 2019 году этот приказ признан утратившим силу в связи с принятием приказа Минэкономразвития Новосибирской области от 27.06.2019 № 69 «О формировании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 (далее – приказ № 69).</w:t>
            </w:r>
          </w:p>
          <w:p w14:paraId="1EE929C2"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Приказом № 69 утверждена новая Методика формирования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 (далее – рейтинг).</w:t>
            </w:r>
          </w:p>
          <w:p w14:paraId="71F3A914"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 xml:space="preserve">Для расчета рейтинга используются 32 индикатора, из них 17 индикаторов по содействию развитию конкуренции. </w:t>
            </w:r>
          </w:p>
          <w:p w14:paraId="2BAA478C"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Основными целями формирования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 являются:</w:t>
            </w:r>
          </w:p>
          <w:p w14:paraId="3E879343"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активизация деятельности муниципальных районов и городских округов Новосибирской области по содействию развитию конкуренции в Новосибирской области;</w:t>
            </w:r>
          </w:p>
          <w:p w14:paraId="72293D2A"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lastRenderedPageBreak/>
              <w:t>обеспечение условий для благоприятного инвестиционного климата в Новосибирской области;</w:t>
            </w:r>
          </w:p>
          <w:p w14:paraId="331C6D91"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формирование благоприятных условий для развития малого и среднего предпринимательства в муниципальных районах и городских округах Новосибирской области.</w:t>
            </w:r>
          </w:p>
          <w:p w14:paraId="64A43083"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 xml:space="preserve">Источником информации для формирования рейтинга являются данные министерства экономического развития Новосибирской области, Управления Федеральной налоговой службы по Новосибирской области, Управления Федеральной антимонопольной службы по Новосибирской области, министерства промышленности, торговли и развития предпринимательства Новосибирской области, министерства труда и социального развития Новосибирской области, контрольного управления Новосибирской области, администраций муниципальных районов и городских округов Новосибирской области. </w:t>
            </w:r>
          </w:p>
          <w:p w14:paraId="09E5ED75"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В соответствии с постановлением Губернатора Новосибирской области от 19.08.2019 № 213 «О формировании системы поощрений по результатам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 победители рейтинга – муниципальные образования, достигшие наилучших результатов, награждены Почетными грамотами Губернатора Новосибирской области: 1 место Тогучинский район (набравший наибольшее количество баллов), 2 место – Купинский район, 3 место Карасукский район, 4 место – Венгеровский район, 5 место – Мошковский район, 6 – место Маслянинский район.</w:t>
            </w:r>
          </w:p>
          <w:p w14:paraId="54D34924"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 xml:space="preserve">Награждение состоялось на заседании Совета по инвестициям Новосибирской области </w:t>
            </w:r>
            <w:hyperlink r:id="rId238" w:history="1">
              <w:r w:rsidRPr="0044623C">
                <w:rPr>
                  <w:rStyle w:val="a3"/>
                  <w:rFonts w:ascii="Times New Roman" w:hAnsi="Times New Roman" w:cs="Times New Roman"/>
                  <w:sz w:val="24"/>
                  <w:szCs w:val="24"/>
                </w:rPr>
                <w:t>http://econom.nso.ru/news/2930</w:t>
              </w:r>
            </w:hyperlink>
            <w:r w:rsidRPr="0044623C">
              <w:rPr>
                <w:rFonts w:ascii="Times New Roman" w:hAnsi="Times New Roman" w:cs="Times New Roman"/>
                <w:sz w:val="24"/>
                <w:szCs w:val="24"/>
              </w:rPr>
              <w:t>.</w:t>
            </w:r>
          </w:p>
          <w:p w14:paraId="48A9C74A"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 xml:space="preserve">Все материалы по формированию рейтинга и системе поощрения размещены на официальном сайте министерства экономического развития Новосибирской области </w:t>
            </w:r>
            <w:hyperlink r:id="rId239" w:history="1">
              <w:r w:rsidRPr="0044623C">
                <w:rPr>
                  <w:rStyle w:val="a3"/>
                  <w:rFonts w:ascii="Times New Roman" w:hAnsi="Times New Roman" w:cs="Times New Roman"/>
                  <w:sz w:val="24"/>
                  <w:szCs w:val="24"/>
                </w:rPr>
                <w:t>http://econom.nso.ru/page/1221</w:t>
              </w:r>
            </w:hyperlink>
            <w:r w:rsidRPr="0044623C">
              <w:rPr>
                <w:rFonts w:ascii="Times New Roman" w:hAnsi="Times New Roman" w:cs="Times New Roman"/>
                <w:sz w:val="24"/>
                <w:szCs w:val="24"/>
              </w:rPr>
              <w:t xml:space="preserve"> и Инвестиционном портале Новосибирской области </w:t>
            </w:r>
            <w:hyperlink r:id="rId240" w:history="1">
              <w:r w:rsidRPr="0044623C">
                <w:rPr>
                  <w:rStyle w:val="a3"/>
                  <w:rFonts w:ascii="Times New Roman" w:hAnsi="Times New Roman" w:cs="Times New Roman"/>
                  <w:sz w:val="24"/>
                  <w:szCs w:val="24"/>
                </w:rPr>
                <w:t>http://invest.nso.ru/ru/page/56</w:t>
              </w:r>
            </w:hyperlink>
          </w:p>
        </w:tc>
      </w:tr>
      <w:tr w:rsidR="003F4CFF" w:rsidRPr="00C03A12" w14:paraId="24C16FA5" w14:textId="77777777" w:rsidTr="00A02DE4">
        <w:tc>
          <w:tcPr>
            <w:tcW w:w="431" w:type="pct"/>
            <w:vMerge/>
            <w:tcBorders>
              <w:left w:val="single" w:sz="4" w:space="0" w:color="auto"/>
              <w:right w:val="single" w:sz="4" w:space="0" w:color="auto"/>
            </w:tcBorders>
          </w:tcPr>
          <w:p w14:paraId="5E797C77" w14:textId="77777777" w:rsidR="003F4CFF" w:rsidRPr="0044623C"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75A8C050" w14:textId="77777777" w:rsidR="003F4CFF" w:rsidRPr="0044623C" w:rsidRDefault="003F4CFF" w:rsidP="003F4CFF">
            <w:pPr>
              <w:rPr>
                <w:rFonts w:ascii="Times New Roman" w:hAnsi="Times New Roman" w:cs="Times New Roman"/>
                <w:sz w:val="24"/>
                <w:szCs w:val="24"/>
              </w:rPr>
            </w:pPr>
            <w:r w:rsidRPr="0044623C">
              <w:rPr>
                <w:rFonts w:ascii="Times New Roman" w:hAnsi="Times New Roman" w:cs="Times New Roman"/>
                <w:sz w:val="24"/>
                <w:szCs w:val="24"/>
              </w:rPr>
              <w:t>Ресурсы, привлеченные для ее реализации</w:t>
            </w:r>
          </w:p>
          <w:p w14:paraId="65E6AA28" w14:textId="77777777" w:rsidR="003F4CFF" w:rsidRPr="0044623C" w:rsidRDefault="003F4CFF" w:rsidP="003F4CFF">
            <w:pPr>
              <w:jc w:val="both"/>
              <w:rPr>
                <w:rFonts w:ascii="Times New Roman" w:hAnsi="Times New Roman" w:cs="Times New Roman"/>
                <w:sz w:val="24"/>
                <w:szCs w:val="24"/>
              </w:rPr>
            </w:pPr>
          </w:p>
        </w:tc>
        <w:tc>
          <w:tcPr>
            <w:tcW w:w="3383" w:type="pct"/>
            <w:tcBorders>
              <w:top w:val="single" w:sz="4" w:space="0" w:color="auto"/>
              <w:left w:val="single" w:sz="4" w:space="0" w:color="auto"/>
              <w:bottom w:val="single" w:sz="4" w:space="0" w:color="auto"/>
              <w:right w:val="single" w:sz="4" w:space="0" w:color="auto"/>
            </w:tcBorders>
          </w:tcPr>
          <w:p w14:paraId="5D1AAC5A"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 xml:space="preserve">Работа </w:t>
            </w:r>
            <w:r>
              <w:rPr>
                <w:rFonts w:ascii="Times New Roman" w:hAnsi="Times New Roman" w:cs="Times New Roman"/>
                <w:sz w:val="24"/>
                <w:szCs w:val="24"/>
              </w:rPr>
              <w:t>по данному направлению осуществлялась</w:t>
            </w:r>
            <w:r w:rsidRPr="0044623C">
              <w:rPr>
                <w:rFonts w:ascii="Times New Roman" w:hAnsi="Times New Roman" w:cs="Times New Roman"/>
                <w:sz w:val="24"/>
                <w:szCs w:val="24"/>
              </w:rPr>
              <w:t xml:space="preserve"> </w:t>
            </w:r>
            <w:r>
              <w:rPr>
                <w:rFonts w:ascii="Times New Roman" w:hAnsi="Times New Roman" w:cs="Times New Roman"/>
                <w:sz w:val="24"/>
                <w:szCs w:val="24"/>
              </w:rPr>
              <w:t>министерством</w:t>
            </w:r>
            <w:r w:rsidRPr="0044623C">
              <w:rPr>
                <w:rFonts w:ascii="Times New Roman" w:hAnsi="Times New Roman" w:cs="Times New Roman"/>
                <w:sz w:val="24"/>
                <w:szCs w:val="24"/>
              </w:rPr>
              <w:t xml:space="preserve"> экономического развития Новосибирской области во взаимодействии с другими региональными, федеральными органами власти, а также органами местного самоуправления. </w:t>
            </w:r>
          </w:p>
          <w:p w14:paraId="6352E125"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 xml:space="preserve">Для внедрения практики необходимы </w:t>
            </w:r>
          </w:p>
          <w:p w14:paraId="7D942A38"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нефинансовые и финансовые ресурсы.</w:t>
            </w:r>
          </w:p>
          <w:p w14:paraId="3824A81F"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1. Нефинансовые ресурсы:</w:t>
            </w:r>
          </w:p>
          <w:p w14:paraId="715277D0"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lastRenderedPageBreak/>
              <w:t>1) организационные (разработка и принятие правовых актов, направление запросов, обработка данных, формирование рейтинга, организация поощрения и пр.)</w:t>
            </w:r>
          </w:p>
          <w:p w14:paraId="03CB5C81"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2) информационные (извещение органов местного самоуправления о формировании рейтинга; опубликование пресс-релизов на официальном сайте министерства и Инвестиционном портале Новосибирской области, рассылка по СЭДД);</w:t>
            </w:r>
          </w:p>
          <w:p w14:paraId="2BA870BE"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 xml:space="preserve">3) кадровые (привлечение специалистов к работе по данному направлению (3 чел.). </w:t>
            </w:r>
          </w:p>
          <w:p w14:paraId="77FA057B"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2. Финансовые ресурсы необходимы в части приобретения почетных грамот и рамок для них.</w:t>
            </w:r>
          </w:p>
          <w:p w14:paraId="4DB1456E"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 xml:space="preserve">Организацией данного вопроса занимается </w:t>
            </w:r>
            <w:hyperlink r:id="rId241" w:history="1">
              <w:r w:rsidRPr="0044623C">
                <w:rPr>
                  <w:rFonts w:ascii="Times New Roman" w:hAnsi="Times New Roman" w:cs="Times New Roman"/>
                  <w:sz w:val="24"/>
                  <w:szCs w:val="24"/>
                </w:rPr>
                <w:t>Департамент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hyperlink>
            <w:r w:rsidRPr="0044623C">
              <w:rPr>
                <w:rFonts w:ascii="Times New Roman" w:hAnsi="Times New Roman" w:cs="Times New Roman"/>
                <w:sz w:val="24"/>
                <w:szCs w:val="24"/>
              </w:rPr>
              <w:t>.</w:t>
            </w:r>
          </w:p>
        </w:tc>
      </w:tr>
      <w:tr w:rsidR="003F4CFF" w:rsidRPr="00C03A12" w14:paraId="375F9AC0" w14:textId="77777777" w:rsidTr="00A02DE4">
        <w:tc>
          <w:tcPr>
            <w:tcW w:w="431" w:type="pct"/>
            <w:vMerge/>
            <w:tcBorders>
              <w:left w:val="single" w:sz="4" w:space="0" w:color="auto"/>
              <w:right w:val="single" w:sz="4" w:space="0" w:color="auto"/>
            </w:tcBorders>
          </w:tcPr>
          <w:p w14:paraId="2BE4C8E3" w14:textId="77777777" w:rsidR="003F4CFF" w:rsidRPr="0044623C"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02FB6BEF" w14:textId="77777777" w:rsidR="003F4CFF" w:rsidRPr="0044623C" w:rsidRDefault="003F4CFF" w:rsidP="003F4CFF">
            <w:pPr>
              <w:rPr>
                <w:rFonts w:ascii="Times New Roman" w:hAnsi="Times New Roman" w:cs="Times New Roman"/>
                <w:sz w:val="24"/>
                <w:szCs w:val="24"/>
              </w:rPr>
            </w:pPr>
            <w:r w:rsidRPr="0044623C">
              <w:rPr>
                <w:rFonts w:ascii="Times New Roman" w:hAnsi="Times New Roman" w:cs="Times New Roman"/>
                <w:sz w:val="24"/>
                <w:szCs w:val="24"/>
              </w:rPr>
              <w:t>Описание результата</w:t>
            </w:r>
          </w:p>
        </w:tc>
        <w:tc>
          <w:tcPr>
            <w:tcW w:w="3383" w:type="pct"/>
            <w:tcBorders>
              <w:top w:val="single" w:sz="4" w:space="0" w:color="auto"/>
              <w:left w:val="single" w:sz="4" w:space="0" w:color="auto"/>
              <w:bottom w:val="single" w:sz="4" w:space="0" w:color="auto"/>
              <w:right w:val="single" w:sz="4" w:space="0" w:color="auto"/>
            </w:tcBorders>
          </w:tcPr>
          <w:p w14:paraId="02685D89"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Внедрение системы рейтингования позволило максимально реализовать на муниципальном уровне многие составляющие Стандарта развития конкуренции в субъектах Российской Федерации.</w:t>
            </w:r>
          </w:p>
          <w:p w14:paraId="78D8FC9A"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Моральное поощрение (стимулирование) способствовало активизации деятельности органов местного самоуправления по содействию развитию конкуренции, а также повышению заинтересованности руководителей и специалистов муниципальных образований в результатах работы.</w:t>
            </w:r>
          </w:p>
        </w:tc>
      </w:tr>
      <w:tr w:rsidR="003F4CFF" w:rsidRPr="00C03A12" w14:paraId="1E6C99E1" w14:textId="77777777" w:rsidTr="00A02DE4">
        <w:tc>
          <w:tcPr>
            <w:tcW w:w="431" w:type="pct"/>
            <w:vMerge/>
            <w:tcBorders>
              <w:left w:val="single" w:sz="4" w:space="0" w:color="auto"/>
              <w:bottom w:val="single" w:sz="4" w:space="0" w:color="auto"/>
              <w:right w:val="single" w:sz="4" w:space="0" w:color="auto"/>
            </w:tcBorders>
          </w:tcPr>
          <w:p w14:paraId="69C07EDB" w14:textId="77777777" w:rsidR="003F4CFF" w:rsidRPr="0044623C"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18CF7FDD" w14:textId="77777777" w:rsidR="003F4CFF" w:rsidRPr="0044623C" w:rsidRDefault="003F4CFF" w:rsidP="003F4CFF">
            <w:pPr>
              <w:rPr>
                <w:rFonts w:ascii="Times New Roman" w:hAnsi="Times New Roman" w:cs="Times New Roman"/>
                <w:sz w:val="24"/>
                <w:szCs w:val="24"/>
              </w:rPr>
            </w:pPr>
            <w:r w:rsidRPr="0044623C">
              <w:rPr>
                <w:rFonts w:ascii="Times New Roman" w:hAnsi="Times New Roman" w:cs="Times New Roman"/>
                <w:sz w:val="24"/>
                <w:szCs w:val="24"/>
              </w:rPr>
              <w:t>Значение количественного (качественного) показателя результата</w:t>
            </w:r>
          </w:p>
        </w:tc>
        <w:tc>
          <w:tcPr>
            <w:tcW w:w="3383" w:type="pct"/>
            <w:tcBorders>
              <w:top w:val="single" w:sz="4" w:space="0" w:color="auto"/>
              <w:left w:val="single" w:sz="4" w:space="0" w:color="auto"/>
              <w:bottom w:val="single" w:sz="4" w:space="0" w:color="auto"/>
              <w:right w:val="single" w:sz="4" w:space="0" w:color="auto"/>
            </w:tcBorders>
          </w:tcPr>
          <w:p w14:paraId="6B68EEC4"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Заключено 35 соглашений о внедрении в Новосибирской области стандарта развития конкуренции в субъектах Российской Федерации.</w:t>
            </w:r>
          </w:p>
          <w:p w14:paraId="339CB8DC"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 xml:space="preserve">Во всех муниципальных районах и городских округах Новосибирской области разработаны </w:t>
            </w:r>
            <w:r w:rsidRPr="0044623C">
              <w:rPr>
                <w:rFonts w:ascii="Times New Roman" w:hAnsi="Times New Roman"/>
                <w:bCs/>
                <w:color w:val="000000"/>
                <w:sz w:val="24"/>
                <w:szCs w:val="24"/>
              </w:rPr>
              <w:t xml:space="preserve">планы мероприятий («дорожные карты») по содействию развитию конкуренции в </w:t>
            </w:r>
            <w:r w:rsidRPr="0044623C">
              <w:rPr>
                <w:rFonts w:ascii="Times New Roman" w:hAnsi="Times New Roman" w:cs="Times New Roman"/>
                <w:sz w:val="24"/>
                <w:szCs w:val="24"/>
              </w:rPr>
              <w:t>муниципальном образовании. Муниципалитетами также реализованы следующие мероприятия: созданы на официальных сайтах разделы, посвященные содействию развитию конкуренции; сформированы реестры хозяйствующих субъектов, доля участия муниципального образования в которых составляет 50 и более; приняты правовые акты, направленные на создание и организацию системы внутреннего обеспечения соответствия требованиям антимонопольного законодательства деятельности органов местного самоуправления; опубликована информация об объектах, находящихся в муниципальной собственности; организована работа в сфере закупочной деятельности и др.</w:t>
            </w:r>
          </w:p>
        </w:tc>
      </w:tr>
      <w:tr w:rsidR="003F4CFF" w:rsidRPr="00C03A12" w14:paraId="17A81D29" w14:textId="77777777" w:rsidTr="00A02DE4">
        <w:tc>
          <w:tcPr>
            <w:tcW w:w="5000" w:type="pct"/>
            <w:gridSpan w:val="3"/>
            <w:tcBorders>
              <w:left w:val="single" w:sz="4" w:space="0" w:color="auto"/>
              <w:bottom w:val="single" w:sz="4" w:space="0" w:color="auto"/>
              <w:right w:val="single" w:sz="4" w:space="0" w:color="auto"/>
            </w:tcBorders>
          </w:tcPr>
          <w:p w14:paraId="47580AEE" w14:textId="77777777" w:rsidR="003F4CFF" w:rsidRPr="0044623C" w:rsidRDefault="003F4CFF" w:rsidP="003F4CFF">
            <w:pPr>
              <w:rPr>
                <w:rFonts w:ascii="Times New Roman" w:hAnsi="Times New Roman" w:cs="Times New Roman"/>
                <w:sz w:val="24"/>
                <w:szCs w:val="24"/>
              </w:rPr>
            </w:pPr>
            <w:r w:rsidRPr="0044623C">
              <w:rPr>
                <w:rFonts w:ascii="Times New Roman" w:hAnsi="Times New Roman" w:cs="Times New Roman"/>
                <w:b/>
                <w:sz w:val="24"/>
                <w:szCs w:val="24"/>
              </w:rPr>
              <w:t>Государственно-частное партнерство</w:t>
            </w:r>
          </w:p>
        </w:tc>
      </w:tr>
      <w:tr w:rsidR="003F4CFF" w:rsidRPr="00C03A12" w14:paraId="54C213B4" w14:textId="77777777" w:rsidTr="00E37891">
        <w:tc>
          <w:tcPr>
            <w:tcW w:w="431" w:type="pct"/>
            <w:vMerge w:val="restart"/>
            <w:tcBorders>
              <w:top w:val="single" w:sz="4" w:space="0" w:color="auto"/>
              <w:left w:val="single" w:sz="4" w:space="0" w:color="auto"/>
              <w:right w:val="single" w:sz="4" w:space="0" w:color="auto"/>
            </w:tcBorders>
          </w:tcPr>
          <w:p w14:paraId="2773796D" w14:textId="77777777" w:rsidR="003F4CFF" w:rsidRPr="0044623C" w:rsidRDefault="003F4CFF" w:rsidP="003F4CFF">
            <w:pPr>
              <w:rPr>
                <w:rFonts w:ascii="Times New Roman" w:hAnsi="Times New Roman" w:cs="Times New Roman"/>
                <w:sz w:val="24"/>
                <w:szCs w:val="24"/>
              </w:rPr>
            </w:pPr>
            <w:r w:rsidRPr="0044623C">
              <w:rPr>
                <w:rFonts w:ascii="Times New Roman" w:hAnsi="Times New Roman" w:cs="Times New Roman"/>
                <w:sz w:val="24"/>
                <w:szCs w:val="24"/>
              </w:rPr>
              <w:t>3.</w:t>
            </w:r>
          </w:p>
        </w:tc>
        <w:tc>
          <w:tcPr>
            <w:tcW w:w="1186"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140601AC" w14:textId="77777777" w:rsidR="003F4CFF" w:rsidRPr="0044623C" w:rsidRDefault="003F4CFF" w:rsidP="003F4CFF">
            <w:pPr>
              <w:jc w:val="both"/>
              <w:rPr>
                <w:rFonts w:ascii="Times New Roman" w:hAnsi="Times New Roman" w:cs="Times New Roman"/>
                <w:sz w:val="24"/>
                <w:szCs w:val="24"/>
              </w:rPr>
            </w:pPr>
            <w:r w:rsidRPr="0044623C">
              <w:rPr>
                <w:rFonts w:ascii="Times New Roman" w:hAnsi="Times New Roman" w:cs="Times New Roman"/>
                <w:sz w:val="24"/>
                <w:szCs w:val="24"/>
              </w:rPr>
              <w:t xml:space="preserve">Наименование лучшей практики по содействию развитию конкуренции в </w:t>
            </w:r>
            <w:r w:rsidRPr="0044623C">
              <w:rPr>
                <w:rFonts w:ascii="Times New Roman" w:hAnsi="Times New Roman" w:cs="Times New Roman"/>
                <w:sz w:val="24"/>
                <w:szCs w:val="24"/>
              </w:rPr>
              <w:lastRenderedPageBreak/>
              <w:t>субъектах Российской Федерации</w:t>
            </w:r>
          </w:p>
        </w:tc>
        <w:tc>
          <w:tcPr>
            <w:tcW w:w="3383"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457AEA5E" w14:textId="77777777" w:rsidR="003F4CFF" w:rsidRDefault="003F4CFF" w:rsidP="003F4CF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Реализация объектов образования осуществляется на основании постановления Правительства Москвы от 11.03.2013 №145-ПП «Об особенностях передачи в аренду частным </w:t>
            </w:r>
            <w:r>
              <w:rPr>
                <w:rFonts w:ascii="Times New Roman" w:hAnsi="Times New Roman" w:cs="Times New Roman"/>
                <w:sz w:val="24"/>
                <w:szCs w:val="24"/>
              </w:rPr>
              <w:lastRenderedPageBreak/>
              <w:t>образовательным организациям, реализующим основные общеобразовательные программы, объектов нежилого фонда, находящихся в имущественной казне города Москвы». (г. Москва)</w:t>
            </w:r>
          </w:p>
          <w:p w14:paraId="177DEB8C" w14:textId="77777777" w:rsidR="00816724" w:rsidRPr="0044623C" w:rsidRDefault="00BD7603" w:rsidP="003F4CFF">
            <w:pPr>
              <w:jc w:val="both"/>
              <w:rPr>
                <w:rFonts w:ascii="Times New Roman" w:hAnsi="Times New Roman" w:cs="Times New Roman"/>
                <w:sz w:val="24"/>
                <w:szCs w:val="24"/>
              </w:rPr>
            </w:pPr>
            <w:r>
              <w:rPr>
                <w:rFonts w:ascii="Times New Roman" w:hAnsi="Times New Roman" w:cs="Times New Roman"/>
                <w:sz w:val="24"/>
                <w:szCs w:val="24"/>
              </w:rPr>
              <w:t>В Новосибирской области – з</w:t>
            </w:r>
            <w:r w:rsidR="00816724" w:rsidRPr="00816724">
              <w:rPr>
                <w:rFonts w:ascii="Times New Roman" w:hAnsi="Times New Roman" w:cs="Times New Roman"/>
                <w:sz w:val="24"/>
                <w:szCs w:val="24"/>
              </w:rPr>
              <w:t>аключение ко</w:t>
            </w:r>
            <w:r w:rsidR="0055064A">
              <w:rPr>
                <w:rFonts w:ascii="Times New Roman" w:hAnsi="Times New Roman" w:cs="Times New Roman"/>
                <w:sz w:val="24"/>
                <w:szCs w:val="24"/>
              </w:rPr>
              <w:t>нцессион</w:t>
            </w:r>
            <w:r w:rsidR="00816724" w:rsidRPr="00816724">
              <w:rPr>
                <w:rFonts w:ascii="Times New Roman" w:hAnsi="Times New Roman" w:cs="Times New Roman"/>
                <w:sz w:val="24"/>
                <w:szCs w:val="24"/>
              </w:rPr>
              <w:t>ного соглашения в сфере образования</w:t>
            </w:r>
            <w:r w:rsidRPr="00B02295">
              <w:rPr>
                <w:rFonts w:ascii="Times New Roman" w:hAnsi="Times New Roman" w:cs="Times New Roman"/>
                <w:sz w:val="24"/>
                <w:szCs w:val="24"/>
              </w:rPr>
              <w:t xml:space="preserve"> </w:t>
            </w:r>
            <w:r>
              <w:rPr>
                <w:rFonts w:ascii="Times New Roman" w:hAnsi="Times New Roman" w:cs="Times New Roman"/>
                <w:sz w:val="24"/>
                <w:szCs w:val="24"/>
              </w:rPr>
              <w:t>с ЧДОУ «Детский сад «ЖАРКИ».</w:t>
            </w:r>
          </w:p>
        </w:tc>
      </w:tr>
      <w:tr w:rsidR="003F4CFF" w:rsidRPr="00C03A12" w14:paraId="60D3A4C2" w14:textId="77777777" w:rsidTr="00A02DE4">
        <w:tc>
          <w:tcPr>
            <w:tcW w:w="431" w:type="pct"/>
            <w:vMerge/>
            <w:tcBorders>
              <w:left w:val="single" w:sz="4" w:space="0" w:color="auto"/>
              <w:right w:val="single" w:sz="4" w:space="0" w:color="auto"/>
            </w:tcBorders>
          </w:tcPr>
          <w:p w14:paraId="347AC2EC" w14:textId="77777777" w:rsidR="003F4CFF" w:rsidRPr="0044623C" w:rsidRDefault="003F4CFF" w:rsidP="003F4CFF">
            <w:pPr>
              <w:jc w:val="both"/>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6494AC1A" w14:textId="77777777" w:rsidR="003F4CFF" w:rsidRPr="007C5A8F" w:rsidRDefault="003F4CFF" w:rsidP="003F4CFF">
            <w:pPr>
              <w:jc w:val="both"/>
              <w:rPr>
                <w:rFonts w:ascii="Times New Roman" w:hAnsi="Times New Roman" w:cs="Times New Roman"/>
                <w:sz w:val="24"/>
                <w:szCs w:val="24"/>
              </w:rPr>
            </w:pPr>
            <w:r w:rsidRPr="007C5A8F">
              <w:rPr>
                <w:rFonts w:ascii="Times New Roman" w:hAnsi="Times New Roman" w:cs="Times New Roman"/>
                <w:sz w:val="24"/>
                <w:szCs w:val="24"/>
              </w:rPr>
              <w:t>Краткое описание успешной практики</w:t>
            </w:r>
          </w:p>
        </w:tc>
        <w:tc>
          <w:tcPr>
            <w:tcW w:w="3383" w:type="pct"/>
            <w:tcBorders>
              <w:top w:val="single" w:sz="4" w:space="0" w:color="auto"/>
              <w:left w:val="single" w:sz="4" w:space="0" w:color="auto"/>
              <w:bottom w:val="single" w:sz="4" w:space="0" w:color="auto"/>
              <w:right w:val="single" w:sz="4" w:space="0" w:color="auto"/>
            </w:tcBorders>
          </w:tcPr>
          <w:p w14:paraId="369B4F84" w14:textId="77777777" w:rsidR="003F4CFF" w:rsidRPr="002C5B95" w:rsidRDefault="003F4CFF" w:rsidP="009657E2">
            <w:pPr>
              <w:numPr>
                <w:ilvl w:val="0"/>
                <w:numId w:val="2"/>
              </w:numPr>
              <w:spacing w:line="0" w:lineRule="auto"/>
              <w:ind w:left="0"/>
              <w:jc w:val="left"/>
              <w:textAlignment w:val="center"/>
              <w:rPr>
                <w:rFonts w:ascii="Times New Roman" w:hAnsi="Times New Roman" w:cs="Times New Roman"/>
                <w:sz w:val="24"/>
                <w:szCs w:val="24"/>
              </w:rPr>
            </w:pPr>
          </w:p>
          <w:p w14:paraId="7F464E45" w14:textId="77777777" w:rsidR="003F4CFF" w:rsidRPr="002C5B95" w:rsidRDefault="003F4CFF" w:rsidP="003F4CFF">
            <w:pPr>
              <w:spacing w:line="0" w:lineRule="auto"/>
              <w:textAlignment w:val="baseline"/>
              <w:rPr>
                <w:rFonts w:ascii="Times New Roman" w:hAnsi="Times New Roman" w:cs="Times New Roman"/>
                <w:sz w:val="24"/>
                <w:szCs w:val="24"/>
              </w:rPr>
            </w:pPr>
            <w:r w:rsidRPr="002C5B95">
              <w:rPr>
                <w:rFonts w:ascii="Times New Roman" w:hAnsi="Times New Roman" w:cs="Times New Roman"/>
                <w:sz w:val="24"/>
                <w:szCs w:val="24"/>
              </w:rPr>
              <w:t> </w:t>
            </w:r>
          </w:p>
          <w:p w14:paraId="4735ACAB" w14:textId="77777777" w:rsidR="003F4CFF" w:rsidRPr="002C5B95" w:rsidRDefault="003F4CFF" w:rsidP="009657E2">
            <w:pPr>
              <w:numPr>
                <w:ilvl w:val="0"/>
                <w:numId w:val="2"/>
              </w:numPr>
              <w:spacing w:line="0" w:lineRule="auto"/>
              <w:ind w:left="225"/>
              <w:jc w:val="left"/>
              <w:textAlignment w:val="center"/>
              <w:rPr>
                <w:rFonts w:ascii="Times New Roman" w:hAnsi="Times New Roman" w:cs="Times New Roman"/>
                <w:sz w:val="24"/>
                <w:szCs w:val="24"/>
              </w:rPr>
            </w:pPr>
          </w:p>
          <w:p w14:paraId="712E02D8" w14:textId="77777777" w:rsidR="003F4CFF" w:rsidRPr="002C5B95" w:rsidRDefault="003F4CFF" w:rsidP="003F4CFF">
            <w:pPr>
              <w:spacing w:line="0" w:lineRule="auto"/>
              <w:textAlignment w:val="baseline"/>
              <w:rPr>
                <w:rFonts w:ascii="Times New Roman" w:hAnsi="Times New Roman" w:cs="Times New Roman"/>
                <w:sz w:val="24"/>
                <w:szCs w:val="24"/>
              </w:rPr>
            </w:pPr>
            <w:r w:rsidRPr="002C5B95">
              <w:rPr>
                <w:rFonts w:ascii="Times New Roman" w:hAnsi="Times New Roman" w:cs="Times New Roman"/>
                <w:sz w:val="24"/>
                <w:szCs w:val="24"/>
              </w:rPr>
              <w:t> </w:t>
            </w:r>
          </w:p>
          <w:p w14:paraId="0D3019CC" w14:textId="77777777" w:rsidR="003F4CFF" w:rsidRPr="002C5B95" w:rsidRDefault="003F4CFF" w:rsidP="009657E2">
            <w:pPr>
              <w:numPr>
                <w:ilvl w:val="0"/>
                <w:numId w:val="2"/>
              </w:numPr>
              <w:spacing w:line="0" w:lineRule="auto"/>
              <w:ind w:left="0"/>
              <w:jc w:val="left"/>
              <w:textAlignment w:val="center"/>
              <w:rPr>
                <w:rFonts w:ascii="Times New Roman" w:hAnsi="Times New Roman" w:cs="Times New Roman"/>
                <w:sz w:val="24"/>
                <w:szCs w:val="24"/>
              </w:rPr>
            </w:pPr>
          </w:p>
          <w:p w14:paraId="095A6E5F" w14:textId="77777777" w:rsidR="003F4CFF" w:rsidRPr="002C5B95" w:rsidRDefault="003F4CFF" w:rsidP="003F4CFF">
            <w:pPr>
              <w:spacing w:line="0" w:lineRule="auto"/>
              <w:textAlignment w:val="baseline"/>
              <w:rPr>
                <w:rFonts w:ascii="Times New Roman" w:hAnsi="Times New Roman" w:cs="Times New Roman"/>
                <w:sz w:val="24"/>
                <w:szCs w:val="24"/>
              </w:rPr>
            </w:pPr>
            <w:r w:rsidRPr="002C5B95">
              <w:rPr>
                <w:rFonts w:ascii="Times New Roman" w:hAnsi="Times New Roman" w:cs="Times New Roman"/>
                <w:sz w:val="24"/>
                <w:szCs w:val="24"/>
              </w:rPr>
              <w:t> </w:t>
            </w:r>
          </w:p>
          <w:p w14:paraId="6D48DC05" w14:textId="77777777" w:rsidR="003F4CFF" w:rsidRPr="002C5B95" w:rsidRDefault="003F4CFF" w:rsidP="009657E2">
            <w:pPr>
              <w:numPr>
                <w:ilvl w:val="0"/>
                <w:numId w:val="2"/>
              </w:numPr>
              <w:spacing w:line="0" w:lineRule="auto"/>
              <w:ind w:left="0"/>
              <w:jc w:val="left"/>
              <w:textAlignment w:val="center"/>
              <w:rPr>
                <w:rFonts w:ascii="Times New Roman" w:hAnsi="Times New Roman" w:cs="Times New Roman"/>
                <w:sz w:val="24"/>
                <w:szCs w:val="24"/>
              </w:rPr>
            </w:pPr>
          </w:p>
          <w:p w14:paraId="1F2D9DC9" w14:textId="77777777" w:rsidR="003F4CFF" w:rsidRPr="002C5B95" w:rsidRDefault="003F4CFF" w:rsidP="003F4CFF">
            <w:pPr>
              <w:spacing w:line="0" w:lineRule="auto"/>
              <w:textAlignment w:val="baseline"/>
              <w:rPr>
                <w:rFonts w:ascii="Times New Roman" w:hAnsi="Times New Roman" w:cs="Times New Roman"/>
                <w:sz w:val="24"/>
                <w:szCs w:val="24"/>
              </w:rPr>
            </w:pPr>
            <w:r w:rsidRPr="002C5B95">
              <w:rPr>
                <w:rFonts w:ascii="Times New Roman" w:hAnsi="Times New Roman" w:cs="Times New Roman"/>
                <w:sz w:val="24"/>
                <w:szCs w:val="24"/>
              </w:rPr>
              <w:t> </w:t>
            </w:r>
          </w:p>
          <w:p w14:paraId="340AE623" w14:textId="77777777" w:rsidR="003F4CFF" w:rsidRPr="002C5B95" w:rsidRDefault="003F4CFF" w:rsidP="009657E2">
            <w:pPr>
              <w:numPr>
                <w:ilvl w:val="0"/>
                <w:numId w:val="2"/>
              </w:numPr>
              <w:spacing w:line="0" w:lineRule="auto"/>
              <w:ind w:left="0"/>
              <w:jc w:val="left"/>
              <w:textAlignment w:val="center"/>
              <w:rPr>
                <w:rFonts w:ascii="Times New Roman" w:hAnsi="Times New Roman" w:cs="Times New Roman"/>
                <w:sz w:val="24"/>
                <w:szCs w:val="24"/>
              </w:rPr>
            </w:pPr>
          </w:p>
          <w:p w14:paraId="212B9672" w14:textId="77777777" w:rsidR="003F4CFF" w:rsidRPr="002C5B95" w:rsidRDefault="003F4CFF" w:rsidP="003F4CFF">
            <w:pPr>
              <w:spacing w:line="0" w:lineRule="auto"/>
              <w:textAlignment w:val="baseline"/>
              <w:rPr>
                <w:rFonts w:ascii="Times New Roman" w:hAnsi="Times New Roman" w:cs="Times New Roman"/>
                <w:sz w:val="24"/>
                <w:szCs w:val="24"/>
              </w:rPr>
            </w:pPr>
            <w:r w:rsidRPr="002C5B95">
              <w:rPr>
                <w:rFonts w:ascii="Times New Roman" w:hAnsi="Times New Roman" w:cs="Times New Roman"/>
                <w:sz w:val="24"/>
                <w:szCs w:val="24"/>
              </w:rPr>
              <w:t> </w:t>
            </w:r>
          </w:p>
          <w:p w14:paraId="20376311" w14:textId="77777777" w:rsidR="003F4CFF" w:rsidRPr="002C5B95" w:rsidRDefault="003F4CFF" w:rsidP="009657E2">
            <w:pPr>
              <w:numPr>
                <w:ilvl w:val="0"/>
                <w:numId w:val="2"/>
              </w:numPr>
              <w:spacing w:line="0" w:lineRule="auto"/>
              <w:ind w:left="0"/>
              <w:jc w:val="left"/>
              <w:textAlignment w:val="center"/>
              <w:rPr>
                <w:rFonts w:ascii="Times New Roman" w:hAnsi="Times New Roman" w:cs="Times New Roman"/>
                <w:sz w:val="24"/>
                <w:szCs w:val="24"/>
              </w:rPr>
            </w:pPr>
          </w:p>
          <w:p w14:paraId="07E039E1" w14:textId="77777777" w:rsidR="003F4CFF" w:rsidRPr="002C5B95" w:rsidRDefault="003F4CFF" w:rsidP="003F4CFF">
            <w:pPr>
              <w:spacing w:line="0" w:lineRule="auto"/>
              <w:textAlignment w:val="baseline"/>
              <w:rPr>
                <w:rFonts w:ascii="Times New Roman" w:hAnsi="Times New Roman" w:cs="Times New Roman"/>
                <w:sz w:val="24"/>
                <w:szCs w:val="24"/>
              </w:rPr>
            </w:pPr>
            <w:r w:rsidRPr="002C5B95">
              <w:rPr>
                <w:rFonts w:ascii="Times New Roman" w:hAnsi="Times New Roman" w:cs="Times New Roman"/>
                <w:sz w:val="24"/>
                <w:szCs w:val="24"/>
              </w:rPr>
              <w:t> </w:t>
            </w:r>
          </w:p>
          <w:p w14:paraId="401910C7" w14:textId="77777777" w:rsidR="003F4CFF" w:rsidRPr="00410509" w:rsidRDefault="003F4CFF" w:rsidP="003F4CFF">
            <w:pPr>
              <w:jc w:val="both"/>
              <w:rPr>
                <w:rFonts w:ascii="Times New Roman" w:hAnsi="Times New Roman" w:cs="Times New Roman"/>
                <w:sz w:val="24"/>
                <w:szCs w:val="24"/>
              </w:rPr>
            </w:pPr>
            <w:r w:rsidRPr="00CA7A7C">
              <w:rPr>
                <w:rFonts w:ascii="Times New Roman" w:hAnsi="Times New Roman" w:cs="Times New Roman"/>
                <w:sz w:val="24"/>
                <w:szCs w:val="24"/>
              </w:rPr>
              <w:t xml:space="preserve">В рейтинге </w:t>
            </w:r>
            <w:r>
              <w:rPr>
                <w:rFonts w:ascii="Times New Roman" w:hAnsi="Times New Roman" w:cs="Times New Roman"/>
                <w:sz w:val="24"/>
                <w:szCs w:val="24"/>
              </w:rPr>
              <w:t>российских регионов по</w:t>
            </w:r>
            <w:r w:rsidRPr="00CA7A7C">
              <w:rPr>
                <w:rFonts w:ascii="Times New Roman" w:hAnsi="Times New Roman" w:cs="Times New Roman"/>
                <w:sz w:val="24"/>
                <w:szCs w:val="24"/>
              </w:rPr>
              <w:t xml:space="preserve"> уровню развития государственно-частного партнерства</w:t>
            </w:r>
            <w:r>
              <w:rPr>
                <w:rFonts w:ascii="Times New Roman" w:hAnsi="Times New Roman" w:cs="Times New Roman"/>
                <w:sz w:val="24"/>
                <w:szCs w:val="24"/>
              </w:rPr>
              <w:t xml:space="preserve">, сформированным </w:t>
            </w:r>
            <w:r w:rsidRPr="00CA7A7C">
              <w:rPr>
                <w:rFonts w:ascii="Times New Roman" w:hAnsi="Times New Roman" w:cs="Times New Roman"/>
                <w:sz w:val="24"/>
                <w:szCs w:val="24"/>
              </w:rPr>
              <w:t>АНО «Национальный Центр ГЧП»</w:t>
            </w:r>
            <w:r>
              <w:rPr>
                <w:rFonts w:ascii="Times New Roman" w:hAnsi="Times New Roman" w:cs="Times New Roman"/>
                <w:sz w:val="24"/>
                <w:szCs w:val="24"/>
              </w:rPr>
              <w:t>,</w:t>
            </w:r>
            <w:r w:rsidRPr="00CA7A7C">
              <w:rPr>
                <w:rFonts w:ascii="Times New Roman" w:hAnsi="Times New Roman" w:cs="Times New Roman"/>
                <w:sz w:val="24"/>
                <w:szCs w:val="24"/>
              </w:rPr>
              <w:t xml:space="preserve"> на начало 2019 года</w:t>
            </w:r>
            <w:r>
              <w:t xml:space="preserve"> </w:t>
            </w:r>
            <w:r w:rsidRPr="00410509">
              <w:rPr>
                <w:rFonts w:ascii="Times New Roman" w:hAnsi="Times New Roman" w:cs="Times New Roman"/>
                <w:sz w:val="24"/>
                <w:szCs w:val="24"/>
              </w:rPr>
              <w:t>Новосибирская область по уровню развития государственно-частного партнерства (ГЧП) заняла седьмое место среди 85 регионов России и первое место среди регионов Сибирского федерального округа.</w:t>
            </w:r>
          </w:p>
          <w:p w14:paraId="1CA58A4C" w14:textId="77777777" w:rsidR="003F4CFF" w:rsidRPr="00410509" w:rsidRDefault="003F4CFF" w:rsidP="003F4CFF">
            <w:pPr>
              <w:jc w:val="both"/>
              <w:rPr>
                <w:rFonts w:ascii="Times New Roman" w:hAnsi="Times New Roman" w:cs="Times New Roman"/>
                <w:sz w:val="24"/>
                <w:szCs w:val="24"/>
              </w:rPr>
            </w:pPr>
            <w:r w:rsidRPr="00410509">
              <w:rPr>
                <w:rFonts w:ascii="Times New Roman" w:hAnsi="Times New Roman" w:cs="Times New Roman"/>
                <w:sz w:val="24"/>
                <w:szCs w:val="24"/>
              </w:rPr>
              <w:t>Итоги ежегодного рейтинга были представлены Национальным Центром развития государственно-частного партнерства и Фондом Росконгресс при поддержке Аналитического центра при Правительстве Российской Федерации в рамках VI Инфраструктурного конгресса «Российская неделя государственно-частного партнерства – 2019». </w:t>
            </w:r>
          </w:p>
          <w:p w14:paraId="15B73D95" w14:textId="77777777" w:rsidR="00816724" w:rsidRPr="00B02295" w:rsidRDefault="00816724" w:rsidP="0081672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В </w:t>
            </w:r>
            <w:r w:rsidRPr="00B02295">
              <w:rPr>
                <w:rFonts w:ascii="Times New Roman" w:hAnsi="Times New Roman" w:cs="Times New Roman"/>
                <w:sz w:val="24"/>
                <w:szCs w:val="24"/>
              </w:rPr>
              <w:t>настоящее время в г. Новосибирске реализуется ряд концессионных соглашений. Они заключены в отношении объектов здравоохранения, образования, спорта, энергетики, дорожного хозяйства, сферы услуг. В условиях непростой бюджетной ситуации привлечение частных инвестиций для строительства и реконструкции детских садов, школ, объектов культуры и спорта, здравоохранения, энергетики, дорожного хозяйства, сферы услуг - один из эффективных инструментов обновления городской инфраструктуры.</w:t>
            </w:r>
          </w:p>
          <w:p w14:paraId="31C24AE8" w14:textId="77777777" w:rsidR="00816724" w:rsidRPr="00B02295" w:rsidRDefault="00816724" w:rsidP="00816724">
            <w:pPr>
              <w:jc w:val="both"/>
              <w:rPr>
                <w:rFonts w:ascii="Times New Roman" w:hAnsi="Times New Roman" w:cs="Times New Roman"/>
                <w:sz w:val="24"/>
                <w:szCs w:val="24"/>
              </w:rPr>
            </w:pPr>
            <w:r w:rsidRPr="00B02295">
              <w:rPr>
                <w:rFonts w:ascii="Times New Roman" w:hAnsi="Times New Roman" w:cs="Times New Roman"/>
                <w:sz w:val="24"/>
                <w:szCs w:val="24"/>
              </w:rPr>
              <w:t>16.08.2010 мэрией города Новосибирска заключено концесс</w:t>
            </w:r>
            <w:r w:rsidR="00BD7603">
              <w:rPr>
                <w:rFonts w:ascii="Times New Roman" w:hAnsi="Times New Roman" w:cs="Times New Roman"/>
                <w:sz w:val="24"/>
                <w:szCs w:val="24"/>
              </w:rPr>
              <w:t>ионное соглашение с ЧДОУ «Детский сад «ЖАРКИ»</w:t>
            </w:r>
            <w:r w:rsidRPr="00B02295">
              <w:rPr>
                <w:rFonts w:ascii="Times New Roman" w:hAnsi="Times New Roman" w:cs="Times New Roman"/>
                <w:sz w:val="24"/>
                <w:szCs w:val="24"/>
              </w:rPr>
              <w:t xml:space="preserve"> путем проведения открытого конкурса на право заключения концессионного соглашения в отношении здания детского комбината  площадью 899,8 кв. м, расположенного по адресу: город Новосибирск, Калининский район, ул. Танковая, 29 и здания детского комбината площадью 898,2 кв. м, расположенного по адресу: город Новосибирск, Калининский район, ул. Танковая, 29/1. Объектом концессионного соглашения является недвижимое имущество муниципальной казны города Новосибирска:</w:t>
            </w:r>
          </w:p>
          <w:p w14:paraId="05C06E97" w14:textId="77777777" w:rsidR="00816724" w:rsidRPr="00B02295" w:rsidRDefault="00816724" w:rsidP="00816724">
            <w:pPr>
              <w:jc w:val="both"/>
              <w:rPr>
                <w:rFonts w:ascii="Times New Roman" w:hAnsi="Times New Roman" w:cs="Times New Roman"/>
                <w:sz w:val="24"/>
                <w:szCs w:val="24"/>
              </w:rPr>
            </w:pPr>
            <w:r>
              <w:rPr>
                <w:rFonts w:ascii="Times New Roman" w:hAnsi="Times New Roman" w:cs="Times New Roman"/>
                <w:sz w:val="24"/>
                <w:szCs w:val="24"/>
              </w:rPr>
              <w:t>здание детского комбината</w:t>
            </w:r>
            <w:r w:rsidRPr="00B02295">
              <w:rPr>
                <w:rFonts w:ascii="Times New Roman" w:hAnsi="Times New Roman" w:cs="Times New Roman"/>
                <w:sz w:val="24"/>
                <w:szCs w:val="24"/>
              </w:rPr>
              <w:t xml:space="preserve"> площадью 899,8 кв. м, расположенного по адресу: город Новосибирск, Калининский район, ул. Танковая, 29; </w:t>
            </w:r>
          </w:p>
          <w:p w14:paraId="425F5532" w14:textId="77777777" w:rsidR="00816724" w:rsidRPr="00B02295" w:rsidRDefault="00816724" w:rsidP="00816724">
            <w:pPr>
              <w:jc w:val="both"/>
              <w:rPr>
                <w:rFonts w:ascii="Times New Roman" w:hAnsi="Times New Roman" w:cs="Times New Roman"/>
                <w:sz w:val="24"/>
                <w:szCs w:val="24"/>
              </w:rPr>
            </w:pPr>
            <w:r w:rsidRPr="00B02295">
              <w:rPr>
                <w:rFonts w:ascii="Times New Roman" w:hAnsi="Times New Roman" w:cs="Times New Roman"/>
                <w:sz w:val="24"/>
                <w:szCs w:val="24"/>
              </w:rPr>
              <w:t>здание детского комбината площадью 898,2 кв. м, расположенного по адресу: город Новосибирск, Калининский район, ул. Танковая, 29/1.</w:t>
            </w:r>
          </w:p>
          <w:p w14:paraId="5E543DCC" w14:textId="77777777" w:rsidR="00816724" w:rsidRPr="007C5A8F" w:rsidRDefault="00816724" w:rsidP="003F4CFF">
            <w:pPr>
              <w:autoSpaceDE w:val="0"/>
              <w:autoSpaceDN w:val="0"/>
              <w:adjustRightInd w:val="0"/>
              <w:jc w:val="both"/>
              <w:rPr>
                <w:rFonts w:ascii="Times New Roman" w:hAnsi="Times New Roman" w:cs="Times New Roman"/>
                <w:sz w:val="24"/>
                <w:szCs w:val="24"/>
              </w:rPr>
            </w:pPr>
            <w:r w:rsidRPr="00B02295">
              <w:rPr>
                <w:rFonts w:ascii="Times New Roman" w:hAnsi="Times New Roman" w:cs="Times New Roman"/>
                <w:sz w:val="24"/>
                <w:szCs w:val="24"/>
              </w:rPr>
              <w:t>Концессионер обязан реконструировать объект концессионного соглашения.</w:t>
            </w:r>
          </w:p>
        </w:tc>
      </w:tr>
      <w:tr w:rsidR="00816724" w:rsidRPr="00C03A12" w14:paraId="58ADE91D" w14:textId="77777777" w:rsidTr="00A02DE4">
        <w:tc>
          <w:tcPr>
            <w:tcW w:w="431" w:type="pct"/>
            <w:vMerge/>
            <w:tcBorders>
              <w:left w:val="single" w:sz="4" w:space="0" w:color="auto"/>
              <w:right w:val="single" w:sz="4" w:space="0" w:color="auto"/>
            </w:tcBorders>
          </w:tcPr>
          <w:p w14:paraId="326484AA" w14:textId="77777777" w:rsidR="00816724" w:rsidRPr="0044623C" w:rsidRDefault="00816724" w:rsidP="00816724">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55422D99" w14:textId="77777777" w:rsidR="00816724" w:rsidRPr="0044623C" w:rsidRDefault="00816724" w:rsidP="00816724">
            <w:pPr>
              <w:rPr>
                <w:rFonts w:ascii="Times New Roman" w:hAnsi="Times New Roman" w:cs="Times New Roman"/>
                <w:sz w:val="24"/>
                <w:szCs w:val="24"/>
              </w:rPr>
            </w:pPr>
            <w:r w:rsidRPr="0044623C">
              <w:rPr>
                <w:rFonts w:ascii="Times New Roman" w:hAnsi="Times New Roman" w:cs="Times New Roman"/>
                <w:sz w:val="24"/>
                <w:szCs w:val="24"/>
              </w:rPr>
              <w:t>Ресурсы, привлеченные для ее реализации</w:t>
            </w:r>
          </w:p>
          <w:p w14:paraId="66DC1721" w14:textId="77777777" w:rsidR="00816724" w:rsidRPr="0044623C" w:rsidRDefault="00816724" w:rsidP="00816724">
            <w:pPr>
              <w:rPr>
                <w:rFonts w:ascii="Times New Roman" w:hAnsi="Times New Roman" w:cs="Times New Roman"/>
                <w:sz w:val="24"/>
                <w:szCs w:val="24"/>
              </w:rPr>
            </w:pPr>
          </w:p>
        </w:tc>
        <w:tc>
          <w:tcPr>
            <w:tcW w:w="3383" w:type="pct"/>
            <w:tcBorders>
              <w:top w:val="single" w:sz="4" w:space="0" w:color="auto"/>
              <w:left w:val="single" w:sz="4" w:space="0" w:color="auto"/>
              <w:bottom w:val="single" w:sz="4" w:space="0" w:color="auto"/>
              <w:right w:val="single" w:sz="4" w:space="0" w:color="auto"/>
            </w:tcBorders>
          </w:tcPr>
          <w:p w14:paraId="247030F2" w14:textId="77777777" w:rsidR="00816724" w:rsidRDefault="00816724" w:rsidP="00816724">
            <w:pPr>
              <w:jc w:val="both"/>
              <w:rPr>
                <w:rFonts w:ascii="Times New Roman" w:hAnsi="Times New Roman" w:cs="Times New Roman"/>
                <w:sz w:val="24"/>
                <w:szCs w:val="24"/>
              </w:rPr>
            </w:pPr>
            <w:r>
              <w:rPr>
                <w:rFonts w:ascii="Times New Roman" w:hAnsi="Times New Roman" w:cs="Times New Roman"/>
                <w:sz w:val="24"/>
                <w:szCs w:val="24"/>
              </w:rPr>
              <w:lastRenderedPageBreak/>
              <w:t>Объекты муниципального фонда.</w:t>
            </w:r>
          </w:p>
          <w:p w14:paraId="7F12733A" w14:textId="77777777" w:rsidR="00816724" w:rsidRDefault="00816724" w:rsidP="0081672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Распоряжение мэрии города Новосибирска от 21.04.2010 N 6655-р (ред. от 20.10.2017) «О заключении концессионного соглашения в отношении зданий детских комбинатов, расположенных по адресу: город Новосибирск, Калининский район, ул. Танковая, 29, 29/1»</w:t>
            </w:r>
          </w:p>
          <w:p w14:paraId="01DB6492" w14:textId="77777777" w:rsidR="00816724" w:rsidRPr="0044623C" w:rsidRDefault="00816724" w:rsidP="00816724">
            <w:pPr>
              <w:jc w:val="both"/>
              <w:rPr>
                <w:rFonts w:ascii="Times New Roman" w:hAnsi="Times New Roman" w:cs="Times New Roman"/>
                <w:sz w:val="24"/>
                <w:szCs w:val="24"/>
              </w:rPr>
            </w:pPr>
            <w:r w:rsidRPr="00410509">
              <w:rPr>
                <w:rFonts w:ascii="Times New Roman" w:hAnsi="Times New Roman" w:cs="Times New Roman"/>
                <w:sz w:val="24"/>
                <w:szCs w:val="24"/>
              </w:rPr>
              <w:t>Объем необходимых инвестиций</w:t>
            </w:r>
            <w:r>
              <w:rPr>
                <w:rFonts w:ascii="Times New Roman" w:hAnsi="Times New Roman" w:cs="Times New Roman"/>
                <w:sz w:val="24"/>
                <w:szCs w:val="24"/>
              </w:rPr>
              <w:t xml:space="preserve"> в проект составил</w:t>
            </w:r>
            <w:r w:rsidRPr="00410509">
              <w:rPr>
                <w:rFonts w:ascii="Times New Roman" w:hAnsi="Times New Roman" w:cs="Times New Roman"/>
                <w:sz w:val="24"/>
                <w:szCs w:val="24"/>
              </w:rPr>
              <w:t xml:space="preserve"> </w:t>
            </w:r>
            <w:r>
              <w:rPr>
                <w:rFonts w:ascii="Times New Roman" w:hAnsi="Times New Roman" w:cs="Times New Roman"/>
                <w:sz w:val="24"/>
                <w:szCs w:val="24"/>
              </w:rPr>
              <w:t>62,5</w:t>
            </w:r>
            <w:r w:rsidRPr="00410509">
              <w:rPr>
                <w:rFonts w:ascii="Times New Roman" w:hAnsi="Times New Roman" w:cs="Times New Roman"/>
                <w:sz w:val="24"/>
                <w:szCs w:val="24"/>
              </w:rPr>
              <w:t xml:space="preserve"> млн. рублей, срок реализации – 3 года.</w:t>
            </w:r>
          </w:p>
        </w:tc>
      </w:tr>
      <w:tr w:rsidR="00816724" w:rsidRPr="00C03A12" w14:paraId="69D644A7" w14:textId="77777777" w:rsidTr="00A02DE4">
        <w:tc>
          <w:tcPr>
            <w:tcW w:w="431" w:type="pct"/>
            <w:vMerge/>
            <w:tcBorders>
              <w:left w:val="single" w:sz="4" w:space="0" w:color="auto"/>
              <w:right w:val="single" w:sz="4" w:space="0" w:color="auto"/>
            </w:tcBorders>
          </w:tcPr>
          <w:p w14:paraId="22D4E098" w14:textId="77777777" w:rsidR="00816724" w:rsidRPr="0044623C" w:rsidRDefault="00816724" w:rsidP="00816724">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5BB8F6A4" w14:textId="77777777" w:rsidR="00816724" w:rsidRPr="0044623C" w:rsidRDefault="00816724" w:rsidP="00816724">
            <w:pPr>
              <w:rPr>
                <w:rFonts w:ascii="Times New Roman" w:hAnsi="Times New Roman" w:cs="Times New Roman"/>
                <w:sz w:val="24"/>
                <w:szCs w:val="24"/>
              </w:rPr>
            </w:pPr>
            <w:r w:rsidRPr="0044623C">
              <w:rPr>
                <w:rFonts w:ascii="Times New Roman" w:hAnsi="Times New Roman" w:cs="Times New Roman"/>
                <w:sz w:val="24"/>
                <w:szCs w:val="24"/>
              </w:rPr>
              <w:t>Описание результата</w:t>
            </w:r>
          </w:p>
        </w:tc>
        <w:tc>
          <w:tcPr>
            <w:tcW w:w="3383" w:type="pct"/>
            <w:tcBorders>
              <w:top w:val="single" w:sz="4" w:space="0" w:color="auto"/>
              <w:left w:val="single" w:sz="4" w:space="0" w:color="auto"/>
              <w:bottom w:val="single" w:sz="4" w:space="0" w:color="auto"/>
              <w:right w:val="single" w:sz="4" w:space="0" w:color="auto"/>
            </w:tcBorders>
          </w:tcPr>
          <w:p w14:paraId="61DAE018" w14:textId="77777777" w:rsidR="00816724" w:rsidRDefault="00816724" w:rsidP="00816724">
            <w:pPr>
              <w:ind w:right="198"/>
              <w:jc w:val="both"/>
              <w:rPr>
                <w:rFonts w:ascii="Times New Roman" w:hAnsi="Times New Roman" w:cs="Times New Roman"/>
                <w:sz w:val="24"/>
                <w:szCs w:val="24"/>
              </w:rPr>
            </w:pPr>
            <w:r>
              <w:rPr>
                <w:rFonts w:ascii="Times New Roman" w:hAnsi="Times New Roman" w:cs="Times New Roman"/>
                <w:sz w:val="24"/>
                <w:szCs w:val="24"/>
              </w:rPr>
              <w:t>Б</w:t>
            </w:r>
            <w:r w:rsidRPr="0007343A">
              <w:rPr>
                <w:rFonts w:ascii="Times New Roman" w:hAnsi="Times New Roman" w:cs="Times New Roman"/>
                <w:sz w:val="24"/>
                <w:szCs w:val="24"/>
              </w:rPr>
              <w:t xml:space="preserve">лагодаря концессиям </w:t>
            </w:r>
            <w:r>
              <w:rPr>
                <w:rFonts w:ascii="Times New Roman" w:hAnsi="Times New Roman" w:cs="Times New Roman"/>
                <w:sz w:val="24"/>
                <w:szCs w:val="24"/>
              </w:rPr>
              <w:t xml:space="preserve">г. Новосибирск </w:t>
            </w:r>
            <w:r w:rsidRPr="0007343A">
              <w:rPr>
                <w:rFonts w:ascii="Times New Roman" w:hAnsi="Times New Roman" w:cs="Times New Roman"/>
                <w:sz w:val="24"/>
                <w:szCs w:val="24"/>
              </w:rPr>
              <w:t>решает серьезные задачи, но при этом муниципальное имущество, отданное в концессию (по сути, в длительную аренду</w:t>
            </w:r>
            <w:r>
              <w:rPr>
                <w:rFonts w:ascii="Times New Roman" w:hAnsi="Times New Roman" w:cs="Times New Roman"/>
                <w:sz w:val="24"/>
                <w:szCs w:val="24"/>
              </w:rPr>
              <w:t xml:space="preserve"> – 30 лет</w:t>
            </w:r>
            <w:r w:rsidRPr="0007343A">
              <w:rPr>
                <w:rFonts w:ascii="Times New Roman" w:hAnsi="Times New Roman" w:cs="Times New Roman"/>
                <w:sz w:val="24"/>
                <w:szCs w:val="24"/>
              </w:rPr>
              <w:t>), остается в собственности муниципалитета, а значит, в обновленных зданиях продолжают оказывать муниципальные услуги</w:t>
            </w:r>
            <w:r>
              <w:rPr>
                <w:rFonts w:ascii="Times New Roman" w:hAnsi="Times New Roman" w:cs="Times New Roman"/>
                <w:sz w:val="24"/>
                <w:szCs w:val="24"/>
              </w:rPr>
              <w:t xml:space="preserve"> образования</w:t>
            </w:r>
            <w:r w:rsidRPr="0007343A">
              <w:rPr>
                <w:rFonts w:ascii="Times New Roman" w:hAnsi="Times New Roman" w:cs="Times New Roman"/>
                <w:sz w:val="24"/>
                <w:szCs w:val="24"/>
              </w:rPr>
              <w:t>. Концессионер же, вкладывая свои средства в реконструкцию и содержание объектов, получает дополнительную возможность увеличить свой капитал.</w:t>
            </w:r>
          </w:p>
          <w:p w14:paraId="24D3F5DA" w14:textId="77777777" w:rsidR="00816724" w:rsidRDefault="00816724" w:rsidP="00816724">
            <w:pPr>
              <w:ind w:right="198"/>
              <w:jc w:val="both"/>
              <w:rPr>
                <w:rFonts w:ascii="Times New Roman" w:hAnsi="Times New Roman" w:cs="Times New Roman"/>
                <w:sz w:val="24"/>
                <w:szCs w:val="24"/>
              </w:rPr>
            </w:pPr>
            <w:r w:rsidRPr="0007343A">
              <w:rPr>
                <w:rFonts w:ascii="Times New Roman" w:hAnsi="Times New Roman" w:cs="Times New Roman"/>
                <w:sz w:val="24"/>
                <w:szCs w:val="24"/>
              </w:rPr>
              <w:t>Концессионное соглашение позволяет привлечь частный капитал для расширения возможностей социальных объектов</w:t>
            </w:r>
            <w:r>
              <w:rPr>
                <w:rFonts w:ascii="Times New Roman" w:hAnsi="Times New Roman" w:cs="Times New Roman"/>
                <w:sz w:val="24"/>
                <w:szCs w:val="24"/>
              </w:rPr>
              <w:t>.</w:t>
            </w:r>
          </w:p>
          <w:p w14:paraId="728B6CB5" w14:textId="77777777" w:rsidR="00816724" w:rsidRPr="0044623C" w:rsidRDefault="00816724" w:rsidP="00816724">
            <w:pPr>
              <w:ind w:right="198"/>
              <w:jc w:val="both"/>
              <w:rPr>
                <w:rFonts w:ascii="Times New Roman" w:hAnsi="Times New Roman" w:cs="Times New Roman"/>
                <w:sz w:val="24"/>
                <w:szCs w:val="24"/>
              </w:rPr>
            </w:pPr>
            <w:r>
              <w:rPr>
                <w:rFonts w:ascii="Times New Roman" w:hAnsi="Times New Roman" w:cs="Times New Roman"/>
                <w:sz w:val="24"/>
                <w:szCs w:val="24"/>
              </w:rPr>
              <w:t>В настоящее время «Детский сад «ЖАРКИ»</w:t>
            </w:r>
            <w:r w:rsidRPr="00EE4CFA">
              <w:rPr>
                <w:rFonts w:ascii="Times New Roman" w:hAnsi="Times New Roman" w:cs="Times New Roman"/>
                <w:sz w:val="24"/>
                <w:szCs w:val="24"/>
              </w:rPr>
              <w:t xml:space="preserve"> </w:t>
            </w:r>
            <w:hyperlink r:id="rId242" w:history="1">
              <w:r w:rsidRPr="008E7A33">
                <w:rPr>
                  <w:rStyle w:val="a3"/>
                  <w:rFonts w:ascii="Times New Roman" w:hAnsi="Times New Roman" w:cs="Times New Roman"/>
                  <w:sz w:val="24"/>
                  <w:szCs w:val="24"/>
                  <w:lang w:val="en-US"/>
                </w:rPr>
                <w:t>http</w:t>
              </w:r>
              <w:r w:rsidRPr="00816724">
                <w:rPr>
                  <w:rStyle w:val="a3"/>
                  <w:rFonts w:ascii="Times New Roman" w:hAnsi="Times New Roman" w:cs="Times New Roman"/>
                  <w:sz w:val="24"/>
                  <w:szCs w:val="24"/>
                </w:rPr>
                <w:t>://</w:t>
              </w:r>
              <w:r w:rsidRPr="008E7A33">
                <w:rPr>
                  <w:rStyle w:val="a3"/>
                  <w:rFonts w:ascii="Times New Roman" w:hAnsi="Times New Roman" w:cs="Times New Roman"/>
                  <w:sz w:val="24"/>
                  <w:szCs w:val="24"/>
                  <w:lang w:val="en-US"/>
                </w:rPr>
                <w:t>zarki</w:t>
              </w:r>
              <w:r w:rsidRPr="00816724">
                <w:rPr>
                  <w:rStyle w:val="a3"/>
                  <w:rFonts w:ascii="Times New Roman" w:hAnsi="Times New Roman" w:cs="Times New Roman"/>
                  <w:sz w:val="24"/>
                  <w:szCs w:val="24"/>
                </w:rPr>
                <w:t>-</w:t>
              </w:r>
              <w:r w:rsidRPr="008E7A33">
                <w:rPr>
                  <w:rStyle w:val="a3"/>
                  <w:rFonts w:ascii="Times New Roman" w:hAnsi="Times New Roman" w:cs="Times New Roman"/>
                  <w:sz w:val="24"/>
                  <w:szCs w:val="24"/>
                  <w:lang w:val="en-US"/>
                </w:rPr>
                <w:t>sad</w:t>
              </w:r>
              <w:r w:rsidRPr="00816724">
                <w:rPr>
                  <w:rStyle w:val="a3"/>
                  <w:rFonts w:ascii="Times New Roman" w:hAnsi="Times New Roman" w:cs="Times New Roman"/>
                  <w:sz w:val="24"/>
                  <w:szCs w:val="24"/>
                </w:rPr>
                <w:t>.</w:t>
              </w:r>
              <w:r w:rsidRPr="008E7A33">
                <w:rPr>
                  <w:rStyle w:val="a3"/>
                  <w:rFonts w:ascii="Times New Roman" w:hAnsi="Times New Roman" w:cs="Times New Roman"/>
                  <w:sz w:val="24"/>
                  <w:szCs w:val="24"/>
                  <w:lang w:val="en-US"/>
                </w:rPr>
                <w:t>ru</w:t>
              </w:r>
              <w:r w:rsidRPr="00816724">
                <w:rPr>
                  <w:rStyle w:val="a3"/>
                  <w:rFonts w:ascii="Times New Roman" w:hAnsi="Times New Roman" w:cs="Times New Roman"/>
                  <w:sz w:val="24"/>
                  <w:szCs w:val="24"/>
                </w:rPr>
                <w:t>/</w:t>
              </w:r>
            </w:hyperlink>
            <w:r w:rsidRPr="00EE4CFA">
              <w:rPr>
                <w:rFonts w:ascii="Times New Roman" w:hAnsi="Times New Roman" w:cs="Times New Roman"/>
                <w:sz w:val="24"/>
                <w:szCs w:val="24"/>
              </w:rPr>
              <w:t xml:space="preserve"> </w:t>
            </w:r>
            <w:r w:rsidRPr="00EE4CFA">
              <w:rPr>
                <w:rFonts w:ascii="Times New Roman" w:hAnsi="Times New Roman" w:cs="Times New Roman"/>
                <w:color w:val="000000"/>
                <w:sz w:val="24"/>
                <w:szCs w:val="24"/>
                <w:shd w:val="clear" w:color="auto" w:fill="FFFFFF"/>
              </w:rPr>
              <w:t>–</w:t>
            </w:r>
            <w:r>
              <w:rPr>
                <w:rFonts w:ascii="Arial" w:hAnsi="Arial" w:cs="Arial"/>
                <w:color w:val="000000"/>
                <w:sz w:val="30"/>
                <w:szCs w:val="30"/>
                <w:shd w:val="clear" w:color="auto" w:fill="FFFFFF"/>
              </w:rPr>
              <w:t xml:space="preserve"> </w:t>
            </w:r>
            <w:r w:rsidRPr="00373F73">
              <w:rPr>
                <w:rFonts w:ascii="Times New Roman" w:hAnsi="Times New Roman" w:cs="Times New Roman"/>
                <w:sz w:val="24"/>
                <w:szCs w:val="24"/>
              </w:rPr>
              <w:t xml:space="preserve">это огромный спектр направлений в сфере </w:t>
            </w:r>
            <w:r>
              <w:rPr>
                <w:rFonts w:ascii="Times New Roman" w:hAnsi="Times New Roman"/>
                <w:sz w:val="24"/>
                <w:szCs w:val="24"/>
              </w:rPr>
              <w:t>формирования общей культуры, развития</w:t>
            </w:r>
            <w:r w:rsidRPr="00F26E6F">
              <w:rPr>
                <w:rFonts w:ascii="Times New Roman" w:hAnsi="Times New Roman"/>
                <w:sz w:val="24"/>
                <w:szCs w:val="24"/>
              </w:rPr>
              <w:t xml:space="preserve"> физических, интеллектуальных и </w:t>
            </w:r>
            <w:r>
              <w:rPr>
                <w:rFonts w:ascii="Times New Roman" w:hAnsi="Times New Roman"/>
                <w:sz w:val="24"/>
                <w:szCs w:val="24"/>
              </w:rPr>
              <w:t>личностных качеств, формирования</w:t>
            </w:r>
            <w:r w:rsidRPr="00F26E6F">
              <w:rPr>
                <w:rFonts w:ascii="Times New Roman" w:hAnsi="Times New Roman"/>
                <w:sz w:val="24"/>
                <w:szCs w:val="24"/>
              </w:rPr>
              <w:t xml:space="preserve"> предпосылок учебной деятельности, обеспечивающих с</w:t>
            </w:r>
            <w:r>
              <w:rPr>
                <w:rFonts w:ascii="Times New Roman" w:hAnsi="Times New Roman"/>
                <w:sz w:val="24"/>
                <w:szCs w:val="24"/>
              </w:rPr>
              <w:t>оциальную успешность, сохранения и укрепления</w:t>
            </w:r>
            <w:r w:rsidRPr="00F26E6F">
              <w:rPr>
                <w:rFonts w:ascii="Times New Roman" w:hAnsi="Times New Roman"/>
                <w:sz w:val="24"/>
                <w:szCs w:val="24"/>
              </w:rPr>
              <w:t xml:space="preserve"> здоровья детей</w:t>
            </w:r>
            <w:r>
              <w:rPr>
                <w:rFonts w:ascii="Times New Roman" w:hAnsi="Times New Roman"/>
                <w:sz w:val="24"/>
                <w:szCs w:val="24"/>
              </w:rPr>
              <w:t xml:space="preserve"> дошкольного возраста, коррекции</w:t>
            </w:r>
            <w:r w:rsidRPr="00F26E6F">
              <w:rPr>
                <w:rFonts w:ascii="Times New Roman" w:hAnsi="Times New Roman"/>
                <w:sz w:val="24"/>
                <w:szCs w:val="24"/>
              </w:rPr>
              <w:t xml:space="preserve"> недостатков в физическом или психическом развитии детей</w:t>
            </w:r>
            <w:r w:rsidRPr="00F26E6F">
              <w:rPr>
                <w:rFonts w:ascii="Times New Roman" w:hAnsi="Times New Roman"/>
                <w:b/>
                <w:sz w:val="24"/>
                <w:szCs w:val="24"/>
              </w:rPr>
              <w:t>.</w:t>
            </w:r>
          </w:p>
        </w:tc>
      </w:tr>
      <w:tr w:rsidR="003F4CFF" w:rsidRPr="00C03A12" w14:paraId="05A1BAEC" w14:textId="77777777" w:rsidTr="00A02DE4">
        <w:tc>
          <w:tcPr>
            <w:tcW w:w="431" w:type="pct"/>
            <w:vMerge/>
            <w:tcBorders>
              <w:left w:val="single" w:sz="4" w:space="0" w:color="auto"/>
              <w:bottom w:val="single" w:sz="4" w:space="0" w:color="auto"/>
              <w:right w:val="single" w:sz="4" w:space="0" w:color="auto"/>
            </w:tcBorders>
          </w:tcPr>
          <w:p w14:paraId="5C149FE5" w14:textId="77777777" w:rsidR="003F4CFF" w:rsidRPr="0044623C"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1E46FD3E" w14:textId="77777777" w:rsidR="003F4CFF" w:rsidRPr="0044623C" w:rsidRDefault="003F4CFF" w:rsidP="003F4CFF">
            <w:pPr>
              <w:rPr>
                <w:rFonts w:ascii="Times New Roman" w:hAnsi="Times New Roman" w:cs="Times New Roman"/>
                <w:sz w:val="24"/>
                <w:szCs w:val="24"/>
              </w:rPr>
            </w:pPr>
            <w:r w:rsidRPr="0044623C">
              <w:rPr>
                <w:rFonts w:ascii="Times New Roman" w:hAnsi="Times New Roman" w:cs="Times New Roman"/>
                <w:sz w:val="24"/>
                <w:szCs w:val="24"/>
              </w:rPr>
              <w:t>Значение количественного (качественного) показателя результата</w:t>
            </w:r>
          </w:p>
        </w:tc>
        <w:tc>
          <w:tcPr>
            <w:tcW w:w="3383" w:type="pct"/>
            <w:tcBorders>
              <w:top w:val="single" w:sz="4" w:space="0" w:color="auto"/>
              <w:left w:val="single" w:sz="4" w:space="0" w:color="auto"/>
              <w:bottom w:val="single" w:sz="4" w:space="0" w:color="auto"/>
              <w:right w:val="single" w:sz="4" w:space="0" w:color="auto"/>
            </w:tcBorders>
          </w:tcPr>
          <w:p w14:paraId="246E0054" w14:textId="77777777" w:rsidR="00816724" w:rsidRPr="0007343A" w:rsidRDefault="00816724" w:rsidP="00816724">
            <w:pPr>
              <w:jc w:val="both"/>
              <w:rPr>
                <w:rFonts w:ascii="Times New Roman" w:hAnsi="Times New Roman" w:cs="Times New Roman"/>
                <w:sz w:val="24"/>
                <w:szCs w:val="24"/>
              </w:rPr>
            </w:pPr>
            <w:r>
              <w:rPr>
                <w:rFonts w:ascii="Times New Roman" w:hAnsi="Times New Roman" w:cs="Times New Roman"/>
                <w:sz w:val="24"/>
                <w:szCs w:val="24"/>
              </w:rPr>
              <w:t>О</w:t>
            </w:r>
            <w:r w:rsidRPr="0007343A">
              <w:rPr>
                <w:rFonts w:ascii="Times New Roman" w:hAnsi="Times New Roman" w:cs="Times New Roman"/>
                <w:sz w:val="24"/>
                <w:szCs w:val="24"/>
              </w:rPr>
              <w:t>бъект созда</w:t>
            </w:r>
            <w:r>
              <w:rPr>
                <w:rFonts w:ascii="Times New Roman" w:hAnsi="Times New Roman" w:cs="Times New Roman"/>
                <w:sz w:val="24"/>
                <w:szCs w:val="24"/>
              </w:rPr>
              <w:t xml:space="preserve">н </w:t>
            </w:r>
            <w:r w:rsidRPr="0007343A">
              <w:rPr>
                <w:rFonts w:ascii="Times New Roman" w:hAnsi="Times New Roman" w:cs="Times New Roman"/>
                <w:sz w:val="24"/>
                <w:szCs w:val="24"/>
              </w:rPr>
              <w:t>через реконструкцию имеющ</w:t>
            </w:r>
            <w:r>
              <w:rPr>
                <w:rFonts w:ascii="Times New Roman" w:hAnsi="Times New Roman" w:cs="Times New Roman"/>
                <w:sz w:val="24"/>
                <w:szCs w:val="24"/>
              </w:rPr>
              <w:t>ихся зданий</w:t>
            </w:r>
            <w:r w:rsidRPr="0007343A">
              <w:rPr>
                <w:rFonts w:ascii="Times New Roman" w:hAnsi="Times New Roman" w:cs="Times New Roman"/>
                <w:sz w:val="24"/>
                <w:szCs w:val="24"/>
              </w:rPr>
              <w:t xml:space="preserve"> </w:t>
            </w:r>
            <w:r w:rsidRPr="00B02295">
              <w:rPr>
                <w:rFonts w:ascii="Times New Roman" w:hAnsi="Times New Roman" w:cs="Times New Roman"/>
                <w:sz w:val="24"/>
                <w:szCs w:val="24"/>
              </w:rPr>
              <w:t>детск</w:t>
            </w:r>
            <w:r>
              <w:rPr>
                <w:rFonts w:ascii="Times New Roman" w:hAnsi="Times New Roman" w:cs="Times New Roman"/>
                <w:sz w:val="24"/>
                <w:szCs w:val="24"/>
              </w:rPr>
              <w:t>их комбинатов 1963</w:t>
            </w:r>
            <w:r w:rsidRPr="0007343A">
              <w:rPr>
                <w:rFonts w:ascii="Times New Roman" w:hAnsi="Times New Roman" w:cs="Times New Roman"/>
                <w:sz w:val="24"/>
                <w:szCs w:val="24"/>
              </w:rPr>
              <w:t xml:space="preserve"> года постройки площадью 1 7</w:t>
            </w:r>
            <w:r>
              <w:rPr>
                <w:rFonts w:ascii="Times New Roman" w:hAnsi="Times New Roman" w:cs="Times New Roman"/>
                <w:sz w:val="24"/>
                <w:szCs w:val="24"/>
              </w:rPr>
              <w:t>98</w:t>
            </w:r>
            <w:r w:rsidRPr="0007343A">
              <w:rPr>
                <w:rFonts w:ascii="Times New Roman" w:hAnsi="Times New Roman" w:cs="Times New Roman"/>
                <w:sz w:val="24"/>
                <w:szCs w:val="24"/>
              </w:rPr>
              <w:t xml:space="preserve"> квадратн</w:t>
            </w:r>
            <w:r>
              <w:rPr>
                <w:rFonts w:ascii="Times New Roman" w:hAnsi="Times New Roman" w:cs="Times New Roman"/>
                <w:sz w:val="24"/>
                <w:szCs w:val="24"/>
              </w:rPr>
              <w:t>ых метров</w:t>
            </w:r>
            <w:r w:rsidRPr="0007343A">
              <w:rPr>
                <w:rFonts w:ascii="Times New Roman" w:hAnsi="Times New Roman" w:cs="Times New Roman"/>
                <w:sz w:val="24"/>
                <w:szCs w:val="24"/>
              </w:rPr>
              <w:t>. Де</w:t>
            </w:r>
            <w:r>
              <w:rPr>
                <w:rFonts w:ascii="Times New Roman" w:hAnsi="Times New Roman" w:cs="Times New Roman"/>
                <w:sz w:val="24"/>
                <w:szCs w:val="24"/>
              </w:rPr>
              <w:t>тский сад рассчитан на 124 места</w:t>
            </w:r>
            <w:r w:rsidRPr="0007343A">
              <w:rPr>
                <w:rFonts w:ascii="Times New Roman" w:hAnsi="Times New Roman" w:cs="Times New Roman"/>
                <w:sz w:val="24"/>
                <w:szCs w:val="24"/>
              </w:rPr>
              <w:t>.</w:t>
            </w:r>
          </w:p>
          <w:p w14:paraId="2B0F50F6" w14:textId="77777777" w:rsidR="003F4CFF" w:rsidRPr="0044623C" w:rsidRDefault="00816724" w:rsidP="00816724">
            <w:pPr>
              <w:jc w:val="both"/>
              <w:rPr>
                <w:rFonts w:ascii="Times New Roman" w:hAnsi="Times New Roman" w:cs="Times New Roman"/>
                <w:sz w:val="24"/>
                <w:szCs w:val="24"/>
              </w:rPr>
            </w:pPr>
            <w:r w:rsidRPr="0007343A">
              <w:rPr>
                <w:rFonts w:ascii="Times New Roman" w:hAnsi="Times New Roman" w:cs="Times New Roman"/>
                <w:sz w:val="24"/>
                <w:szCs w:val="24"/>
              </w:rPr>
              <w:t xml:space="preserve">Размер ежеквартальной концессионной платы – </w:t>
            </w:r>
            <w:r>
              <w:rPr>
                <w:rFonts w:ascii="Times New Roman" w:hAnsi="Times New Roman" w:cs="Times New Roman"/>
                <w:sz w:val="24"/>
                <w:szCs w:val="24"/>
              </w:rPr>
              <w:t>8 147</w:t>
            </w:r>
            <w:r w:rsidRPr="0007343A">
              <w:rPr>
                <w:rFonts w:ascii="Times New Roman" w:hAnsi="Times New Roman" w:cs="Times New Roman"/>
                <w:sz w:val="24"/>
                <w:szCs w:val="24"/>
              </w:rPr>
              <w:t xml:space="preserve"> рублей.</w:t>
            </w:r>
          </w:p>
        </w:tc>
      </w:tr>
    </w:tbl>
    <w:p w14:paraId="288CA323" w14:textId="77777777" w:rsidR="00647D59" w:rsidRDefault="00647D59" w:rsidP="003F4CFF">
      <w:pPr>
        <w:rPr>
          <w:rFonts w:ascii="Times New Roman" w:hAnsi="Times New Roman" w:cs="Times New Roman"/>
          <w:sz w:val="28"/>
          <w:szCs w:val="28"/>
        </w:rPr>
        <w:sectPr w:rsidR="00647D59" w:rsidSect="00647D59">
          <w:pgSz w:w="16838" w:h="11906" w:orient="landscape" w:code="9"/>
          <w:pgMar w:top="1418" w:right="1134" w:bottom="567" w:left="1134" w:header="709" w:footer="709" w:gutter="0"/>
          <w:cols w:space="708"/>
          <w:docGrid w:linePitch="360"/>
        </w:sectPr>
      </w:pPr>
    </w:p>
    <w:p w14:paraId="365B406B" w14:textId="77777777" w:rsidR="003F4CFF" w:rsidRDefault="003F4CFF" w:rsidP="003F4CFF">
      <w:pPr>
        <w:rPr>
          <w:rFonts w:ascii="Times New Roman" w:hAnsi="Times New Roman" w:cs="Times New Roman"/>
          <w:sz w:val="28"/>
          <w:szCs w:val="28"/>
        </w:rPr>
      </w:pPr>
    </w:p>
    <w:p w14:paraId="65C32661" w14:textId="77777777" w:rsidR="003F4CFF" w:rsidRDefault="003F4CFF" w:rsidP="003F4CFF">
      <w:pPr>
        <w:jc w:val="both"/>
        <w:rPr>
          <w:rFonts w:ascii="Times New Roman" w:hAnsi="Times New Roman" w:cs="Times New Roman"/>
          <w:sz w:val="28"/>
          <w:szCs w:val="28"/>
        </w:rPr>
      </w:pPr>
      <w:r>
        <w:rPr>
          <w:rFonts w:ascii="Times New Roman" w:hAnsi="Times New Roman" w:cs="Times New Roman"/>
          <w:sz w:val="28"/>
          <w:szCs w:val="28"/>
        </w:rPr>
        <w:t>Таблица </w:t>
      </w:r>
      <w:r w:rsidR="006D3D11">
        <w:rPr>
          <w:rFonts w:ascii="Times New Roman" w:hAnsi="Times New Roman" w:cs="Times New Roman"/>
          <w:sz w:val="28"/>
          <w:szCs w:val="28"/>
        </w:rPr>
        <w:t xml:space="preserve">34 </w:t>
      </w:r>
      <w:r>
        <w:rPr>
          <w:rFonts w:ascii="Times New Roman" w:hAnsi="Times New Roman" w:cs="Times New Roman"/>
          <w:sz w:val="28"/>
          <w:szCs w:val="28"/>
        </w:rPr>
        <w:t>– Внедренные регионом рекомендованные практики содействия развитию конкуренции</w:t>
      </w:r>
    </w:p>
    <w:tbl>
      <w:tblPr>
        <w:tblStyle w:val="110"/>
        <w:tblW w:w="5000" w:type="pct"/>
        <w:tblLook w:val="04A0" w:firstRow="1" w:lastRow="0" w:firstColumn="1" w:lastColumn="0" w:noHBand="0" w:noVBand="1"/>
      </w:tblPr>
      <w:tblGrid>
        <w:gridCol w:w="1255"/>
        <w:gridCol w:w="3454"/>
        <w:gridCol w:w="9851"/>
      </w:tblGrid>
      <w:tr w:rsidR="003F4CFF" w:rsidRPr="00C03A12" w14:paraId="5BEF706A" w14:textId="77777777" w:rsidTr="009A18FC">
        <w:tc>
          <w:tcPr>
            <w:tcW w:w="5000" w:type="pct"/>
            <w:gridSpan w:val="3"/>
            <w:tcBorders>
              <w:top w:val="single" w:sz="4" w:space="0" w:color="auto"/>
              <w:left w:val="single" w:sz="4" w:space="0" w:color="auto"/>
              <w:bottom w:val="single" w:sz="4" w:space="0" w:color="auto"/>
              <w:right w:val="single" w:sz="4" w:space="0" w:color="auto"/>
            </w:tcBorders>
          </w:tcPr>
          <w:p w14:paraId="0AA44B75" w14:textId="77777777" w:rsidR="003F4CFF" w:rsidRPr="00C03A12" w:rsidRDefault="003F4CFF" w:rsidP="003F4CFF">
            <w:pPr>
              <w:rPr>
                <w:rFonts w:ascii="Times New Roman" w:hAnsi="Times New Roman" w:cs="Times New Roman"/>
                <w:sz w:val="28"/>
                <w:szCs w:val="28"/>
              </w:rPr>
            </w:pPr>
            <w:r>
              <w:rPr>
                <w:rFonts w:ascii="Times New Roman" w:hAnsi="Times New Roman" w:cs="Times New Roman"/>
                <w:b/>
                <w:sz w:val="24"/>
                <w:szCs w:val="24"/>
              </w:rPr>
              <w:t>Государственные и муниципальные закупки</w:t>
            </w:r>
          </w:p>
        </w:tc>
      </w:tr>
      <w:tr w:rsidR="003F4CFF" w:rsidRPr="00C03A12" w14:paraId="479C1396" w14:textId="77777777" w:rsidTr="009A18FC">
        <w:tc>
          <w:tcPr>
            <w:tcW w:w="431" w:type="pct"/>
            <w:vMerge w:val="restart"/>
            <w:tcBorders>
              <w:top w:val="single" w:sz="4" w:space="0" w:color="auto"/>
              <w:left w:val="single" w:sz="4" w:space="0" w:color="auto"/>
              <w:right w:val="single" w:sz="4" w:space="0" w:color="auto"/>
            </w:tcBorders>
          </w:tcPr>
          <w:p w14:paraId="0BB87318" w14:textId="77777777" w:rsidR="003F4CFF" w:rsidRPr="00E3698F" w:rsidRDefault="003F4CFF" w:rsidP="003F4CFF">
            <w:pPr>
              <w:rPr>
                <w:rFonts w:ascii="Times New Roman" w:hAnsi="Times New Roman" w:cs="Times New Roman"/>
                <w:sz w:val="24"/>
                <w:szCs w:val="24"/>
              </w:rPr>
            </w:pPr>
            <w:r w:rsidRPr="00E3698F">
              <w:rPr>
                <w:rFonts w:ascii="Times New Roman" w:hAnsi="Times New Roman" w:cs="Times New Roman"/>
                <w:sz w:val="24"/>
                <w:szCs w:val="24"/>
              </w:rPr>
              <w:t>1.</w:t>
            </w:r>
          </w:p>
        </w:tc>
        <w:tc>
          <w:tcPr>
            <w:tcW w:w="1186"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3E24185D" w14:textId="77777777" w:rsidR="003F4CFF" w:rsidRPr="00E3698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3383"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09C78DEB" w14:textId="77777777" w:rsidR="003F4CFF" w:rsidRPr="00E3698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t>Площадка «Биржа торгов» (</w:t>
            </w:r>
            <w:hyperlink r:id="rId243" w:history="1">
              <w:r w:rsidRPr="00E3698F">
                <w:rPr>
                  <w:rStyle w:val="a3"/>
                  <w:rFonts w:ascii="Times New Roman" w:hAnsi="Times New Roman" w:cs="Times New Roman"/>
                  <w:sz w:val="24"/>
                  <w:szCs w:val="24"/>
                </w:rPr>
                <w:t>https://investmoscow.ru/tenders/exchange-trading/announs/</w:t>
              </w:r>
            </w:hyperlink>
            <w:r w:rsidRPr="00E3698F">
              <w:rPr>
                <w:rFonts w:ascii="Times New Roman" w:hAnsi="Times New Roman" w:cs="Times New Roman"/>
                <w:sz w:val="24"/>
                <w:szCs w:val="24"/>
              </w:rPr>
              <w:t xml:space="preserve">) </w:t>
            </w:r>
            <w:r w:rsidRPr="000C0CDC">
              <w:rPr>
                <w:rFonts w:ascii="Times New Roman" w:hAnsi="Times New Roman" w:cs="Times New Roman"/>
                <w:sz w:val="24"/>
                <w:szCs w:val="24"/>
              </w:rPr>
              <w:t>(</w:t>
            </w:r>
            <w:r>
              <w:rPr>
                <w:rFonts w:ascii="Times New Roman" w:hAnsi="Times New Roman" w:cs="Times New Roman"/>
                <w:sz w:val="24"/>
                <w:szCs w:val="24"/>
              </w:rPr>
              <w:t>г. </w:t>
            </w:r>
            <w:r w:rsidRPr="000C0CDC">
              <w:rPr>
                <w:rFonts w:ascii="Times New Roman" w:hAnsi="Times New Roman" w:cs="Times New Roman"/>
                <w:sz w:val="24"/>
                <w:szCs w:val="24"/>
              </w:rPr>
              <w:t>Москва)</w:t>
            </w:r>
          </w:p>
        </w:tc>
      </w:tr>
      <w:tr w:rsidR="003F4CFF" w:rsidRPr="00C03A12" w14:paraId="4C2E9DC5" w14:textId="77777777" w:rsidTr="009A18FC">
        <w:tc>
          <w:tcPr>
            <w:tcW w:w="431" w:type="pct"/>
            <w:vMerge/>
            <w:tcBorders>
              <w:left w:val="single" w:sz="4" w:space="0" w:color="auto"/>
              <w:right w:val="single" w:sz="4" w:space="0" w:color="auto"/>
            </w:tcBorders>
            <w:shd w:val="clear" w:color="auto" w:fill="FFFFFF" w:themeFill="background1"/>
          </w:tcPr>
          <w:p w14:paraId="49A84991" w14:textId="77777777" w:rsidR="003F4CFF" w:rsidRPr="00E3698F"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shd w:val="clear" w:color="auto" w:fill="FFFFFF" w:themeFill="background1"/>
          </w:tcPr>
          <w:p w14:paraId="581B24FA" w14:textId="77777777" w:rsidR="003F4CFF" w:rsidRPr="00E3698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t>Краткое описание успешной практики</w:t>
            </w:r>
          </w:p>
        </w:tc>
        <w:tc>
          <w:tcPr>
            <w:tcW w:w="3383" w:type="pct"/>
            <w:tcBorders>
              <w:top w:val="single" w:sz="4" w:space="0" w:color="auto"/>
              <w:left w:val="single" w:sz="4" w:space="0" w:color="auto"/>
              <w:bottom w:val="single" w:sz="4" w:space="0" w:color="auto"/>
              <w:right w:val="single" w:sz="4" w:space="0" w:color="auto"/>
            </w:tcBorders>
            <w:shd w:val="clear" w:color="auto" w:fill="FFFFFF" w:themeFill="background1"/>
          </w:tcPr>
          <w:p w14:paraId="24667AD7" w14:textId="77777777" w:rsidR="003F4CF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t>В Новосибирской области действует государственная информационная система в сфере закупок Новосибирской области (далее – ГИСЗ НСО)</w:t>
            </w:r>
            <w:r>
              <w:rPr>
                <w:rFonts w:ascii="Times New Roman" w:hAnsi="Times New Roman" w:cs="Times New Roman"/>
                <w:sz w:val="24"/>
                <w:szCs w:val="24"/>
              </w:rPr>
              <w:t xml:space="preserve"> </w:t>
            </w:r>
            <w:hyperlink r:id="rId244" w:history="1">
              <w:r w:rsidRPr="00EB3F01">
                <w:rPr>
                  <w:rStyle w:val="a3"/>
                  <w:rFonts w:ascii="Times New Roman" w:hAnsi="Times New Roman" w:cs="Times New Roman"/>
                  <w:sz w:val="24"/>
                  <w:szCs w:val="24"/>
                </w:rPr>
                <w:t>https://zakupki.nso.ru/</w:t>
              </w:r>
            </w:hyperlink>
            <w:r w:rsidRPr="00E3698F">
              <w:rPr>
                <w:rFonts w:ascii="Times New Roman" w:hAnsi="Times New Roman" w:cs="Times New Roman"/>
                <w:sz w:val="24"/>
                <w:szCs w:val="24"/>
              </w:rPr>
              <w:t>, оператором которой является уполномоченное учреждение в сфере закупок Новосибирской области.</w:t>
            </w:r>
          </w:p>
          <w:p w14:paraId="0A8352CA" w14:textId="77777777" w:rsidR="003F4CF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t>ГИСЗ НСО</w:t>
            </w:r>
            <w:r>
              <w:rPr>
                <w:rFonts w:ascii="Times New Roman" w:hAnsi="Times New Roman" w:cs="Times New Roman"/>
                <w:sz w:val="24"/>
                <w:szCs w:val="24"/>
              </w:rPr>
              <w:t xml:space="preserve"> создана в целях информационного обеспечения контрактной системы в сфере закупок товаров, работ, услуг для обеспечения государственных и муниципальных нужд Новосибирской области, оптимизации процесса закупок, усиления финансовой дисциплины и оптимизации расходов областного бюджета Новосибирской области, усиления контроля за постановкой на учет бюджетных обязательств, обеспечения прозрачности информации о контрактной системе в сфере закупок, информационного взаимодействия участников контрактной системы в сфере закупок.</w:t>
            </w:r>
          </w:p>
          <w:p w14:paraId="6B0BCA33" w14:textId="77777777" w:rsidR="003F4CFF" w:rsidRDefault="003F4CFF" w:rsidP="003F4CFF">
            <w:pPr>
              <w:jc w:val="both"/>
              <w:rPr>
                <w:rFonts w:ascii="Times New Roman" w:hAnsi="Times New Roman" w:cs="Times New Roman"/>
                <w:sz w:val="24"/>
                <w:szCs w:val="24"/>
              </w:rPr>
            </w:pPr>
            <w:r>
              <w:rPr>
                <w:rFonts w:ascii="Times New Roman" w:hAnsi="Times New Roman" w:cs="Times New Roman"/>
                <w:sz w:val="24"/>
                <w:szCs w:val="24"/>
              </w:rPr>
              <w:t xml:space="preserve">В </w:t>
            </w:r>
            <w:r w:rsidRPr="00E3698F">
              <w:rPr>
                <w:rFonts w:ascii="Times New Roman" w:hAnsi="Times New Roman" w:cs="Times New Roman"/>
                <w:sz w:val="24"/>
                <w:szCs w:val="24"/>
              </w:rPr>
              <w:t>ГИСЗ НСО</w:t>
            </w:r>
            <w:r>
              <w:rPr>
                <w:rFonts w:ascii="Times New Roman" w:hAnsi="Times New Roman" w:cs="Times New Roman"/>
                <w:sz w:val="24"/>
                <w:szCs w:val="24"/>
              </w:rPr>
              <w:t xml:space="preserve"> представлены различные информационные материалы в сфере закупок, предусмотрена возможность общественного обсуждения закупок, представлены различные аналитические материалы, графики проведения закупок, электронный магазин и др.</w:t>
            </w:r>
          </w:p>
          <w:p w14:paraId="3E58F6EC" w14:textId="77777777" w:rsidR="003F4CFF" w:rsidRPr="00E3698F" w:rsidRDefault="003F4CFF" w:rsidP="003F4CFF">
            <w:pPr>
              <w:jc w:val="both"/>
              <w:rPr>
                <w:rFonts w:ascii="Times New Roman" w:hAnsi="Times New Roman" w:cs="Times New Roman"/>
                <w:sz w:val="24"/>
                <w:szCs w:val="24"/>
              </w:rPr>
            </w:pPr>
            <w:r>
              <w:rPr>
                <w:rFonts w:ascii="Times New Roman" w:hAnsi="Times New Roman" w:cs="Times New Roman"/>
                <w:sz w:val="24"/>
                <w:szCs w:val="24"/>
              </w:rPr>
              <w:t>У</w:t>
            </w:r>
            <w:r w:rsidRPr="00E3698F">
              <w:rPr>
                <w:rFonts w:ascii="Times New Roman" w:hAnsi="Times New Roman" w:cs="Times New Roman"/>
                <w:sz w:val="24"/>
                <w:szCs w:val="24"/>
              </w:rPr>
              <w:t>полномоченным учреждением на постоянной основе проводятся обучающие мероприятия, включая очные и очно-заочные курсы повышения квалификации, профессиональной переподготовки, а также семинары для малого и среднего бизнеса по участию в закупках для обеспечения государственных и муниципальных нужд. Вместе с тем в целях повышения доступности участия в закупках в 2019 году при поддержке контрольного управления Новосибирской области для потенциальных поставщиков (подрядчиков, исполнителей) было организовано обучение представителями электронных площадок.</w:t>
            </w:r>
          </w:p>
          <w:p w14:paraId="760580E4" w14:textId="77777777" w:rsidR="003F4CFF" w:rsidRPr="00E3698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t>Новостной блок ГИСЗ НСО регулярно обновляется и содержит важную информацию об изменениях федерального и регионального законодательства, а также подзаконных нормативных правовых актов о контрактной системе в сфере закупок.</w:t>
            </w:r>
          </w:p>
        </w:tc>
      </w:tr>
      <w:tr w:rsidR="003F4CFF" w:rsidRPr="00C03A12" w14:paraId="702797B5" w14:textId="77777777" w:rsidTr="009A18FC">
        <w:tc>
          <w:tcPr>
            <w:tcW w:w="431" w:type="pct"/>
            <w:vMerge/>
            <w:tcBorders>
              <w:left w:val="single" w:sz="4" w:space="0" w:color="auto"/>
              <w:right w:val="single" w:sz="4" w:space="0" w:color="auto"/>
            </w:tcBorders>
            <w:shd w:val="clear" w:color="auto" w:fill="FFFFFF" w:themeFill="background1"/>
          </w:tcPr>
          <w:p w14:paraId="33675A9F" w14:textId="77777777" w:rsidR="003F4CFF" w:rsidRPr="00E3698F"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shd w:val="clear" w:color="auto" w:fill="FFFFFF" w:themeFill="background1"/>
          </w:tcPr>
          <w:p w14:paraId="1F0C4740" w14:textId="77777777" w:rsidR="003F4CFF" w:rsidRPr="00E3698F" w:rsidRDefault="003F4CFF" w:rsidP="003F4CFF">
            <w:pPr>
              <w:rPr>
                <w:rFonts w:ascii="Times New Roman" w:hAnsi="Times New Roman" w:cs="Times New Roman"/>
                <w:sz w:val="24"/>
                <w:szCs w:val="24"/>
              </w:rPr>
            </w:pPr>
            <w:r w:rsidRPr="00E3698F">
              <w:rPr>
                <w:rFonts w:ascii="Times New Roman" w:hAnsi="Times New Roman" w:cs="Times New Roman"/>
                <w:sz w:val="24"/>
                <w:szCs w:val="24"/>
              </w:rPr>
              <w:t>Ресурсы, привлеченные для ее реализации</w:t>
            </w:r>
          </w:p>
          <w:p w14:paraId="351632A6" w14:textId="77777777" w:rsidR="003F4CFF" w:rsidRPr="00E3698F" w:rsidRDefault="003F4CFF" w:rsidP="003F4CFF">
            <w:pPr>
              <w:jc w:val="both"/>
              <w:rPr>
                <w:rFonts w:ascii="Times New Roman" w:hAnsi="Times New Roman" w:cs="Times New Roman"/>
                <w:sz w:val="24"/>
                <w:szCs w:val="24"/>
              </w:rPr>
            </w:pPr>
          </w:p>
        </w:tc>
        <w:tc>
          <w:tcPr>
            <w:tcW w:w="3383" w:type="pct"/>
            <w:tcBorders>
              <w:top w:val="single" w:sz="4" w:space="0" w:color="auto"/>
              <w:left w:val="single" w:sz="4" w:space="0" w:color="auto"/>
              <w:bottom w:val="single" w:sz="4" w:space="0" w:color="auto"/>
              <w:right w:val="single" w:sz="4" w:space="0" w:color="auto"/>
            </w:tcBorders>
            <w:shd w:val="clear" w:color="auto" w:fill="FFFFFF" w:themeFill="background1"/>
          </w:tcPr>
          <w:p w14:paraId="2FA1E053" w14:textId="77777777" w:rsidR="003F4CFF" w:rsidRPr="00E3698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lastRenderedPageBreak/>
              <w:t xml:space="preserve">Обучающие мероприятия проводятся на территории уполномоченного учреждения в сфере закупок Новосибирской области с привлечением штатных сотрудников уполномоченного </w:t>
            </w:r>
            <w:r w:rsidRPr="00E3698F">
              <w:rPr>
                <w:rFonts w:ascii="Times New Roman" w:hAnsi="Times New Roman" w:cs="Times New Roman"/>
                <w:sz w:val="24"/>
                <w:szCs w:val="24"/>
              </w:rPr>
              <w:lastRenderedPageBreak/>
              <w:t xml:space="preserve">учреждения в сфере закупок. Представители электронных площадок осуществляют обучение на безвозмездной основе. </w:t>
            </w:r>
          </w:p>
        </w:tc>
      </w:tr>
      <w:tr w:rsidR="003F4CFF" w:rsidRPr="00C03A12" w14:paraId="401AD6D0" w14:textId="77777777" w:rsidTr="009A18FC">
        <w:tc>
          <w:tcPr>
            <w:tcW w:w="431" w:type="pct"/>
            <w:vMerge/>
            <w:tcBorders>
              <w:left w:val="single" w:sz="4" w:space="0" w:color="auto"/>
              <w:right w:val="single" w:sz="4" w:space="0" w:color="auto"/>
            </w:tcBorders>
            <w:shd w:val="clear" w:color="auto" w:fill="FFFFFF" w:themeFill="background1"/>
          </w:tcPr>
          <w:p w14:paraId="39F3E680" w14:textId="77777777" w:rsidR="003F4CFF" w:rsidRPr="00E3698F"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shd w:val="clear" w:color="auto" w:fill="FFFFFF" w:themeFill="background1"/>
          </w:tcPr>
          <w:p w14:paraId="5CDE9E21" w14:textId="77777777" w:rsidR="003F4CFF" w:rsidRPr="00E3698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t>Описание результата</w:t>
            </w:r>
          </w:p>
        </w:tc>
        <w:tc>
          <w:tcPr>
            <w:tcW w:w="3383" w:type="pct"/>
            <w:tcBorders>
              <w:top w:val="single" w:sz="4" w:space="0" w:color="auto"/>
              <w:left w:val="single" w:sz="4" w:space="0" w:color="auto"/>
              <w:bottom w:val="single" w:sz="4" w:space="0" w:color="auto"/>
              <w:right w:val="single" w:sz="4" w:space="0" w:color="auto"/>
            </w:tcBorders>
            <w:shd w:val="clear" w:color="auto" w:fill="FFFFFF" w:themeFill="background1"/>
          </w:tcPr>
          <w:p w14:paraId="63654BD3" w14:textId="77777777" w:rsidR="003F4CFF" w:rsidRPr="00E3698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t xml:space="preserve">Подготовка методических рекомендаций, обучающих материалов, новостных статьей и проведение обучающих мероприятий осуществляется штатными сотрудниками уполномоченного учреждения в сфере закупок – практикующими закупщиками, имеющими ежедневный опыт работы с региональной информационной системой в сфере закупок и единой информационной системой в сфере закупок, а также ежедневно нарабатывающими опыт в разработке закупочной документации и соблюдении требований законодательства в сфере контрактной системы и отслеживающими изменения Закона о контрактной системе и подзаконных актов </w:t>
            </w:r>
          </w:p>
        </w:tc>
      </w:tr>
      <w:tr w:rsidR="003F4CFF" w:rsidRPr="00C03A12" w14:paraId="075776CF" w14:textId="77777777" w:rsidTr="009A18FC">
        <w:tc>
          <w:tcPr>
            <w:tcW w:w="431" w:type="pct"/>
            <w:vMerge/>
            <w:tcBorders>
              <w:left w:val="single" w:sz="4" w:space="0" w:color="auto"/>
              <w:bottom w:val="single" w:sz="4" w:space="0" w:color="auto"/>
              <w:right w:val="single" w:sz="4" w:space="0" w:color="auto"/>
            </w:tcBorders>
            <w:shd w:val="clear" w:color="auto" w:fill="FFFFFF" w:themeFill="background1"/>
          </w:tcPr>
          <w:p w14:paraId="60AFB863" w14:textId="77777777" w:rsidR="003F4CFF" w:rsidRPr="00E3698F"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shd w:val="clear" w:color="auto" w:fill="FFFFFF" w:themeFill="background1"/>
          </w:tcPr>
          <w:p w14:paraId="50418B1A" w14:textId="77777777" w:rsidR="003F4CFF" w:rsidRPr="00E3698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t>Значение количественного (качественного) показателя результата</w:t>
            </w:r>
          </w:p>
        </w:tc>
        <w:tc>
          <w:tcPr>
            <w:tcW w:w="3383" w:type="pct"/>
            <w:tcBorders>
              <w:top w:val="single" w:sz="4" w:space="0" w:color="auto"/>
              <w:left w:val="single" w:sz="4" w:space="0" w:color="auto"/>
              <w:bottom w:val="single" w:sz="4" w:space="0" w:color="auto"/>
              <w:right w:val="single" w:sz="4" w:space="0" w:color="auto"/>
            </w:tcBorders>
            <w:shd w:val="clear" w:color="auto" w:fill="FFFFFF" w:themeFill="background1"/>
          </w:tcPr>
          <w:p w14:paraId="7D8235D0" w14:textId="77777777" w:rsidR="003F4CFF" w:rsidRPr="00E3698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t>В 2019 году бесплатные семинары посетили 70 представителей субъектов малого предпринимательства.</w:t>
            </w:r>
          </w:p>
        </w:tc>
      </w:tr>
      <w:tr w:rsidR="003F4CFF" w:rsidRPr="00C03A12" w14:paraId="2174025D" w14:textId="77777777" w:rsidTr="009A18FC">
        <w:tc>
          <w:tcPr>
            <w:tcW w:w="431" w:type="pct"/>
            <w:vMerge w:val="restart"/>
            <w:tcBorders>
              <w:top w:val="single" w:sz="4" w:space="0" w:color="auto"/>
              <w:left w:val="single" w:sz="4" w:space="0" w:color="auto"/>
              <w:right w:val="single" w:sz="4" w:space="0" w:color="auto"/>
            </w:tcBorders>
            <w:shd w:val="clear" w:color="auto" w:fill="FFFFFF" w:themeFill="background1"/>
          </w:tcPr>
          <w:p w14:paraId="41759B9F" w14:textId="77777777" w:rsidR="003F4CFF" w:rsidRPr="00E3698F" w:rsidRDefault="003F4CFF" w:rsidP="003F4CFF">
            <w:pPr>
              <w:rPr>
                <w:rFonts w:ascii="Times New Roman" w:hAnsi="Times New Roman" w:cs="Times New Roman"/>
                <w:sz w:val="24"/>
                <w:szCs w:val="24"/>
              </w:rPr>
            </w:pPr>
            <w:r>
              <w:rPr>
                <w:rFonts w:ascii="Times New Roman" w:hAnsi="Times New Roman" w:cs="Times New Roman"/>
                <w:sz w:val="24"/>
                <w:szCs w:val="24"/>
              </w:rPr>
              <w:t>2.</w:t>
            </w:r>
          </w:p>
        </w:tc>
        <w:tc>
          <w:tcPr>
            <w:tcW w:w="1186"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57DFF3FC" w14:textId="77777777" w:rsidR="003F4CFF" w:rsidRPr="009342F5" w:rsidRDefault="003F4CFF" w:rsidP="003F4CFF">
            <w:pPr>
              <w:jc w:val="both"/>
              <w:rPr>
                <w:rFonts w:ascii="Times New Roman" w:hAnsi="Times New Roman" w:cs="Times New Roman"/>
                <w:sz w:val="24"/>
                <w:szCs w:val="24"/>
              </w:rPr>
            </w:pPr>
            <w:r w:rsidRPr="009342F5">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3383"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459FE07D" w14:textId="77777777" w:rsidR="003F4CFF" w:rsidRPr="009342F5" w:rsidRDefault="003F4CFF" w:rsidP="003F4CFF">
            <w:pPr>
              <w:jc w:val="both"/>
              <w:rPr>
                <w:rFonts w:ascii="Times New Roman" w:hAnsi="Times New Roman" w:cs="Times New Roman"/>
                <w:sz w:val="24"/>
                <w:szCs w:val="24"/>
              </w:rPr>
            </w:pPr>
            <w:r w:rsidRPr="009342F5">
              <w:rPr>
                <w:rFonts w:ascii="Times New Roman" w:hAnsi="Times New Roman" w:cs="Times New Roman"/>
                <w:sz w:val="24"/>
                <w:szCs w:val="24"/>
              </w:rPr>
              <w:t xml:space="preserve">Обеспечение доступа малого и среднего предпринимательства к закупкам </w:t>
            </w:r>
            <w:r w:rsidRPr="000C0CDC">
              <w:rPr>
                <w:rFonts w:ascii="Times New Roman" w:hAnsi="Times New Roman" w:cs="Times New Roman"/>
                <w:sz w:val="24"/>
                <w:szCs w:val="24"/>
              </w:rPr>
              <w:t>(Республика Татарстан)</w:t>
            </w:r>
          </w:p>
        </w:tc>
      </w:tr>
      <w:tr w:rsidR="003F4CFF" w:rsidRPr="00C03A12" w14:paraId="6D38BE07" w14:textId="77777777" w:rsidTr="009A18FC">
        <w:tc>
          <w:tcPr>
            <w:tcW w:w="431" w:type="pct"/>
            <w:vMerge/>
            <w:tcBorders>
              <w:left w:val="single" w:sz="4" w:space="0" w:color="auto"/>
              <w:right w:val="single" w:sz="4" w:space="0" w:color="auto"/>
            </w:tcBorders>
            <w:shd w:val="clear" w:color="auto" w:fill="FFFFFF" w:themeFill="background1"/>
          </w:tcPr>
          <w:p w14:paraId="7A8B7349" w14:textId="77777777" w:rsidR="003F4CFF" w:rsidRPr="00E3698F"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shd w:val="clear" w:color="auto" w:fill="FFFFFF" w:themeFill="background1"/>
          </w:tcPr>
          <w:p w14:paraId="52D2BEFD" w14:textId="77777777" w:rsidR="003F4CFF" w:rsidRPr="009342F5" w:rsidRDefault="003F4CFF" w:rsidP="003F4CFF">
            <w:pPr>
              <w:jc w:val="both"/>
              <w:rPr>
                <w:rFonts w:ascii="Times New Roman" w:hAnsi="Times New Roman" w:cs="Times New Roman"/>
                <w:sz w:val="24"/>
                <w:szCs w:val="24"/>
              </w:rPr>
            </w:pPr>
            <w:r w:rsidRPr="009342F5">
              <w:rPr>
                <w:rFonts w:ascii="Times New Roman" w:hAnsi="Times New Roman" w:cs="Times New Roman"/>
                <w:sz w:val="24"/>
                <w:szCs w:val="24"/>
              </w:rPr>
              <w:t>Краткое описание успешной практики</w:t>
            </w:r>
          </w:p>
        </w:tc>
        <w:tc>
          <w:tcPr>
            <w:tcW w:w="3383" w:type="pct"/>
            <w:tcBorders>
              <w:top w:val="single" w:sz="4" w:space="0" w:color="auto"/>
              <w:left w:val="single" w:sz="4" w:space="0" w:color="auto"/>
              <w:bottom w:val="single" w:sz="4" w:space="0" w:color="auto"/>
              <w:right w:val="single" w:sz="4" w:space="0" w:color="auto"/>
            </w:tcBorders>
            <w:shd w:val="clear" w:color="auto" w:fill="FFFFFF" w:themeFill="background1"/>
          </w:tcPr>
          <w:p w14:paraId="79F5D955" w14:textId="77777777" w:rsidR="003F4CFF" w:rsidRPr="007A35C4" w:rsidRDefault="003F4CFF" w:rsidP="003F4CFF">
            <w:pPr>
              <w:jc w:val="both"/>
              <w:rPr>
                <w:rFonts w:ascii="Times New Roman" w:hAnsi="Times New Roman" w:cs="Times New Roman"/>
                <w:sz w:val="24"/>
                <w:szCs w:val="24"/>
              </w:rPr>
            </w:pPr>
            <w:r w:rsidRPr="009342F5">
              <w:rPr>
                <w:rFonts w:ascii="Times New Roman" w:hAnsi="Times New Roman" w:cs="Times New Roman"/>
                <w:sz w:val="24"/>
                <w:szCs w:val="24"/>
              </w:rPr>
              <w:t>В Новосибирской области действует государственная информационная система в сфере закупок Новосибирской области (далее – ГИСЗ НСО)</w:t>
            </w:r>
            <w:r>
              <w:rPr>
                <w:rFonts w:ascii="Times New Roman" w:hAnsi="Times New Roman" w:cs="Times New Roman"/>
                <w:sz w:val="24"/>
                <w:szCs w:val="24"/>
              </w:rPr>
              <w:t xml:space="preserve"> </w:t>
            </w:r>
            <w:hyperlink r:id="rId245" w:history="1">
              <w:r w:rsidRPr="007A35C4">
                <w:rPr>
                  <w:rStyle w:val="a3"/>
                  <w:rFonts w:ascii="Times New Roman" w:hAnsi="Times New Roman" w:cs="Times New Roman"/>
                  <w:sz w:val="24"/>
                  <w:szCs w:val="24"/>
                </w:rPr>
                <w:t>https://zakupki.nso.ru/interaktivnaya-karta-zakupok-novosibirskoj-oblasti/</w:t>
              </w:r>
            </w:hyperlink>
            <w:r w:rsidRPr="007A35C4">
              <w:rPr>
                <w:rFonts w:ascii="Times New Roman" w:hAnsi="Times New Roman" w:cs="Times New Roman"/>
                <w:sz w:val="24"/>
                <w:szCs w:val="24"/>
              </w:rPr>
              <w:t>,</w:t>
            </w:r>
            <w:r w:rsidRPr="009342F5">
              <w:rPr>
                <w:rFonts w:ascii="Times New Roman" w:hAnsi="Times New Roman" w:cs="Times New Roman"/>
                <w:sz w:val="24"/>
                <w:szCs w:val="24"/>
              </w:rPr>
              <w:t xml:space="preserve"> интегрированная с электронным сервисом закупок малого объема «Электронный магазин Новосибирской области»</w:t>
            </w:r>
            <w:r>
              <w:rPr>
                <w:rFonts w:ascii="Times New Roman" w:hAnsi="Times New Roman" w:cs="Times New Roman"/>
                <w:sz w:val="24"/>
                <w:szCs w:val="24"/>
              </w:rPr>
              <w:t xml:space="preserve"> </w:t>
            </w:r>
            <w:hyperlink r:id="rId246" w:history="1">
              <w:r w:rsidRPr="007A35C4">
                <w:rPr>
                  <w:rStyle w:val="a3"/>
                  <w:rFonts w:ascii="Times New Roman" w:hAnsi="Times New Roman" w:cs="Times New Roman"/>
                  <w:sz w:val="24"/>
                  <w:szCs w:val="24"/>
                </w:rPr>
                <w:t>https://novobl-zmo.rts-tender.ru/</w:t>
              </w:r>
            </w:hyperlink>
            <w:r w:rsidRPr="007A35C4">
              <w:rPr>
                <w:rFonts w:ascii="Times New Roman" w:hAnsi="Times New Roman" w:cs="Times New Roman"/>
                <w:sz w:val="24"/>
                <w:szCs w:val="24"/>
              </w:rPr>
              <w:t>.</w:t>
            </w:r>
            <w:r w:rsidRPr="009342F5">
              <w:rPr>
                <w:rFonts w:ascii="Times New Roman" w:hAnsi="Times New Roman" w:cs="Times New Roman"/>
                <w:sz w:val="24"/>
                <w:szCs w:val="24"/>
              </w:rPr>
              <w:t xml:space="preserve"> Также, в том числе в целях поддержки субъектов малого и среднего предпринимательства Новосибирской области, в ГИСЗ НСО реализованы и функционируют интерактивные карты планируемых</w:t>
            </w:r>
            <w:r>
              <w:rPr>
                <w:rFonts w:ascii="Times New Roman" w:hAnsi="Times New Roman" w:cs="Times New Roman"/>
                <w:sz w:val="24"/>
                <w:szCs w:val="24"/>
              </w:rPr>
              <w:t xml:space="preserve"> </w:t>
            </w:r>
            <w:hyperlink r:id="rId247" w:history="1">
              <w:r w:rsidRPr="007A35C4">
                <w:rPr>
                  <w:rStyle w:val="a3"/>
                  <w:rFonts w:ascii="Times New Roman" w:hAnsi="Times New Roman" w:cs="Times New Roman"/>
                  <w:sz w:val="24"/>
                  <w:szCs w:val="24"/>
                </w:rPr>
                <w:t>https://zakupki.nso.ru/interaktivnaya-karta-planiruemyh-zakupok/</w:t>
              </w:r>
            </w:hyperlink>
            <w:r w:rsidRPr="007A35C4">
              <w:rPr>
                <w:rFonts w:ascii="Times New Roman" w:hAnsi="Times New Roman" w:cs="Times New Roman"/>
                <w:sz w:val="24"/>
                <w:szCs w:val="24"/>
              </w:rPr>
              <w:t xml:space="preserve"> и опубликованных закупок</w:t>
            </w:r>
            <w:hyperlink r:id="rId248" w:history="1">
              <w:r w:rsidRPr="007A35C4">
                <w:rPr>
                  <w:rStyle w:val="a3"/>
                  <w:rFonts w:ascii="Times New Roman" w:hAnsi="Times New Roman" w:cs="Times New Roman"/>
                  <w:sz w:val="24"/>
                  <w:szCs w:val="24"/>
                </w:rPr>
                <w:t>https://zakupki.nso.ru/interaktivnaya-karta-zakupok-novosibirskoj-oblasti/</w:t>
              </w:r>
            </w:hyperlink>
            <w:r w:rsidRPr="007A35C4">
              <w:rPr>
                <w:rFonts w:ascii="Times New Roman" w:hAnsi="Times New Roman" w:cs="Times New Roman"/>
                <w:sz w:val="24"/>
                <w:szCs w:val="24"/>
              </w:rPr>
              <w:t xml:space="preserve">. </w:t>
            </w:r>
          </w:p>
          <w:p w14:paraId="679F8185" w14:textId="77777777" w:rsidR="003F4CFF" w:rsidRPr="009342F5" w:rsidRDefault="003F4CFF" w:rsidP="003F4CFF">
            <w:pPr>
              <w:jc w:val="both"/>
              <w:rPr>
                <w:rFonts w:ascii="Times New Roman" w:hAnsi="Times New Roman" w:cs="Times New Roman"/>
                <w:sz w:val="24"/>
                <w:szCs w:val="24"/>
              </w:rPr>
            </w:pPr>
            <w:r w:rsidRPr="009342F5">
              <w:rPr>
                <w:rFonts w:ascii="Times New Roman" w:hAnsi="Times New Roman" w:cs="Times New Roman"/>
                <w:sz w:val="24"/>
                <w:szCs w:val="24"/>
              </w:rPr>
              <w:t xml:space="preserve">Кроме того, ГИСЗ НСО содержит комплекс аналитических инструментов для изучения структуры государственных и муниципальных закупок Новосибирской области, в том числе по видам закупаемых товаров, работ, услуг, по объемам закупок, по доле закупок у субъектов малого предпринимательства. Новостной блок ГИСЗ НСО регулярно обновляется и содержит важную информацию об изменениях федерального и регионального законодательства, а также подзаконных нормативных правовых актов о контрактной системе в сфере закупок. </w:t>
            </w:r>
          </w:p>
        </w:tc>
      </w:tr>
      <w:tr w:rsidR="003F4CFF" w:rsidRPr="00C03A12" w14:paraId="6883601F" w14:textId="77777777" w:rsidTr="009A18FC">
        <w:tc>
          <w:tcPr>
            <w:tcW w:w="431" w:type="pct"/>
            <w:vMerge/>
            <w:tcBorders>
              <w:left w:val="single" w:sz="4" w:space="0" w:color="auto"/>
              <w:right w:val="single" w:sz="4" w:space="0" w:color="auto"/>
            </w:tcBorders>
            <w:shd w:val="clear" w:color="auto" w:fill="FFFFFF" w:themeFill="background1"/>
          </w:tcPr>
          <w:p w14:paraId="34DF1645" w14:textId="77777777" w:rsidR="003F4CFF" w:rsidRPr="00E3698F"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shd w:val="clear" w:color="auto" w:fill="FFFFFF" w:themeFill="background1"/>
          </w:tcPr>
          <w:p w14:paraId="6D661521" w14:textId="77777777" w:rsidR="003F4CFF" w:rsidRPr="009342F5" w:rsidRDefault="003F4CFF" w:rsidP="003F4CFF">
            <w:pPr>
              <w:rPr>
                <w:rFonts w:ascii="Times New Roman" w:hAnsi="Times New Roman" w:cs="Times New Roman"/>
                <w:sz w:val="24"/>
                <w:szCs w:val="24"/>
              </w:rPr>
            </w:pPr>
            <w:r w:rsidRPr="009342F5">
              <w:rPr>
                <w:rFonts w:ascii="Times New Roman" w:hAnsi="Times New Roman" w:cs="Times New Roman"/>
                <w:sz w:val="24"/>
                <w:szCs w:val="24"/>
              </w:rPr>
              <w:t>Ресурсы, привлеченные для ее реализации</w:t>
            </w:r>
          </w:p>
          <w:p w14:paraId="00457872" w14:textId="77777777" w:rsidR="003F4CFF" w:rsidRPr="009342F5" w:rsidRDefault="003F4CFF" w:rsidP="003F4CFF">
            <w:pPr>
              <w:jc w:val="both"/>
              <w:rPr>
                <w:rFonts w:ascii="Times New Roman" w:hAnsi="Times New Roman" w:cs="Times New Roman"/>
                <w:sz w:val="24"/>
                <w:szCs w:val="24"/>
              </w:rPr>
            </w:pPr>
          </w:p>
        </w:tc>
        <w:tc>
          <w:tcPr>
            <w:tcW w:w="3383" w:type="pct"/>
            <w:tcBorders>
              <w:top w:val="single" w:sz="4" w:space="0" w:color="auto"/>
              <w:left w:val="single" w:sz="4" w:space="0" w:color="auto"/>
              <w:bottom w:val="single" w:sz="4" w:space="0" w:color="auto"/>
              <w:right w:val="single" w:sz="4" w:space="0" w:color="auto"/>
            </w:tcBorders>
            <w:shd w:val="clear" w:color="auto" w:fill="FFFFFF" w:themeFill="background1"/>
          </w:tcPr>
          <w:p w14:paraId="042A5ECC" w14:textId="77777777" w:rsidR="003F4CFF" w:rsidRPr="009342F5" w:rsidRDefault="003F4CFF" w:rsidP="003F4CFF">
            <w:pPr>
              <w:jc w:val="both"/>
              <w:rPr>
                <w:rFonts w:ascii="Times New Roman" w:hAnsi="Times New Roman" w:cs="Times New Roman"/>
                <w:sz w:val="24"/>
                <w:szCs w:val="24"/>
              </w:rPr>
            </w:pPr>
            <w:r w:rsidRPr="009342F5">
              <w:rPr>
                <w:rFonts w:ascii="Times New Roman" w:hAnsi="Times New Roman" w:cs="Times New Roman"/>
                <w:sz w:val="24"/>
                <w:szCs w:val="24"/>
              </w:rPr>
              <w:t xml:space="preserve">Разработка сервиса электронного магазина осуществлялась на безвозмездной основе за счет владельца электронной торговой площадки на платформе которой реализован сервис. Потребовалось привлечение разработчика региональной информационной системы в сфере закупок для интеграции с сервисом электронного магазина. Указанная интеграция производилась в рамках контракта по ежегодному техническому сопровождению региональной информационной системы в сфере закупок и дополнительных расходов бюджета на ее реализацию не привлекалось. Разработка аналитических отчетов и интерактивных карт осуществлялась в рамках государственных контрактов по развитию и модернизации подсистемы анализа региональной информационной системы в сфере закупок. </w:t>
            </w:r>
          </w:p>
        </w:tc>
      </w:tr>
      <w:tr w:rsidR="003F4CFF" w:rsidRPr="00C03A12" w14:paraId="53B37BBD" w14:textId="77777777" w:rsidTr="009A18FC">
        <w:tc>
          <w:tcPr>
            <w:tcW w:w="431" w:type="pct"/>
            <w:vMerge/>
            <w:tcBorders>
              <w:left w:val="single" w:sz="4" w:space="0" w:color="auto"/>
              <w:right w:val="single" w:sz="4" w:space="0" w:color="auto"/>
            </w:tcBorders>
            <w:shd w:val="clear" w:color="auto" w:fill="FFFFFF" w:themeFill="background1"/>
          </w:tcPr>
          <w:p w14:paraId="130B6D53" w14:textId="77777777" w:rsidR="003F4CFF" w:rsidRPr="00E3698F"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shd w:val="clear" w:color="auto" w:fill="FFFFFF" w:themeFill="background1"/>
          </w:tcPr>
          <w:p w14:paraId="386DD79A" w14:textId="77777777" w:rsidR="003F4CFF" w:rsidRPr="009342F5" w:rsidRDefault="003F4CFF" w:rsidP="003F4CFF">
            <w:pPr>
              <w:jc w:val="both"/>
              <w:rPr>
                <w:rFonts w:ascii="Times New Roman" w:hAnsi="Times New Roman" w:cs="Times New Roman"/>
                <w:sz w:val="24"/>
                <w:szCs w:val="24"/>
              </w:rPr>
            </w:pPr>
            <w:r w:rsidRPr="009342F5">
              <w:rPr>
                <w:rFonts w:ascii="Times New Roman" w:hAnsi="Times New Roman" w:cs="Times New Roman"/>
                <w:sz w:val="24"/>
                <w:szCs w:val="24"/>
              </w:rPr>
              <w:t>Описание результата</w:t>
            </w:r>
          </w:p>
        </w:tc>
        <w:tc>
          <w:tcPr>
            <w:tcW w:w="3383" w:type="pct"/>
            <w:tcBorders>
              <w:top w:val="single" w:sz="4" w:space="0" w:color="auto"/>
              <w:left w:val="single" w:sz="4" w:space="0" w:color="auto"/>
              <w:bottom w:val="single" w:sz="4" w:space="0" w:color="auto"/>
              <w:right w:val="single" w:sz="4" w:space="0" w:color="auto"/>
            </w:tcBorders>
            <w:shd w:val="clear" w:color="auto" w:fill="FFFFFF" w:themeFill="background1"/>
          </w:tcPr>
          <w:p w14:paraId="68F50F9A" w14:textId="77777777" w:rsidR="003F4CFF" w:rsidRPr="009342F5" w:rsidRDefault="003F4CFF" w:rsidP="003F4CFF">
            <w:pPr>
              <w:jc w:val="both"/>
              <w:rPr>
                <w:rFonts w:ascii="Times New Roman" w:hAnsi="Times New Roman" w:cs="Times New Roman"/>
                <w:sz w:val="24"/>
                <w:szCs w:val="24"/>
              </w:rPr>
            </w:pPr>
            <w:r w:rsidRPr="009342F5">
              <w:rPr>
                <w:rFonts w:ascii="Times New Roman" w:hAnsi="Times New Roman" w:cs="Times New Roman"/>
                <w:sz w:val="24"/>
                <w:szCs w:val="24"/>
              </w:rPr>
              <w:t>«Электронный магазин Нов</w:t>
            </w:r>
            <w:r>
              <w:rPr>
                <w:rFonts w:ascii="Times New Roman" w:hAnsi="Times New Roman" w:cs="Times New Roman"/>
                <w:sz w:val="24"/>
                <w:szCs w:val="24"/>
              </w:rPr>
              <w:t>осибирской области»</w:t>
            </w:r>
            <w:r w:rsidRPr="009342F5">
              <w:rPr>
                <w:rFonts w:ascii="Times New Roman" w:hAnsi="Times New Roman" w:cs="Times New Roman"/>
                <w:sz w:val="24"/>
                <w:szCs w:val="24"/>
              </w:rPr>
              <w:t xml:space="preserve"> позволяет начинающим предпринимателям адаптироваться к электронной форме торгов без усиленных требований к участнику и его заявке на участие.</w:t>
            </w:r>
          </w:p>
          <w:p w14:paraId="1C646CED" w14:textId="77777777" w:rsidR="003F4CFF" w:rsidRPr="009342F5" w:rsidRDefault="003F4CFF" w:rsidP="003F4CFF">
            <w:pPr>
              <w:jc w:val="both"/>
              <w:rPr>
                <w:rFonts w:ascii="Times New Roman" w:hAnsi="Times New Roman" w:cs="Times New Roman"/>
                <w:sz w:val="24"/>
                <w:szCs w:val="24"/>
              </w:rPr>
            </w:pPr>
            <w:r w:rsidRPr="009342F5">
              <w:rPr>
                <w:rFonts w:ascii="Times New Roman" w:hAnsi="Times New Roman" w:cs="Times New Roman"/>
                <w:sz w:val="24"/>
                <w:szCs w:val="24"/>
              </w:rPr>
              <w:t>Интерактивные карты существенно упрощают поиск закупок, позволяют планировать и эффективно выстраивать логистику исходя из территориального расположения заказчика. Внедрение интерактивных карт закупок Новосибирской области внесено в реестр передовых практик реализации норм законодательства в сфере осуществления закупок ООО «Гильдия отечественных закупщиков и специалистов по закупкам и продажам».</w:t>
            </w:r>
          </w:p>
        </w:tc>
      </w:tr>
      <w:tr w:rsidR="003F4CFF" w:rsidRPr="00C03A12" w14:paraId="7FB181ED" w14:textId="77777777" w:rsidTr="009A18FC">
        <w:tc>
          <w:tcPr>
            <w:tcW w:w="431" w:type="pct"/>
            <w:vMerge/>
            <w:tcBorders>
              <w:left w:val="single" w:sz="4" w:space="0" w:color="auto"/>
              <w:bottom w:val="single" w:sz="4" w:space="0" w:color="auto"/>
              <w:right w:val="single" w:sz="4" w:space="0" w:color="auto"/>
            </w:tcBorders>
            <w:shd w:val="clear" w:color="auto" w:fill="FFFFFF" w:themeFill="background1"/>
          </w:tcPr>
          <w:p w14:paraId="279EF1FB" w14:textId="77777777" w:rsidR="003F4CFF" w:rsidRPr="00E3698F"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shd w:val="clear" w:color="auto" w:fill="FFFFFF" w:themeFill="background1"/>
          </w:tcPr>
          <w:p w14:paraId="17B5E860" w14:textId="77777777" w:rsidR="003F4CFF" w:rsidRPr="009342F5" w:rsidRDefault="003F4CFF" w:rsidP="003F4CFF">
            <w:pPr>
              <w:jc w:val="both"/>
              <w:rPr>
                <w:rFonts w:ascii="Times New Roman" w:hAnsi="Times New Roman" w:cs="Times New Roman"/>
                <w:sz w:val="24"/>
                <w:szCs w:val="24"/>
              </w:rPr>
            </w:pPr>
            <w:r w:rsidRPr="009342F5">
              <w:rPr>
                <w:rFonts w:ascii="Times New Roman" w:hAnsi="Times New Roman" w:cs="Times New Roman"/>
                <w:sz w:val="24"/>
                <w:szCs w:val="24"/>
              </w:rPr>
              <w:t>Значение количественного (качественного) показателя результата</w:t>
            </w:r>
          </w:p>
        </w:tc>
        <w:tc>
          <w:tcPr>
            <w:tcW w:w="3383" w:type="pct"/>
            <w:tcBorders>
              <w:top w:val="single" w:sz="4" w:space="0" w:color="auto"/>
              <w:left w:val="single" w:sz="4" w:space="0" w:color="auto"/>
              <w:bottom w:val="single" w:sz="4" w:space="0" w:color="auto"/>
              <w:right w:val="single" w:sz="4" w:space="0" w:color="auto"/>
            </w:tcBorders>
            <w:shd w:val="clear" w:color="auto" w:fill="FFFFFF" w:themeFill="background1"/>
          </w:tcPr>
          <w:p w14:paraId="38A07B93" w14:textId="77777777" w:rsidR="003F4CFF" w:rsidRPr="009342F5" w:rsidRDefault="003F4CFF" w:rsidP="003F4CFF">
            <w:pPr>
              <w:jc w:val="both"/>
              <w:rPr>
                <w:rFonts w:ascii="Times New Roman" w:hAnsi="Times New Roman" w:cs="Times New Roman"/>
                <w:sz w:val="24"/>
                <w:szCs w:val="24"/>
              </w:rPr>
            </w:pPr>
            <w:r w:rsidRPr="009342F5">
              <w:rPr>
                <w:rFonts w:ascii="Times New Roman" w:hAnsi="Times New Roman" w:cs="Times New Roman"/>
                <w:sz w:val="24"/>
                <w:szCs w:val="24"/>
              </w:rPr>
              <w:t>В настоящее время в ГИСЗ</w:t>
            </w:r>
            <w:r>
              <w:rPr>
                <w:rFonts w:ascii="Times New Roman" w:hAnsi="Times New Roman" w:cs="Times New Roman"/>
                <w:sz w:val="24"/>
                <w:szCs w:val="24"/>
              </w:rPr>
              <w:t xml:space="preserve"> НСО зарегистрировано порядка 7 </w:t>
            </w:r>
            <w:r w:rsidRPr="009342F5">
              <w:rPr>
                <w:rFonts w:ascii="Times New Roman" w:hAnsi="Times New Roman" w:cs="Times New Roman"/>
                <w:sz w:val="24"/>
                <w:szCs w:val="24"/>
              </w:rPr>
              <w:t xml:space="preserve">тыс. пользователей, кроме того открытыми аналитическими отчетами и поисковыми инструментами по закупкам пользуются незарегистрированные пользователи. </w:t>
            </w:r>
          </w:p>
        </w:tc>
      </w:tr>
      <w:tr w:rsidR="003F4CFF" w:rsidRPr="00C03A12" w14:paraId="3D759283" w14:textId="77777777" w:rsidTr="009A18FC">
        <w:tc>
          <w:tcPr>
            <w:tcW w:w="5000" w:type="pct"/>
            <w:gridSpan w:val="3"/>
            <w:tcBorders>
              <w:top w:val="single" w:sz="4" w:space="0" w:color="auto"/>
              <w:left w:val="single" w:sz="4" w:space="0" w:color="auto"/>
              <w:bottom w:val="single" w:sz="4" w:space="0" w:color="auto"/>
              <w:right w:val="single" w:sz="4" w:space="0" w:color="auto"/>
            </w:tcBorders>
          </w:tcPr>
          <w:p w14:paraId="57D264E5" w14:textId="77777777" w:rsidR="003F4CFF" w:rsidRPr="00F92805" w:rsidRDefault="003F4CFF" w:rsidP="003F4CFF">
            <w:pPr>
              <w:rPr>
                <w:rFonts w:ascii="Times New Roman" w:hAnsi="Times New Roman" w:cs="Times New Roman"/>
                <w:b/>
                <w:sz w:val="24"/>
                <w:szCs w:val="24"/>
              </w:rPr>
            </w:pPr>
            <w:r>
              <w:rPr>
                <w:rFonts w:ascii="Times New Roman" w:hAnsi="Times New Roman" w:cs="Times New Roman"/>
                <w:b/>
                <w:sz w:val="24"/>
                <w:szCs w:val="24"/>
              </w:rPr>
              <w:t>Создание и реализация механизмов общественного контроля за деятельностью субъектов естественных монополий</w:t>
            </w:r>
          </w:p>
        </w:tc>
      </w:tr>
      <w:tr w:rsidR="003F4CFF" w:rsidRPr="00C03A12" w14:paraId="73B7F82A" w14:textId="77777777" w:rsidTr="009A18FC">
        <w:tc>
          <w:tcPr>
            <w:tcW w:w="431" w:type="pct"/>
            <w:vMerge w:val="restart"/>
            <w:tcBorders>
              <w:top w:val="single" w:sz="4" w:space="0" w:color="auto"/>
              <w:left w:val="single" w:sz="4" w:space="0" w:color="auto"/>
              <w:right w:val="single" w:sz="4" w:space="0" w:color="auto"/>
            </w:tcBorders>
          </w:tcPr>
          <w:p w14:paraId="628285F4" w14:textId="77777777" w:rsidR="003F4CFF" w:rsidRPr="00E3698F" w:rsidRDefault="003F4CFF" w:rsidP="003F4CFF">
            <w:pPr>
              <w:rPr>
                <w:rFonts w:ascii="Times New Roman" w:hAnsi="Times New Roman" w:cs="Times New Roman"/>
                <w:sz w:val="24"/>
                <w:szCs w:val="24"/>
              </w:rPr>
            </w:pPr>
            <w:r>
              <w:rPr>
                <w:rFonts w:ascii="Times New Roman" w:hAnsi="Times New Roman" w:cs="Times New Roman"/>
                <w:sz w:val="24"/>
                <w:szCs w:val="24"/>
              </w:rPr>
              <w:t>3</w:t>
            </w:r>
            <w:r w:rsidRPr="00E3698F">
              <w:rPr>
                <w:rFonts w:ascii="Times New Roman" w:hAnsi="Times New Roman" w:cs="Times New Roman"/>
                <w:sz w:val="24"/>
                <w:szCs w:val="24"/>
              </w:rPr>
              <w:t>.</w:t>
            </w:r>
          </w:p>
        </w:tc>
        <w:tc>
          <w:tcPr>
            <w:tcW w:w="1186"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4459BDBA" w14:textId="77777777" w:rsidR="003F4CFF" w:rsidRPr="00E3698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3383"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41D06B7A" w14:textId="77777777" w:rsidR="003F4CFF" w:rsidRPr="00E3698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t>Реализация механизмов общественного контроля за деятельностью субъектов естественных монополий (Создание и реализация механизмов общественного контроля за деятельностью субъектов естественных монополий, Республика Татарстан)</w:t>
            </w:r>
          </w:p>
        </w:tc>
      </w:tr>
      <w:tr w:rsidR="003F4CFF" w:rsidRPr="00C03A12" w14:paraId="41A2CEDA" w14:textId="77777777" w:rsidTr="009A18FC">
        <w:tc>
          <w:tcPr>
            <w:tcW w:w="431" w:type="pct"/>
            <w:vMerge/>
            <w:tcBorders>
              <w:left w:val="single" w:sz="4" w:space="0" w:color="auto"/>
              <w:right w:val="single" w:sz="4" w:space="0" w:color="auto"/>
            </w:tcBorders>
          </w:tcPr>
          <w:p w14:paraId="73B86315" w14:textId="77777777" w:rsidR="003F4CFF" w:rsidRPr="00E3698F" w:rsidRDefault="003F4CFF" w:rsidP="003F4CFF">
            <w:pPr>
              <w:jc w:val="both"/>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03BE1857" w14:textId="77777777" w:rsidR="003F4CFF" w:rsidRPr="00E3698F" w:rsidRDefault="003F4CFF" w:rsidP="003F4CFF">
            <w:pPr>
              <w:jc w:val="both"/>
              <w:rPr>
                <w:rFonts w:ascii="Times New Roman" w:hAnsi="Times New Roman" w:cs="Times New Roman"/>
                <w:sz w:val="24"/>
                <w:szCs w:val="24"/>
              </w:rPr>
            </w:pPr>
            <w:r w:rsidRPr="00E3698F">
              <w:rPr>
                <w:rFonts w:ascii="Times New Roman" w:hAnsi="Times New Roman" w:cs="Times New Roman"/>
                <w:sz w:val="24"/>
                <w:szCs w:val="24"/>
              </w:rPr>
              <w:t>Краткое описание успешной практики</w:t>
            </w:r>
          </w:p>
        </w:tc>
        <w:tc>
          <w:tcPr>
            <w:tcW w:w="3383" w:type="pct"/>
            <w:tcBorders>
              <w:top w:val="single" w:sz="4" w:space="0" w:color="auto"/>
              <w:left w:val="single" w:sz="4" w:space="0" w:color="auto"/>
              <w:bottom w:val="single" w:sz="4" w:space="0" w:color="auto"/>
              <w:right w:val="single" w:sz="4" w:space="0" w:color="auto"/>
            </w:tcBorders>
          </w:tcPr>
          <w:p w14:paraId="2EB870E3" w14:textId="77777777" w:rsidR="003F4CFF" w:rsidRDefault="003F4CFF" w:rsidP="003F4CFF">
            <w:pPr>
              <w:autoSpaceDE w:val="0"/>
              <w:autoSpaceDN w:val="0"/>
              <w:adjustRightInd w:val="0"/>
              <w:jc w:val="both"/>
              <w:rPr>
                <w:rFonts w:ascii="Times New Roman" w:hAnsi="Times New Roman" w:cs="Times New Roman"/>
                <w:sz w:val="24"/>
                <w:szCs w:val="24"/>
              </w:rPr>
            </w:pPr>
            <w:r w:rsidRPr="00CB20DE">
              <w:rPr>
                <w:rFonts w:ascii="Times New Roman" w:hAnsi="Times New Roman" w:cs="Times New Roman"/>
                <w:sz w:val="24"/>
                <w:szCs w:val="24"/>
              </w:rPr>
              <w:t>Областными исполнительными органами государственной власти Новосибирской области обеспечиваются создание и реализация механизмов общественного контроля за деятельностью субъектов естественных монополий, а также внедрение механизма технологического и ценового аудита инвестиционных проектов субъектов естественных монополий и крупных инвестиционных проек</w:t>
            </w:r>
            <w:r>
              <w:rPr>
                <w:rFonts w:ascii="Times New Roman" w:hAnsi="Times New Roman" w:cs="Times New Roman"/>
                <w:sz w:val="24"/>
                <w:szCs w:val="24"/>
              </w:rPr>
              <w:t>тов с государственным участием.</w:t>
            </w:r>
          </w:p>
          <w:p w14:paraId="74CF7F8A" w14:textId="77777777" w:rsidR="003F4CFF" w:rsidRPr="00FB1272" w:rsidRDefault="003F4CFF" w:rsidP="00FB1272">
            <w:pPr>
              <w:jc w:val="both"/>
              <w:rPr>
                <w:rFonts w:ascii="Times New Roman" w:eastAsia="Times New Roman" w:hAnsi="Times New Roman" w:cs="Times New Roman"/>
                <w:sz w:val="24"/>
                <w:szCs w:val="24"/>
              </w:rPr>
            </w:pPr>
            <w:r w:rsidRPr="00FB1272">
              <w:rPr>
                <w:rFonts w:ascii="Times New Roman" w:hAnsi="Times New Roman" w:cs="Times New Roman"/>
                <w:sz w:val="24"/>
                <w:szCs w:val="24"/>
              </w:rPr>
              <w:lastRenderedPageBreak/>
              <w:t xml:space="preserve">Постановлением Губернатора Новосибирской области от 23.03.2017 № 51 образован межотраслевой совет потребителей по вопросам деятельности субъектов естественных монополий при Губернаторе Новосибирской области и утвержден его </w:t>
            </w:r>
            <w:hyperlink r:id="rId249" w:history="1">
              <w:r w:rsidRPr="00FB1272">
                <w:rPr>
                  <w:rFonts w:ascii="Times New Roman" w:hAnsi="Times New Roman" w:cs="Times New Roman"/>
                  <w:sz w:val="24"/>
                  <w:szCs w:val="24"/>
                </w:rPr>
                <w:t>состав</w:t>
              </w:r>
            </w:hyperlink>
            <w:r w:rsidRPr="00FB1272">
              <w:rPr>
                <w:rFonts w:ascii="Times New Roman" w:eastAsia="Times New Roman" w:hAnsi="Times New Roman" w:cs="Times New Roman"/>
                <w:sz w:val="24"/>
                <w:szCs w:val="24"/>
              </w:rPr>
              <w:t>.</w:t>
            </w:r>
          </w:p>
          <w:p w14:paraId="575CD17C" w14:textId="77777777" w:rsidR="003F4CFF" w:rsidRPr="00FB1272" w:rsidRDefault="003F4CFF" w:rsidP="00FB1272">
            <w:pPr>
              <w:jc w:val="both"/>
              <w:rPr>
                <w:rFonts w:ascii="Times New Roman" w:hAnsi="Times New Roman" w:cs="Times New Roman"/>
                <w:sz w:val="24"/>
                <w:szCs w:val="24"/>
              </w:rPr>
            </w:pPr>
            <w:r w:rsidRPr="00FB1272">
              <w:rPr>
                <w:rFonts w:ascii="Times New Roman" w:hAnsi="Times New Roman" w:cs="Times New Roman"/>
                <w:sz w:val="24"/>
                <w:szCs w:val="24"/>
              </w:rPr>
              <w:t>Постановлением Правительства Новосибирской области от 22.12.2016 № 432-п утверждено Положение о проведении обязательного публичного технологического и ценового аудита крупных инвестиционных проектов с государственным участием Новосибирской области.</w:t>
            </w:r>
          </w:p>
          <w:p w14:paraId="1EDD61BC" w14:textId="77777777" w:rsidR="003F4CFF" w:rsidRPr="00FB1272" w:rsidRDefault="003F4CFF" w:rsidP="00FB1272">
            <w:pPr>
              <w:jc w:val="both"/>
              <w:rPr>
                <w:rFonts w:ascii="Times New Roman" w:hAnsi="Times New Roman" w:cs="Times New Roman"/>
                <w:sz w:val="24"/>
                <w:szCs w:val="24"/>
              </w:rPr>
            </w:pPr>
            <w:bookmarkStart w:id="165" w:name="_Toc32421922"/>
            <w:r w:rsidRPr="00FB1272">
              <w:rPr>
                <w:rFonts w:ascii="Times New Roman" w:hAnsi="Times New Roman" w:cs="Times New Roman"/>
                <w:sz w:val="24"/>
                <w:szCs w:val="24"/>
              </w:rPr>
              <w:t>Организована работа, направленная на повышение прозрачности деятельности субъектов естественных монополий в Новосибирской области.</w:t>
            </w:r>
            <w:bookmarkEnd w:id="165"/>
          </w:p>
          <w:p w14:paraId="2DFB1B0D" w14:textId="77777777" w:rsidR="003F4CFF" w:rsidRPr="00FB1272" w:rsidRDefault="003F4CFF" w:rsidP="00FB1272">
            <w:pPr>
              <w:jc w:val="both"/>
              <w:rPr>
                <w:rFonts w:ascii="Times New Roman" w:hAnsi="Times New Roman" w:cs="Times New Roman"/>
                <w:sz w:val="24"/>
                <w:szCs w:val="24"/>
              </w:rPr>
            </w:pPr>
            <w:r w:rsidRPr="00FB1272">
              <w:rPr>
                <w:rFonts w:ascii="Times New Roman" w:hAnsi="Times New Roman" w:cs="Times New Roman"/>
                <w:sz w:val="24"/>
                <w:szCs w:val="24"/>
              </w:rPr>
              <w:t>Всего в 2019 году технологический и ценовой аудит проведен по 3 инвестиционным проектам, получены положительные заключения.</w:t>
            </w:r>
          </w:p>
          <w:p w14:paraId="15498C94" w14:textId="77777777" w:rsidR="003F4CFF" w:rsidRPr="003A6300" w:rsidRDefault="003F4CFF" w:rsidP="003F4CFF">
            <w:pPr>
              <w:autoSpaceDE w:val="0"/>
              <w:autoSpaceDN w:val="0"/>
              <w:adjustRightInd w:val="0"/>
              <w:jc w:val="both"/>
              <w:rPr>
                <w:rFonts w:ascii="Times New Roman" w:hAnsi="Times New Roman" w:cs="Times New Roman"/>
                <w:sz w:val="24"/>
                <w:szCs w:val="24"/>
              </w:rPr>
            </w:pPr>
            <w:r w:rsidRPr="003A6300">
              <w:rPr>
                <w:rFonts w:ascii="Times New Roman" w:hAnsi="Times New Roman" w:cs="Times New Roman"/>
                <w:sz w:val="24"/>
                <w:szCs w:val="24"/>
              </w:rPr>
              <w:t>В целях представления инвестиционных возможностей Новосибирской области через раскрытие субъектами естественных монополий информации о своей деятельности создан инвестиционный портал Новосибирской области (</w:t>
            </w:r>
            <w:hyperlink r:id="rId250" w:history="1">
              <w:r w:rsidRPr="003A6300">
                <w:rPr>
                  <w:rFonts w:ascii="Times New Roman" w:hAnsi="Times New Roman" w:cs="Times New Roman"/>
                  <w:color w:val="0563C1"/>
                  <w:sz w:val="24"/>
                  <w:szCs w:val="24"/>
                  <w:u w:val="single"/>
                  <w:lang w:val="en-US"/>
                </w:rPr>
                <w:t>www</w:t>
              </w:r>
              <w:r w:rsidRPr="003A6300">
                <w:rPr>
                  <w:rFonts w:ascii="Times New Roman" w:hAnsi="Times New Roman" w:cs="Times New Roman"/>
                  <w:color w:val="0563C1"/>
                  <w:sz w:val="24"/>
                  <w:szCs w:val="24"/>
                  <w:u w:val="single"/>
                </w:rPr>
                <w:t>.invest.nso.ru</w:t>
              </w:r>
            </w:hyperlink>
            <w:r w:rsidRPr="003A6300">
              <w:rPr>
                <w:rFonts w:ascii="Times New Roman" w:hAnsi="Times New Roman" w:cs="Times New Roman"/>
                <w:sz w:val="24"/>
                <w:szCs w:val="24"/>
              </w:rPr>
              <w:t>).</w:t>
            </w:r>
          </w:p>
        </w:tc>
      </w:tr>
      <w:tr w:rsidR="003F4CFF" w:rsidRPr="00C03A12" w14:paraId="7569D310" w14:textId="77777777" w:rsidTr="009A18FC">
        <w:tc>
          <w:tcPr>
            <w:tcW w:w="431" w:type="pct"/>
            <w:vMerge/>
            <w:tcBorders>
              <w:left w:val="single" w:sz="4" w:space="0" w:color="auto"/>
              <w:right w:val="single" w:sz="4" w:space="0" w:color="auto"/>
            </w:tcBorders>
          </w:tcPr>
          <w:p w14:paraId="1DE646CE" w14:textId="77777777" w:rsidR="003F4CFF" w:rsidRPr="00E3698F"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26371CDC" w14:textId="77777777" w:rsidR="003F4CFF" w:rsidRPr="00E3698F" w:rsidRDefault="003F4CFF" w:rsidP="003F4CFF">
            <w:pPr>
              <w:rPr>
                <w:rFonts w:ascii="Times New Roman" w:hAnsi="Times New Roman" w:cs="Times New Roman"/>
                <w:sz w:val="24"/>
                <w:szCs w:val="24"/>
              </w:rPr>
            </w:pPr>
            <w:r w:rsidRPr="00E3698F">
              <w:rPr>
                <w:rFonts w:ascii="Times New Roman" w:hAnsi="Times New Roman" w:cs="Times New Roman"/>
                <w:sz w:val="24"/>
                <w:szCs w:val="24"/>
              </w:rPr>
              <w:t>Ресурсы, привлеченные для ее реализации</w:t>
            </w:r>
          </w:p>
          <w:p w14:paraId="2B5AFD76" w14:textId="77777777" w:rsidR="003F4CFF" w:rsidRPr="00E3698F" w:rsidRDefault="003F4CFF" w:rsidP="003F4CFF">
            <w:pPr>
              <w:rPr>
                <w:rFonts w:ascii="Times New Roman" w:hAnsi="Times New Roman" w:cs="Times New Roman"/>
                <w:sz w:val="24"/>
                <w:szCs w:val="24"/>
              </w:rPr>
            </w:pPr>
          </w:p>
        </w:tc>
        <w:tc>
          <w:tcPr>
            <w:tcW w:w="3383" w:type="pct"/>
            <w:tcBorders>
              <w:top w:val="single" w:sz="4" w:space="0" w:color="auto"/>
              <w:left w:val="single" w:sz="4" w:space="0" w:color="auto"/>
              <w:bottom w:val="single" w:sz="4" w:space="0" w:color="auto"/>
              <w:right w:val="single" w:sz="4" w:space="0" w:color="auto"/>
            </w:tcBorders>
          </w:tcPr>
          <w:p w14:paraId="5CBA7407"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 xml:space="preserve">Работа </w:t>
            </w:r>
            <w:r>
              <w:rPr>
                <w:rFonts w:ascii="Times New Roman" w:hAnsi="Times New Roman" w:cs="Times New Roman"/>
                <w:sz w:val="24"/>
                <w:szCs w:val="24"/>
              </w:rPr>
              <w:t>по данному направлению осуществлялась</w:t>
            </w:r>
            <w:r w:rsidRPr="0044623C">
              <w:rPr>
                <w:rFonts w:ascii="Times New Roman" w:hAnsi="Times New Roman" w:cs="Times New Roman"/>
                <w:sz w:val="24"/>
                <w:szCs w:val="24"/>
              </w:rPr>
              <w:t xml:space="preserve"> </w:t>
            </w:r>
            <w:r>
              <w:rPr>
                <w:rFonts w:ascii="Times New Roman" w:hAnsi="Times New Roman" w:cs="Times New Roman"/>
                <w:sz w:val="24"/>
                <w:szCs w:val="24"/>
              </w:rPr>
              <w:t>министерством</w:t>
            </w:r>
            <w:r w:rsidRPr="0044623C">
              <w:rPr>
                <w:rFonts w:ascii="Times New Roman" w:hAnsi="Times New Roman" w:cs="Times New Roman"/>
                <w:sz w:val="24"/>
                <w:szCs w:val="24"/>
              </w:rPr>
              <w:t xml:space="preserve"> экономического развития Новосибирской области</w:t>
            </w:r>
            <w:r>
              <w:rPr>
                <w:rFonts w:ascii="Times New Roman" w:hAnsi="Times New Roman" w:cs="Times New Roman"/>
                <w:sz w:val="24"/>
                <w:szCs w:val="24"/>
              </w:rPr>
              <w:t>, департаментом по тарифам Новосибирской области</w:t>
            </w:r>
            <w:r w:rsidRPr="0044623C">
              <w:rPr>
                <w:rFonts w:ascii="Times New Roman" w:hAnsi="Times New Roman" w:cs="Times New Roman"/>
                <w:sz w:val="24"/>
                <w:szCs w:val="24"/>
              </w:rPr>
              <w:t xml:space="preserve"> во взаимодействии с другими региональными</w:t>
            </w:r>
            <w:r>
              <w:rPr>
                <w:rFonts w:ascii="Times New Roman" w:hAnsi="Times New Roman" w:cs="Times New Roman"/>
                <w:sz w:val="24"/>
                <w:szCs w:val="24"/>
              </w:rPr>
              <w:t xml:space="preserve"> органами власти, членами Межотраслевого совета потребителей, субъектами естественных монополий и др.).</w:t>
            </w:r>
            <w:r w:rsidRPr="0044623C">
              <w:rPr>
                <w:rFonts w:ascii="Times New Roman" w:hAnsi="Times New Roman" w:cs="Times New Roman"/>
                <w:sz w:val="24"/>
                <w:szCs w:val="24"/>
              </w:rPr>
              <w:t xml:space="preserve"> </w:t>
            </w:r>
          </w:p>
          <w:p w14:paraId="78021A6A"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 xml:space="preserve">Для внедрения практики необходимы </w:t>
            </w:r>
          </w:p>
          <w:p w14:paraId="03BC479A"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нефинансовые и финансовые ресурсы.</w:t>
            </w:r>
          </w:p>
          <w:p w14:paraId="6913926B"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1. Нефинансовые ресурсы:</w:t>
            </w:r>
          </w:p>
          <w:p w14:paraId="2EE50AE8"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1) организационные (разработка и принятие правовых актов,</w:t>
            </w:r>
            <w:r>
              <w:rPr>
                <w:rFonts w:ascii="Times New Roman" w:hAnsi="Times New Roman" w:cs="Times New Roman"/>
                <w:sz w:val="24"/>
                <w:szCs w:val="24"/>
              </w:rPr>
              <w:t xml:space="preserve"> организация и проведение заседаний Межотраслевого совета потребителей, организация проведения технологического и ценового аудита и др.</w:t>
            </w:r>
            <w:r w:rsidRPr="0044623C">
              <w:rPr>
                <w:rFonts w:ascii="Times New Roman" w:hAnsi="Times New Roman" w:cs="Times New Roman"/>
                <w:sz w:val="24"/>
                <w:szCs w:val="24"/>
              </w:rPr>
              <w:t>)</w:t>
            </w:r>
          </w:p>
          <w:p w14:paraId="23E03FAC"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2) информационные (извещение</w:t>
            </w:r>
            <w:r>
              <w:rPr>
                <w:rFonts w:ascii="Times New Roman" w:hAnsi="Times New Roman" w:cs="Times New Roman"/>
                <w:sz w:val="24"/>
                <w:szCs w:val="24"/>
              </w:rPr>
              <w:t xml:space="preserve"> заинтересованных лиц</w:t>
            </w:r>
            <w:r w:rsidRPr="0044623C">
              <w:rPr>
                <w:rFonts w:ascii="Times New Roman" w:hAnsi="Times New Roman" w:cs="Times New Roman"/>
                <w:sz w:val="24"/>
                <w:szCs w:val="24"/>
              </w:rPr>
              <w:t xml:space="preserve">, </w:t>
            </w:r>
            <w:r>
              <w:rPr>
                <w:rFonts w:ascii="Times New Roman" w:hAnsi="Times New Roman" w:cs="Times New Roman"/>
                <w:sz w:val="24"/>
                <w:szCs w:val="24"/>
              </w:rPr>
              <w:t>размещение информации на официальных сайтах органов власти и др.</w:t>
            </w:r>
            <w:r w:rsidRPr="0044623C">
              <w:rPr>
                <w:rFonts w:ascii="Times New Roman" w:hAnsi="Times New Roman" w:cs="Times New Roman"/>
                <w:sz w:val="24"/>
                <w:szCs w:val="24"/>
              </w:rPr>
              <w:t>);</w:t>
            </w:r>
          </w:p>
          <w:p w14:paraId="6CF777B5" w14:textId="77777777" w:rsidR="003F4CFF" w:rsidRPr="0044623C"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3) кадровые (привлечение специалистов к</w:t>
            </w:r>
            <w:r>
              <w:rPr>
                <w:rFonts w:ascii="Times New Roman" w:hAnsi="Times New Roman" w:cs="Times New Roman"/>
                <w:sz w:val="24"/>
                <w:szCs w:val="24"/>
              </w:rPr>
              <w:t xml:space="preserve"> работе по данному направлению</w:t>
            </w:r>
            <w:r w:rsidRPr="0044623C">
              <w:rPr>
                <w:rFonts w:ascii="Times New Roman" w:hAnsi="Times New Roman" w:cs="Times New Roman"/>
                <w:sz w:val="24"/>
                <w:szCs w:val="24"/>
              </w:rPr>
              <w:t xml:space="preserve">. </w:t>
            </w:r>
          </w:p>
          <w:p w14:paraId="6CB84CDE" w14:textId="77777777" w:rsidR="003F4CFF" w:rsidRPr="00FB1A45" w:rsidRDefault="003F4CFF" w:rsidP="003F4CFF">
            <w:pPr>
              <w:adjustRightInd w:val="0"/>
              <w:jc w:val="both"/>
              <w:rPr>
                <w:rFonts w:ascii="Times New Roman" w:hAnsi="Times New Roman" w:cs="Times New Roman"/>
                <w:sz w:val="24"/>
                <w:szCs w:val="24"/>
              </w:rPr>
            </w:pPr>
            <w:r w:rsidRPr="0044623C">
              <w:rPr>
                <w:rFonts w:ascii="Times New Roman" w:hAnsi="Times New Roman" w:cs="Times New Roman"/>
                <w:sz w:val="24"/>
                <w:szCs w:val="24"/>
              </w:rPr>
              <w:t xml:space="preserve">2. Финансовые ресурсы необходимы в части </w:t>
            </w:r>
            <w:r>
              <w:rPr>
                <w:rFonts w:ascii="Times New Roman" w:hAnsi="Times New Roman" w:cs="Times New Roman"/>
                <w:sz w:val="24"/>
                <w:szCs w:val="24"/>
              </w:rPr>
              <w:t>проведения технологического и ценового аудита</w:t>
            </w:r>
            <w:r w:rsidRPr="0044623C">
              <w:rPr>
                <w:rFonts w:ascii="Times New Roman" w:hAnsi="Times New Roman" w:cs="Times New Roman"/>
                <w:sz w:val="24"/>
                <w:szCs w:val="24"/>
              </w:rPr>
              <w:t>.</w:t>
            </w:r>
          </w:p>
        </w:tc>
      </w:tr>
      <w:tr w:rsidR="003F4CFF" w:rsidRPr="00C03A12" w14:paraId="3B7764D2" w14:textId="77777777" w:rsidTr="009A18FC">
        <w:tc>
          <w:tcPr>
            <w:tcW w:w="431" w:type="pct"/>
            <w:vMerge/>
            <w:tcBorders>
              <w:left w:val="single" w:sz="4" w:space="0" w:color="auto"/>
              <w:right w:val="single" w:sz="4" w:space="0" w:color="auto"/>
            </w:tcBorders>
          </w:tcPr>
          <w:p w14:paraId="77D2F4BC" w14:textId="77777777" w:rsidR="003F4CFF" w:rsidRPr="00E3698F"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7303CE19" w14:textId="77777777" w:rsidR="003F4CFF" w:rsidRPr="00E3698F" w:rsidRDefault="003F4CFF" w:rsidP="003F4CFF">
            <w:pPr>
              <w:rPr>
                <w:rFonts w:ascii="Times New Roman" w:hAnsi="Times New Roman" w:cs="Times New Roman"/>
                <w:sz w:val="24"/>
                <w:szCs w:val="24"/>
              </w:rPr>
            </w:pPr>
            <w:r w:rsidRPr="00E3698F">
              <w:rPr>
                <w:rFonts w:ascii="Times New Roman" w:hAnsi="Times New Roman" w:cs="Times New Roman"/>
                <w:sz w:val="24"/>
                <w:szCs w:val="24"/>
              </w:rPr>
              <w:t>Описание результата</w:t>
            </w:r>
          </w:p>
        </w:tc>
        <w:tc>
          <w:tcPr>
            <w:tcW w:w="3383" w:type="pct"/>
            <w:tcBorders>
              <w:top w:val="single" w:sz="4" w:space="0" w:color="auto"/>
              <w:left w:val="single" w:sz="4" w:space="0" w:color="auto"/>
              <w:bottom w:val="single" w:sz="4" w:space="0" w:color="auto"/>
              <w:right w:val="single" w:sz="4" w:space="0" w:color="auto"/>
            </w:tcBorders>
          </w:tcPr>
          <w:p w14:paraId="74069462" w14:textId="77777777" w:rsidR="003F4CFF" w:rsidRPr="00FB1A45" w:rsidRDefault="003F4CFF" w:rsidP="003F4CFF">
            <w:pPr>
              <w:ind w:right="198"/>
              <w:jc w:val="both"/>
              <w:rPr>
                <w:rFonts w:ascii="Times New Roman" w:hAnsi="Times New Roman" w:cs="Times New Roman"/>
                <w:sz w:val="24"/>
                <w:szCs w:val="24"/>
              </w:rPr>
            </w:pPr>
            <w:r>
              <w:rPr>
                <w:rFonts w:ascii="Times New Roman" w:hAnsi="Times New Roman" w:cs="Times New Roman"/>
                <w:sz w:val="24"/>
                <w:szCs w:val="24"/>
              </w:rPr>
              <w:t>Развитие</w:t>
            </w:r>
            <w:r w:rsidRPr="00FB1A45">
              <w:rPr>
                <w:rFonts w:ascii="Times New Roman" w:hAnsi="Times New Roman" w:cs="Times New Roman"/>
                <w:sz w:val="24"/>
                <w:szCs w:val="24"/>
              </w:rPr>
              <w:t xml:space="preserve"> существующей системы общественного контроля за деятельностью субъектов естественных монополий</w:t>
            </w:r>
            <w:r>
              <w:rPr>
                <w:rFonts w:ascii="Times New Roman" w:hAnsi="Times New Roman" w:cs="Times New Roman"/>
                <w:sz w:val="24"/>
                <w:szCs w:val="24"/>
              </w:rPr>
              <w:t>, осуществляющих деятельность на территории Новосибирской области, обеспечение</w:t>
            </w:r>
            <w:r w:rsidRPr="00FB1A45">
              <w:rPr>
                <w:rFonts w:ascii="Times New Roman" w:hAnsi="Times New Roman" w:cs="Times New Roman"/>
                <w:sz w:val="24"/>
                <w:szCs w:val="24"/>
              </w:rPr>
              <w:t xml:space="preserve"> участия потребителей в контроле за формированием и реализацией и</w:t>
            </w:r>
            <w:r>
              <w:rPr>
                <w:rFonts w:ascii="Times New Roman" w:hAnsi="Times New Roman" w:cs="Times New Roman"/>
                <w:sz w:val="24"/>
                <w:szCs w:val="24"/>
              </w:rPr>
              <w:t>х инвестиционных программ, учет</w:t>
            </w:r>
            <w:r w:rsidRPr="00FB1A45">
              <w:rPr>
                <w:rFonts w:ascii="Times New Roman" w:hAnsi="Times New Roman" w:cs="Times New Roman"/>
                <w:sz w:val="24"/>
                <w:szCs w:val="24"/>
              </w:rPr>
              <w:t xml:space="preserve"> мнения потребителей при принятии решений об установлении тарифов на товары и услуги субъектов ест</w:t>
            </w:r>
            <w:r>
              <w:rPr>
                <w:rFonts w:ascii="Times New Roman" w:hAnsi="Times New Roman" w:cs="Times New Roman"/>
                <w:sz w:val="24"/>
                <w:szCs w:val="24"/>
              </w:rPr>
              <w:t>ественных монополий, обеспечение</w:t>
            </w:r>
            <w:r w:rsidRPr="00FB1A45">
              <w:rPr>
                <w:rFonts w:ascii="Times New Roman" w:hAnsi="Times New Roman" w:cs="Times New Roman"/>
                <w:sz w:val="24"/>
                <w:szCs w:val="24"/>
              </w:rPr>
              <w:t xml:space="preserve"> максимальной открытости процесса принятия решений по вопросам инвестиционных </w:t>
            </w:r>
            <w:r w:rsidRPr="00FB1A45">
              <w:rPr>
                <w:rFonts w:ascii="Times New Roman" w:hAnsi="Times New Roman" w:cs="Times New Roman"/>
                <w:sz w:val="24"/>
                <w:szCs w:val="24"/>
              </w:rPr>
              <w:lastRenderedPageBreak/>
              <w:t>программ, тарифов на товары и услуги субъектов естественных монополий и повышения качества предоставляемой ими информации.</w:t>
            </w:r>
          </w:p>
        </w:tc>
      </w:tr>
      <w:tr w:rsidR="003F4CFF" w:rsidRPr="00C03A12" w14:paraId="37266BC5" w14:textId="77777777" w:rsidTr="009A18FC">
        <w:tc>
          <w:tcPr>
            <w:tcW w:w="431" w:type="pct"/>
            <w:vMerge/>
            <w:tcBorders>
              <w:left w:val="single" w:sz="4" w:space="0" w:color="auto"/>
              <w:bottom w:val="single" w:sz="4" w:space="0" w:color="auto"/>
              <w:right w:val="single" w:sz="4" w:space="0" w:color="auto"/>
            </w:tcBorders>
          </w:tcPr>
          <w:p w14:paraId="6E639172" w14:textId="77777777" w:rsidR="003F4CFF" w:rsidRPr="00E3698F" w:rsidRDefault="003F4CFF" w:rsidP="003F4CFF">
            <w:pPr>
              <w:rPr>
                <w:rFonts w:ascii="Times New Roman" w:hAnsi="Times New Roman" w:cs="Times New Roman"/>
                <w:sz w:val="24"/>
                <w:szCs w:val="24"/>
              </w:rPr>
            </w:pPr>
          </w:p>
        </w:tc>
        <w:tc>
          <w:tcPr>
            <w:tcW w:w="1186" w:type="pct"/>
            <w:tcBorders>
              <w:top w:val="single" w:sz="4" w:space="0" w:color="auto"/>
              <w:left w:val="single" w:sz="4" w:space="0" w:color="auto"/>
              <w:bottom w:val="single" w:sz="4" w:space="0" w:color="auto"/>
              <w:right w:val="single" w:sz="4" w:space="0" w:color="auto"/>
            </w:tcBorders>
          </w:tcPr>
          <w:p w14:paraId="7CCFB55A" w14:textId="77777777" w:rsidR="003F4CFF" w:rsidRPr="00E3698F" w:rsidRDefault="003F4CFF" w:rsidP="003F4CFF">
            <w:pPr>
              <w:rPr>
                <w:rFonts w:ascii="Times New Roman" w:hAnsi="Times New Roman" w:cs="Times New Roman"/>
                <w:sz w:val="24"/>
                <w:szCs w:val="24"/>
              </w:rPr>
            </w:pPr>
            <w:r w:rsidRPr="00E3698F">
              <w:rPr>
                <w:rFonts w:ascii="Times New Roman" w:hAnsi="Times New Roman" w:cs="Times New Roman"/>
                <w:sz w:val="24"/>
                <w:szCs w:val="24"/>
              </w:rPr>
              <w:t>Значение количественного (качественного) показателя результата</w:t>
            </w:r>
          </w:p>
        </w:tc>
        <w:tc>
          <w:tcPr>
            <w:tcW w:w="3383" w:type="pct"/>
            <w:tcBorders>
              <w:top w:val="single" w:sz="4" w:space="0" w:color="auto"/>
              <w:left w:val="single" w:sz="4" w:space="0" w:color="auto"/>
              <w:bottom w:val="single" w:sz="4" w:space="0" w:color="auto"/>
              <w:right w:val="single" w:sz="4" w:space="0" w:color="auto"/>
            </w:tcBorders>
          </w:tcPr>
          <w:p w14:paraId="476D301C" w14:textId="77777777" w:rsidR="003F4CFF" w:rsidRPr="00F05896" w:rsidRDefault="003F4CFF" w:rsidP="003F4CFF">
            <w:pPr>
              <w:jc w:val="both"/>
              <w:rPr>
                <w:rFonts w:ascii="Times New Roman" w:hAnsi="Times New Roman" w:cs="Times New Roman"/>
                <w:sz w:val="24"/>
                <w:szCs w:val="24"/>
              </w:rPr>
            </w:pPr>
            <w:r w:rsidRPr="00F05896">
              <w:rPr>
                <w:rFonts w:ascii="Times New Roman" w:hAnsi="Times New Roman" w:cs="Times New Roman"/>
                <w:sz w:val="24"/>
                <w:szCs w:val="24"/>
              </w:rPr>
              <w:t xml:space="preserve">В 2019 году проведено 2 заседания Межотраслевого совета потребителей. </w:t>
            </w:r>
          </w:p>
          <w:p w14:paraId="42DB8A19" w14:textId="77777777" w:rsidR="003F4CFF" w:rsidRPr="00F05896" w:rsidRDefault="003F4CFF" w:rsidP="003F4CFF">
            <w:pPr>
              <w:jc w:val="both"/>
              <w:rPr>
                <w:rFonts w:ascii="Times New Roman" w:hAnsi="Times New Roman" w:cs="Times New Roman"/>
                <w:sz w:val="24"/>
                <w:szCs w:val="24"/>
              </w:rPr>
            </w:pPr>
            <w:r w:rsidRPr="00F05896">
              <w:rPr>
                <w:rFonts w:ascii="Times New Roman" w:hAnsi="Times New Roman" w:cs="Times New Roman"/>
                <w:sz w:val="24"/>
                <w:szCs w:val="24"/>
              </w:rPr>
              <w:t>Проведена экспертиза:</w:t>
            </w:r>
          </w:p>
          <w:p w14:paraId="7B4DB872" w14:textId="77777777" w:rsidR="003F4CFF" w:rsidRPr="00F05896" w:rsidRDefault="003F4CFF" w:rsidP="003F4CFF">
            <w:pPr>
              <w:jc w:val="both"/>
              <w:rPr>
                <w:rFonts w:ascii="Times New Roman" w:hAnsi="Times New Roman" w:cs="Times New Roman"/>
                <w:sz w:val="24"/>
                <w:szCs w:val="24"/>
              </w:rPr>
            </w:pPr>
            <w:r w:rsidRPr="00F05896">
              <w:rPr>
                <w:rFonts w:ascii="Times New Roman" w:hAnsi="Times New Roman" w:cs="Times New Roman"/>
                <w:sz w:val="24"/>
                <w:szCs w:val="24"/>
              </w:rPr>
              <w:t>- 8 проектов новых инвестиционных программ, из них 5 в сфере электроэнергетики; 2 в сфере централизованного водоснабжения и водоотведения; 1 в сфере теплоснабжения;</w:t>
            </w:r>
          </w:p>
          <w:p w14:paraId="6FA9E5AC" w14:textId="77777777" w:rsidR="003F4CFF" w:rsidRPr="00F05896" w:rsidRDefault="003F4CFF" w:rsidP="003F4CFF">
            <w:pPr>
              <w:jc w:val="both"/>
              <w:rPr>
                <w:rFonts w:ascii="Times New Roman" w:hAnsi="Times New Roman" w:cs="Times New Roman"/>
                <w:sz w:val="24"/>
                <w:szCs w:val="24"/>
              </w:rPr>
            </w:pPr>
            <w:r w:rsidRPr="00F05896">
              <w:rPr>
                <w:rFonts w:ascii="Times New Roman" w:hAnsi="Times New Roman" w:cs="Times New Roman"/>
                <w:sz w:val="24"/>
                <w:szCs w:val="24"/>
              </w:rPr>
              <w:t>- 5 проектов внесения изменений в действующие программы, из них 4 в сфере электроэнергетики; 1 в сфере централизованного водоснабжения и водоотведения;</w:t>
            </w:r>
          </w:p>
          <w:p w14:paraId="63DCE5DA" w14:textId="77777777" w:rsidR="003F4CFF" w:rsidRPr="00F05896" w:rsidRDefault="003F4CFF" w:rsidP="003F4CFF">
            <w:pPr>
              <w:jc w:val="both"/>
              <w:rPr>
                <w:rFonts w:ascii="Times New Roman" w:hAnsi="Times New Roman" w:cs="Times New Roman"/>
                <w:sz w:val="24"/>
                <w:szCs w:val="24"/>
              </w:rPr>
            </w:pPr>
            <w:r w:rsidRPr="00F05896">
              <w:rPr>
                <w:rFonts w:ascii="Times New Roman" w:hAnsi="Times New Roman" w:cs="Times New Roman"/>
                <w:sz w:val="24"/>
                <w:szCs w:val="24"/>
              </w:rPr>
              <w:t>В 2019 году на заседаниях Межотраслевого совета рассмотрены:</w:t>
            </w:r>
          </w:p>
          <w:p w14:paraId="2C6ACB77" w14:textId="77777777" w:rsidR="003F4CFF" w:rsidRPr="00F05896" w:rsidRDefault="003F4CFF" w:rsidP="003F4CFF">
            <w:pPr>
              <w:jc w:val="both"/>
              <w:rPr>
                <w:rFonts w:ascii="Times New Roman" w:hAnsi="Times New Roman" w:cs="Times New Roman"/>
                <w:sz w:val="24"/>
                <w:szCs w:val="24"/>
              </w:rPr>
            </w:pPr>
            <w:r w:rsidRPr="00F05896">
              <w:rPr>
                <w:rFonts w:ascii="Times New Roman" w:hAnsi="Times New Roman" w:cs="Times New Roman"/>
                <w:sz w:val="24"/>
                <w:szCs w:val="24"/>
              </w:rPr>
              <w:t>- отчет о выполнении инвестиционной программы в сфере водоснабжения и водоотведения;</w:t>
            </w:r>
          </w:p>
          <w:p w14:paraId="180C63F5" w14:textId="77777777" w:rsidR="003F4CFF" w:rsidRPr="00F05896" w:rsidRDefault="003F4CFF" w:rsidP="003F4CFF">
            <w:pPr>
              <w:jc w:val="both"/>
              <w:rPr>
                <w:rFonts w:ascii="Times New Roman" w:hAnsi="Times New Roman" w:cs="Times New Roman"/>
                <w:sz w:val="24"/>
                <w:szCs w:val="24"/>
              </w:rPr>
            </w:pPr>
            <w:r w:rsidRPr="00F05896">
              <w:rPr>
                <w:rFonts w:ascii="Times New Roman" w:hAnsi="Times New Roman" w:cs="Times New Roman"/>
                <w:sz w:val="24"/>
                <w:szCs w:val="24"/>
              </w:rPr>
              <w:t>- результаты мониторинга выполнения в 2018 году инвестиционных программ, данная информация положительно оценена членами межотраслевого совета.</w:t>
            </w:r>
          </w:p>
          <w:p w14:paraId="2E636BAC" w14:textId="77777777" w:rsidR="003F4CFF" w:rsidRPr="00F92805" w:rsidRDefault="003F4CFF" w:rsidP="003F4CFF">
            <w:pPr>
              <w:jc w:val="both"/>
              <w:rPr>
                <w:rFonts w:ascii="Times New Roman" w:hAnsi="Times New Roman" w:cs="Times New Roman"/>
                <w:sz w:val="24"/>
                <w:szCs w:val="24"/>
                <w:highlight w:val="yellow"/>
              </w:rPr>
            </w:pPr>
            <w:r w:rsidRPr="00F05896">
              <w:rPr>
                <w:rFonts w:ascii="Times New Roman" w:hAnsi="Times New Roman" w:cs="Times New Roman"/>
                <w:sz w:val="24"/>
                <w:szCs w:val="24"/>
              </w:rPr>
              <w:t xml:space="preserve">Технологический и ценовой аудит проведен по 3 крупным инвестиционным проектам. По всем проектам получены положительные заключения. </w:t>
            </w:r>
          </w:p>
        </w:tc>
      </w:tr>
    </w:tbl>
    <w:p w14:paraId="58012694" w14:textId="77777777" w:rsidR="003F4CFF" w:rsidRDefault="003F4CFF" w:rsidP="003F4CFF">
      <w:pPr>
        <w:rPr>
          <w:rFonts w:ascii="Times New Roman" w:hAnsi="Times New Roman" w:cs="Times New Roman"/>
          <w:sz w:val="28"/>
          <w:szCs w:val="28"/>
        </w:rPr>
      </w:pPr>
    </w:p>
    <w:p w14:paraId="3F31D694" w14:textId="77777777" w:rsidR="00961841" w:rsidRDefault="00961841" w:rsidP="003F4CFF">
      <w:pPr>
        <w:pStyle w:val="ac"/>
        <w:ind w:firstLine="567"/>
        <w:jc w:val="both"/>
        <w:outlineLvl w:val="1"/>
        <w:rPr>
          <w:rFonts w:ascii="Times New Roman" w:hAnsi="Times New Roman"/>
          <w:b/>
        </w:rPr>
        <w:sectPr w:rsidR="00961841" w:rsidSect="00961841">
          <w:pgSz w:w="16838" w:h="11906" w:orient="landscape" w:code="9"/>
          <w:pgMar w:top="1418" w:right="1134" w:bottom="567" w:left="1134" w:header="709" w:footer="709" w:gutter="0"/>
          <w:cols w:space="708"/>
          <w:docGrid w:linePitch="360"/>
        </w:sectPr>
      </w:pPr>
      <w:bookmarkStart w:id="166" w:name="_Toc31983997"/>
      <w:bookmarkStart w:id="167" w:name="_Toc32240337"/>
      <w:bookmarkStart w:id="168" w:name="_Toc32421923"/>
    </w:p>
    <w:p w14:paraId="7601CB4C" w14:textId="77777777" w:rsidR="003F4CFF" w:rsidRDefault="003F4CFF" w:rsidP="003F4CFF">
      <w:pPr>
        <w:pStyle w:val="ac"/>
        <w:ind w:firstLine="567"/>
        <w:jc w:val="both"/>
        <w:outlineLvl w:val="1"/>
        <w:rPr>
          <w:rFonts w:ascii="Times New Roman" w:hAnsi="Times New Roman"/>
          <w:b/>
        </w:rPr>
      </w:pPr>
      <w:bookmarkStart w:id="169" w:name="_Toc34129202"/>
      <w:r w:rsidRPr="00B76649">
        <w:rPr>
          <w:rFonts w:ascii="Times New Roman" w:hAnsi="Times New Roman"/>
          <w:b/>
        </w:rPr>
        <w:lastRenderedPageBreak/>
        <w:t>4.2.</w:t>
      </w:r>
      <w:r>
        <w:rPr>
          <w:rFonts w:ascii="Times New Roman" w:hAnsi="Times New Roman"/>
          <w:b/>
        </w:rPr>
        <w:t> </w:t>
      </w:r>
      <w:r w:rsidRPr="00B76649">
        <w:rPr>
          <w:rFonts w:ascii="Times New Roman" w:hAnsi="Times New Roman"/>
          <w:b/>
        </w:rPr>
        <w:t>Информация о потенциальных лучших региональных практиках по итогам отчетного года</w:t>
      </w:r>
      <w:bookmarkEnd w:id="166"/>
      <w:bookmarkEnd w:id="167"/>
      <w:bookmarkEnd w:id="168"/>
      <w:bookmarkEnd w:id="169"/>
    </w:p>
    <w:p w14:paraId="3DE11327" w14:textId="77777777" w:rsidR="006D3D11" w:rsidRDefault="006D3D11" w:rsidP="006D3D11"/>
    <w:p w14:paraId="7EA89269" w14:textId="77777777" w:rsidR="003F4CFF" w:rsidRPr="006D3D11" w:rsidRDefault="006D3D11" w:rsidP="006D3D11">
      <w:pPr>
        <w:jc w:val="left"/>
        <w:rPr>
          <w:rFonts w:ascii="Times New Roman" w:eastAsiaTheme="majorEastAsia" w:hAnsi="Times New Roman" w:cs="Times New Roman"/>
          <w:sz w:val="28"/>
          <w:szCs w:val="28"/>
        </w:rPr>
      </w:pPr>
      <w:r w:rsidRPr="006D3D11">
        <w:rPr>
          <w:rFonts w:ascii="Times New Roman" w:hAnsi="Times New Roman" w:cs="Times New Roman"/>
          <w:sz w:val="28"/>
          <w:szCs w:val="28"/>
        </w:rPr>
        <w:t>Таблица 35 – Лучшие региональные практики Новосибирской области по итогам 2019 года</w:t>
      </w:r>
    </w:p>
    <w:tbl>
      <w:tblPr>
        <w:tblStyle w:val="110"/>
        <w:tblW w:w="5004" w:type="pct"/>
        <w:tblLook w:val="04A0" w:firstRow="1" w:lastRow="0" w:firstColumn="1" w:lastColumn="0" w:noHBand="0" w:noVBand="1"/>
      </w:tblPr>
      <w:tblGrid>
        <w:gridCol w:w="1256"/>
        <w:gridCol w:w="3454"/>
        <w:gridCol w:w="9862"/>
      </w:tblGrid>
      <w:tr w:rsidR="00ED71B8" w:rsidRPr="00E3698F" w14:paraId="0B74C338" w14:textId="77777777" w:rsidTr="00ED71B8">
        <w:tc>
          <w:tcPr>
            <w:tcW w:w="5000" w:type="pct"/>
            <w:gridSpan w:val="3"/>
            <w:tcBorders>
              <w:top w:val="single" w:sz="4" w:space="0" w:color="auto"/>
              <w:left w:val="single" w:sz="4" w:space="0" w:color="auto"/>
              <w:right w:val="single" w:sz="4" w:space="0" w:color="auto"/>
            </w:tcBorders>
            <w:shd w:val="clear" w:color="auto" w:fill="FFFFFF" w:themeFill="background1"/>
          </w:tcPr>
          <w:p w14:paraId="2405BEC8" w14:textId="77777777" w:rsidR="00ED71B8" w:rsidRPr="00ED71B8" w:rsidRDefault="00321372" w:rsidP="00ED71B8">
            <w:pPr>
              <w:rPr>
                <w:rFonts w:ascii="Times New Roman" w:hAnsi="Times New Roman" w:cs="Times New Roman"/>
                <w:b/>
                <w:sz w:val="24"/>
                <w:szCs w:val="24"/>
              </w:rPr>
            </w:pPr>
            <w:r>
              <w:rPr>
                <w:rFonts w:ascii="Times New Roman" w:hAnsi="Times New Roman" w:cs="Times New Roman"/>
                <w:b/>
                <w:sz w:val="24"/>
                <w:szCs w:val="24"/>
              </w:rPr>
              <w:t>Рынок</w:t>
            </w:r>
            <w:r w:rsidR="00ED71B8" w:rsidRPr="00ED71B8">
              <w:rPr>
                <w:rFonts w:ascii="Times New Roman" w:hAnsi="Times New Roman" w:cs="Times New Roman"/>
                <w:b/>
                <w:sz w:val="24"/>
                <w:szCs w:val="24"/>
              </w:rPr>
              <w:t xml:space="preserve"> финансовых услуг</w:t>
            </w:r>
          </w:p>
        </w:tc>
      </w:tr>
      <w:tr w:rsidR="003F4CFF" w:rsidRPr="00E3698F" w14:paraId="5AC53A96" w14:textId="77777777" w:rsidTr="00961841">
        <w:tc>
          <w:tcPr>
            <w:tcW w:w="431" w:type="pct"/>
            <w:vMerge w:val="restart"/>
            <w:tcBorders>
              <w:top w:val="single" w:sz="4" w:space="0" w:color="auto"/>
              <w:left w:val="single" w:sz="4" w:space="0" w:color="auto"/>
              <w:right w:val="single" w:sz="4" w:space="0" w:color="auto"/>
            </w:tcBorders>
          </w:tcPr>
          <w:p w14:paraId="1971F68A" w14:textId="77777777" w:rsidR="003F4CFF" w:rsidRDefault="009E106C" w:rsidP="003F4CFF">
            <w:pPr>
              <w:rPr>
                <w:rFonts w:ascii="Times New Roman" w:hAnsi="Times New Roman" w:cs="Times New Roman"/>
                <w:sz w:val="24"/>
                <w:szCs w:val="24"/>
              </w:rPr>
            </w:pPr>
            <w:r>
              <w:rPr>
                <w:rFonts w:ascii="Times New Roman" w:hAnsi="Times New Roman" w:cs="Times New Roman"/>
                <w:sz w:val="24"/>
                <w:szCs w:val="24"/>
              </w:rPr>
              <w:t>1.</w:t>
            </w:r>
          </w:p>
        </w:tc>
        <w:tc>
          <w:tcPr>
            <w:tcW w:w="1185"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440BD2A4" w14:textId="77777777" w:rsidR="003F4CFF" w:rsidRPr="00694711"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3384"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149CB47F" w14:textId="77777777" w:rsidR="003F4CFF" w:rsidRPr="00AB3DC7" w:rsidRDefault="003F4CFF" w:rsidP="003F4CFF">
            <w:pPr>
              <w:jc w:val="both"/>
              <w:rPr>
                <w:rFonts w:ascii="Times New Roman" w:hAnsi="Times New Roman" w:cs="Times New Roman"/>
                <w:sz w:val="24"/>
                <w:szCs w:val="24"/>
              </w:rPr>
            </w:pPr>
            <w:r>
              <w:rPr>
                <w:rFonts w:ascii="Times New Roman" w:hAnsi="Times New Roman" w:cs="Times New Roman"/>
                <w:sz w:val="24"/>
                <w:szCs w:val="24"/>
              </w:rPr>
              <w:t xml:space="preserve">Проведение мониторингов на рынке финансовых услуг </w:t>
            </w:r>
          </w:p>
        </w:tc>
      </w:tr>
      <w:tr w:rsidR="003F4CFF" w:rsidRPr="00E3698F" w14:paraId="59921C91" w14:textId="77777777" w:rsidTr="00961841">
        <w:tc>
          <w:tcPr>
            <w:tcW w:w="431" w:type="pct"/>
            <w:vMerge/>
            <w:tcBorders>
              <w:left w:val="single" w:sz="4" w:space="0" w:color="auto"/>
              <w:right w:val="single" w:sz="4" w:space="0" w:color="auto"/>
            </w:tcBorders>
          </w:tcPr>
          <w:p w14:paraId="5B656D26" w14:textId="77777777" w:rsidR="003F4CFF" w:rsidRDefault="003F4CFF" w:rsidP="003F4CFF">
            <w:pPr>
              <w:rPr>
                <w:rFonts w:ascii="Times New Roman" w:hAnsi="Times New Roman" w:cs="Times New Roman"/>
                <w:sz w:val="24"/>
                <w:szCs w:val="24"/>
              </w:rPr>
            </w:pPr>
          </w:p>
        </w:tc>
        <w:tc>
          <w:tcPr>
            <w:tcW w:w="1185" w:type="pct"/>
            <w:tcBorders>
              <w:top w:val="single" w:sz="4" w:space="0" w:color="auto"/>
              <w:left w:val="single" w:sz="4" w:space="0" w:color="auto"/>
              <w:bottom w:val="single" w:sz="4" w:space="0" w:color="auto"/>
              <w:right w:val="single" w:sz="4" w:space="0" w:color="auto"/>
            </w:tcBorders>
          </w:tcPr>
          <w:p w14:paraId="5D1930C8" w14:textId="77777777" w:rsidR="003F4CFF" w:rsidRPr="00694711"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Краткое описание успешной практики</w:t>
            </w:r>
          </w:p>
        </w:tc>
        <w:tc>
          <w:tcPr>
            <w:tcW w:w="3384" w:type="pct"/>
            <w:tcBorders>
              <w:top w:val="single" w:sz="4" w:space="0" w:color="auto"/>
              <w:left w:val="single" w:sz="4" w:space="0" w:color="auto"/>
              <w:bottom w:val="single" w:sz="4" w:space="0" w:color="auto"/>
              <w:right w:val="single" w:sz="4" w:space="0" w:color="auto"/>
            </w:tcBorders>
          </w:tcPr>
          <w:p w14:paraId="2A714AAA" w14:textId="77777777" w:rsidR="003F4CFF" w:rsidRPr="00FA3888" w:rsidRDefault="003F4CFF" w:rsidP="003F4CFF">
            <w:pPr>
              <w:pStyle w:val="afe"/>
              <w:jc w:val="both"/>
              <w:rPr>
                <w:rFonts w:ascii="Times New Roman" w:hAnsi="Times New Roman" w:cs="Times New Roman"/>
                <w:sz w:val="24"/>
                <w:szCs w:val="24"/>
              </w:rPr>
            </w:pPr>
            <w:r>
              <w:rPr>
                <w:rFonts w:ascii="Times New Roman" w:hAnsi="Times New Roman" w:cs="Times New Roman"/>
                <w:sz w:val="24"/>
                <w:szCs w:val="24"/>
              </w:rPr>
              <w:t xml:space="preserve">Министерством экономического развития Новосибирской области в рамках мониторинга </w:t>
            </w:r>
            <w:r w:rsidRPr="00FA3888">
              <w:rPr>
                <w:rFonts w:ascii="Times New Roman" w:hAnsi="Times New Roman" w:cs="Times New Roman"/>
                <w:sz w:val="24"/>
                <w:szCs w:val="24"/>
              </w:rPr>
              <w:t>состояния и развития конкурентной среды на товарных рынках Новосибирской области за 2019 год были организованы и проведены мониторинги:</w:t>
            </w:r>
          </w:p>
          <w:p w14:paraId="574A25B6" w14:textId="77777777" w:rsidR="003F4CFF" w:rsidRDefault="003F4CFF" w:rsidP="003F4CFF">
            <w:pPr>
              <w:pStyle w:val="afe"/>
              <w:jc w:val="both"/>
              <w:rPr>
                <w:rFonts w:ascii="Times New Roman" w:hAnsi="Times New Roman" w:cs="Times New Roman"/>
                <w:sz w:val="24"/>
                <w:szCs w:val="24"/>
              </w:rPr>
            </w:pPr>
            <w:r>
              <w:rPr>
                <w:rFonts w:ascii="Times New Roman" w:hAnsi="Times New Roman" w:cs="Times New Roman"/>
                <w:sz w:val="24"/>
                <w:szCs w:val="24"/>
              </w:rPr>
              <w:t>1. М</w:t>
            </w:r>
            <w:r w:rsidRPr="00FA3888">
              <w:rPr>
                <w:rFonts w:ascii="Times New Roman" w:hAnsi="Times New Roman" w:cs="Times New Roman"/>
                <w:sz w:val="24"/>
                <w:szCs w:val="24"/>
              </w:rPr>
              <w:t>ониторинг удовлетворенности населения деятельностью в сфере финансовых услуг, осуществляемой на территории Новосибирской области</w:t>
            </w:r>
            <w:r>
              <w:rPr>
                <w:rFonts w:ascii="Times New Roman" w:hAnsi="Times New Roman" w:cs="Times New Roman"/>
                <w:sz w:val="24"/>
                <w:szCs w:val="24"/>
              </w:rPr>
              <w:t>.</w:t>
            </w:r>
          </w:p>
          <w:p w14:paraId="52959BAC" w14:textId="77777777" w:rsidR="003F4CFF" w:rsidRDefault="003F4CFF" w:rsidP="003F4CFF">
            <w:pPr>
              <w:pStyle w:val="afe"/>
              <w:jc w:val="both"/>
              <w:rPr>
                <w:rFonts w:ascii="Times New Roman" w:hAnsi="Times New Roman" w:cs="Times New Roman"/>
                <w:sz w:val="24"/>
                <w:szCs w:val="24"/>
              </w:rPr>
            </w:pPr>
            <w:r>
              <w:rPr>
                <w:rFonts w:ascii="Times New Roman" w:hAnsi="Times New Roman" w:cs="Times New Roman"/>
                <w:sz w:val="24"/>
                <w:szCs w:val="24"/>
              </w:rPr>
              <w:t>2. </w:t>
            </w:r>
            <w:r w:rsidRPr="00FA3888">
              <w:rPr>
                <w:rFonts w:ascii="Times New Roman" w:hAnsi="Times New Roman" w:cs="Times New Roman"/>
                <w:sz w:val="24"/>
                <w:szCs w:val="24"/>
              </w:rPr>
              <w:t>Мониторинг доступности для населения финансовых услуг, оказываемых на территории Новосибирской области</w:t>
            </w:r>
            <w:r>
              <w:rPr>
                <w:rFonts w:ascii="Times New Roman" w:hAnsi="Times New Roman" w:cs="Times New Roman"/>
                <w:sz w:val="24"/>
                <w:szCs w:val="24"/>
              </w:rPr>
              <w:t>.</w:t>
            </w:r>
          </w:p>
          <w:p w14:paraId="5081E62E" w14:textId="77777777" w:rsidR="003F4CFF" w:rsidRPr="00FA3888" w:rsidRDefault="003F4CFF" w:rsidP="003F4CFF">
            <w:pPr>
              <w:pStyle w:val="afe"/>
              <w:jc w:val="both"/>
              <w:rPr>
                <w:rFonts w:ascii="Times New Roman" w:hAnsi="Times New Roman" w:cs="Times New Roman"/>
                <w:sz w:val="24"/>
                <w:szCs w:val="24"/>
              </w:rPr>
            </w:pPr>
            <w:r w:rsidRPr="00FA3888">
              <w:rPr>
                <w:rFonts w:ascii="Times New Roman" w:hAnsi="Times New Roman" w:cs="Times New Roman"/>
                <w:sz w:val="24"/>
                <w:szCs w:val="24"/>
              </w:rPr>
              <w:t>В ходе мониторингов был проведен сбор данных:</w:t>
            </w:r>
          </w:p>
          <w:p w14:paraId="2268649B" w14:textId="77777777" w:rsidR="003F4CFF" w:rsidRPr="00FA3888" w:rsidRDefault="003F4CFF" w:rsidP="003F4CFF">
            <w:pPr>
              <w:pStyle w:val="afe"/>
              <w:jc w:val="both"/>
              <w:rPr>
                <w:rFonts w:ascii="Times New Roman" w:hAnsi="Times New Roman" w:cs="Times New Roman"/>
                <w:sz w:val="24"/>
                <w:szCs w:val="24"/>
              </w:rPr>
            </w:pPr>
            <w:r w:rsidRPr="00FA3888">
              <w:rPr>
                <w:rFonts w:ascii="Times New Roman" w:hAnsi="Times New Roman" w:cs="Times New Roman"/>
                <w:sz w:val="24"/>
                <w:szCs w:val="24"/>
              </w:rPr>
              <w:t>об уровне удовлетворенности населения деятельностью финансовых организаций на территории Новосибирской области, а также различными финансовыми продуктами и услугами (в рамках кредитования, сбережения и размещения свободных денежных средств, оказания платежных услуг, услуг страхования) в том числе их качеством, доступностью, стоимостью и др.</w:t>
            </w:r>
          </w:p>
          <w:p w14:paraId="19E84562" w14:textId="77777777" w:rsidR="003F4CFF" w:rsidRPr="00FA3888" w:rsidRDefault="003F4CFF" w:rsidP="003F4CFF">
            <w:pPr>
              <w:autoSpaceDE w:val="0"/>
              <w:autoSpaceDN w:val="0"/>
              <w:adjustRightInd w:val="0"/>
              <w:jc w:val="both"/>
              <w:rPr>
                <w:rFonts w:ascii="Times New Roman" w:hAnsi="Times New Roman" w:cs="Times New Roman"/>
                <w:sz w:val="24"/>
                <w:szCs w:val="24"/>
              </w:rPr>
            </w:pPr>
            <w:r w:rsidRPr="00FA3888">
              <w:rPr>
                <w:rFonts w:ascii="Times New Roman" w:hAnsi="Times New Roman" w:cs="Times New Roman"/>
                <w:sz w:val="24"/>
                <w:szCs w:val="24"/>
              </w:rPr>
              <w:t>об использовании населением финансовых продуктов и услуг различных финансовых организаций, возможности использования различных способов доступа к финансовым услугам (в том числе дистанционным), а также существующих барьерах для доступа к финансовым услугам;</w:t>
            </w:r>
          </w:p>
          <w:p w14:paraId="7EBA877B" w14:textId="77777777" w:rsidR="003F4CFF" w:rsidRPr="00FA3888" w:rsidRDefault="003F4CFF" w:rsidP="003F4CFF">
            <w:pPr>
              <w:autoSpaceDE w:val="0"/>
              <w:autoSpaceDN w:val="0"/>
              <w:adjustRightInd w:val="0"/>
              <w:jc w:val="both"/>
              <w:rPr>
                <w:rFonts w:ascii="Times New Roman" w:hAnsi="Times New Roman" w:cs="Times New Roman"/>
                <w:sz w:val="24"/>
                <w:szCs w:val="24"/>
              </w:rPr>
            </w:pPr>
            <w:r w:rsidRPr="00FA3888">
              <w:rPr>
                <w:rFonts w:ascii="Times New Roman" w:hAnsi="Times New Roman" w:cs="Times New Roman"/>
                <w:sz w:val="24"/>
                <w:szCs w:val="24"/>
              </w:rPr>
              <w:t>об оценке населением своего уровня финансовой грамотности (осведомленности, знаний, навыков, установок и поведения).</w:t>
            </w:r>
          </w:p>
          <w:p w14:paraId="54EC7371" w14:textId="77777777" w:rsidR="003F4CFF" w:rsidRDefault="003F4CFF" w:rsidP="003F4CFF">
            <w:pPr>
              <w:pStyle w:val="afe"/>
              <w:jc w:val="both"/>
              <w:rPr>
                <w:rFonts w:ascii="Times New Roman" w:hAnsi="Times New Roman" w:cs="Times New Roman"/>
                <w:sz w:val="24"/>
                <w:szCs w:val="24"/>
              </w:rPr>
            </w:pPr>
            <w:r>
              <w:rPr>
                <w:rFonts w:ascii="Times New Roman" w:hAnsi="Times New Roman" w:cs="Times New Roman"/>
                <w:sz w:val="24"/>
                <w:szCs w:val="24"/>
              </w:rPr>
              <w:t>Анкеты для проведения опроса и методика расчета показателей разрабатывались министе</w:t>
            </w:r>
            <w:r w:rsidR="00512FD0">
              <w:rPr>
                <w:rFonts w:ascii="Times New Roman" w:hAnsi="Times New Roman" w:cs="Times New Roman"/>
                <w:sz w:val="24"/>
                <w:szCs w:val="24"/>
              </w:rPr>
              <w:t>р</w:t>
            </w:r>
            <w:r>
              <w:rPr>
                <w:rFonts w:ascii="Times New Roman" w:hAnsi="Times New Roman" w:cs="Times New Roman"/>
                <w:sz w:val="24"/>
                <w:szCs w:val="24"/>
              </w:rPr>
              <w:t>ством экономического развития во взаимодействии с Сибирским главным управлением Центрального банка Российской Федерации (далее –СГУ ЦБ РФ.</w:t>
            </w:r>
          </w:p>
          <w:p w14:paraId="0E159656" w14:textId="77777777" w:rsidR="003F4CFF" w:rsidRDefault="003F4CFF" w:rsidP="003F4CFF">
            <w:pPr>
              <w:pStyle w:val="afe"/>
              <w:jc w:val="both"/>
              <w:rPr>
                <w:rFonts w:ascii="Times New Roman" w:hAnsi="Times New Roman" w:cs="Times New Roman"/>
                <w:sz w:val="24"/>
                <w:szCs w:val="24"/>
              </w:rPr>
            </w:pPr>
            <w:r>
              <w:rPr>
                <w:rFonts w:ascii="Times New Roman" w:hAnsi="Times New Roman" w:cs="Times New Roman"/>
                <w:sz w:val="24"/>
                <w:szCs w:val="24"/>
              </w:rPr>
              <w:lastRenderedPageBreak/>
              <w:t>В целях обсуждения всех вопросов, связанных с проведением мониторингов на рынке финансовых услуг было организовано проведение совместного совещания представителей областных исполнительных органов власти Новосибирской области и СГУ ЦБ РФ.</w:t>
            </w:r>
          </w:p>
          <w:p w14:paraId="6D352460" w14:textId="77777777" w:rsidR="003F4CFF" w:rsidRDefault="003F4CFF" w:rsidP="003F4CFF">
            <w:pPr>
              <w:pStyle w:val="afe"/>
              <w:jc w:val="both"/>
              <w:rPr>
                <w:rFonts w:ascii="Times New Roman" w:hAnsi="Times New Roman" w:cs="Times New Roman"/>
                <w:sz w:val="24"/>
                <w:szCs w:val="24"/>
              </w:rPr>
            </w:pPr>
            <w:r>
              <w:rPr>
                <w:rFonts w:ascii="Times New Roman" w:hAnsi="Times New Roman" w:cs="Times New Roman"/>
                <w:sz w:val="24"/>
                <w:szCs w:val="24"/>
              </w:rPr>
              <w:t>После получения результатов мониторингов, представители СГУ ЦБ РФ выступили на заседании совета по конкуренции с вопросом «Об основных вопросах развития финансового рынка Российской Федерации на период 2019-2021 годов. Состояние конкуренции на финансовом рынке Новосибирской области».</w:t>
            </w:r>
          </w:p>
          <w:p w14:paraId="2AC16D7D" w14:textId="77777777" w:rsidR="003F4CFF" w:rsidRPr="00AB3DC7" w:rsidRDefault="003F4CFF" w:rsidP="003F4CFF">
            <w:pPr>
              <w:jc w:val="both"/>
              <w:rPr>
                <w:rFonts w:ascii="Times New Roman" w:hAnsi="Times New Roman" w:cs="Times New Roman"/>
                <w:sz w:val="24"/>
                <w:szCs w:val="24"/>
              </w:rPr>
            </w:pPr>
            <w:r>
              <w:rPr>
                <w:rFonts w:ascii="Times New Roman" w:hAnsi="Times New Roman" w:cs="Times New Roman"/>
                <w:sz w:val="24"/>
                <w:szCs w:val="24"/>
              </w:rPr>
              <w:t xml:space="preserve">По результатам рассмотрения было принято решение о дальнейшем взаимодействии, а также проведении рабочих встреч по обсуждению вопросов эквайринга и блокировки счетов и других вопросов. </w:t>
            </w:r>
          </w:p>
        </w:tc>
      </w:tr>
      <w:tr w:rsidR="003F4CFF" w:rsidRPr="00E3698F" w14:paraId="40CC680B" w14:textId="77777777" w:rsidTr="00961841">
        <w:tc>
          <w:tcPr>
            <w:tcW w:w="431" w:type="pct"/>
            <w:vMerge/>
            <w:tcBorders>
              <w:left w:val="single" w:sz="4" w:space="0" w:color="auto"/>
              <w:right w:val="single" w:sz="4" w:space="0" w:color="auto"/>
            </w:tcBorders>
          </w:tcPr>
          <w:p w14:paraId="555EBD71" w14:textId="77777777" w:rsidR="003F4CFF" w:rsidRDefault="003F4CFF" w:rsidP="003F4CFF">
            <w:pPr>
              <w:rPr>
                <w:rFonts w:ascii="Times New Roman" w:hAnsi="Times New Roman" w:cs="Times New Roman"/>
                <w:sz w:val="24"/>
                <w:szCs w:val="24"/>
              </w:rPr>
            </w:pPr>
          </w:p>
        </w:tc>
        <w:tc>
          <w:tcPr>
            <w:tcW w:w="1185" w:type="pct"/>
            <w:tcBorders>
              <w:top w:val="single" w:sz="4" w:space="0" w:color="auto"/>
              <w:left w:val="single" w:sz="4" w:space="0" w:color="auto"/>
              <w:bottom w:val="single" w:sz="4" w:space="0" w:color="auto"/>
              <w:right w:val="single" w:sz="4" w:space="0" w:color="auto"/>
            </w:tcBorders>
          </w:tcPr>
          <w:p w14:paraId="2E967EEE" w14:textId="77777777" w:rsidR="003F4CFF" w:rsidRPr="00694711"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Ресурсы, привлеченные для ее реализации</w:t>
            </w:r>
          </w:p>
        </w:tc>
        <w:tc>
          <w:tcPr>
            <w:tcW w:w="3384" w:type="pct"/>
            <w:tcBorders>
              <w:top w:val="single" w:sz="4" w:space="0" w:color="auto"/>
              <w:left w:val="single" w:sz="4" w:space="0" w:color="auto"/>
              <w:bottom w:val="single" w:sz="4" w:space="0" w:color="auto"/>
              <w:right w:val="single" w:sz="4" w:space="0" w:color="auto"/>
            </w:tcBorders>
          </w:tcPr>
          <w:p w14:paraId="5E9032FF" w14:textId="77777777" w:rsidR="003F4CFF" w:rsidRPr="00FA3888" w:rsidRDefault="003F4CFF" w:rsidP="003F4CFF">
            <w:pPr>
              <w:autoSpaceDE w:val="0"/>
              <w:autoSpaceDN w:val="0"/>
              <w:adjustRightInd w:val="0"/>
              <w:jc w:val="both"/>
              <w:rPr>
                <w:rFonts w:ascii="Times New Roman" w:eastAsia="Times New Roman" w:hAnsi="Times New Roman" w:cs="Times New Roman"/>
                <w:sz w:val="24"/>
                <w:szCs w:val="24"/>
              </w:rPr>
            </w:pPr>
            <w:r w:rsidRPr="00FA3888">
              <w:rPr>
                <w:rFonts w:ascii="Times New Roman" w:eastAsia="Times New Roman" w:hAnsi="Times New Roman" w:cs="Times New Roman"/>
                <w:sz w:val="24"/>
                <w:szCs w:val="24"/>
              </w:rPr>
              <w:t xml:space="preserve">Проведение мониторинга состояния и развития конкурентной среды на рынках товаров, работ и услуг Новосибирской области осуществляется в рамках реализации мероприятий государственной программы Новосибирской области «Стимулирование инвестиционной и инновационной активности в Новосибирской области», утвержденной Постановлением Правительства Новосибирской области от 01.04.2015 № 126-п (далее – государственная программа). </w:t>
            </w:r>
          </w:p>
          <w:p w14:paraId="5D0145DD" w14:textId="77777777" w:rsidR="003F4CFF" w:rsidRPr="00FA3888" w:rsidRDefault="003F4CFF" w:rsidP="003F4CFF">
            <w:pPr>
              <w:autoSpaceDE w:val="0"/>
              <w:autoSpaceDN w:val="0"/>
              <w:adjustRightInd w:val="0"/>
              <w:jc w:val="both"/>
              <w:rPr>
                <w:rFonts w:ascii="Times New Roman" w:eastAsia="Times New Roman" w:hAnsi="Times New Roman" w:cs="Times New Roman"/>
                <w:sz w:val="24"/>
                <w:szCs w:val="24"/>
              </w:rPr>
            </w:pPr>
            <w:r w:rsidRPr="00FA3888">
              <w:rPr>
                <w:rFonts w:ascii="Times New Roman" w:eastAsia="Times New Roman" w:hAnsi="Times New Roman" w:cs="Times New Roman"/>
                <w:sz w:val="24"/>
                <w:szCs w:val="24"/>
              </w:rPr>
              <w:t xml:space="preserve">Источником финансирования проведения </w:t>
            </w:r>
            <w:r w:rsidRPr="00FA3888">
              <w:rPr>
                <w:rFonts w:ascii="Times New Roman" w:hAnsi="Times New Roman" w:cs="Times New Roman"/>
                <w:sz w:val="24"/>
                <w:szCs w:val="24"/>
                <w:lang w:eastAsia="en-US"/>
              </w:rPr>
              <w:t xml:space="preserve">мониторинга состояния и развития конкурентной среды на рынках товаров, работ и услуг Новосибирской области </w:t>
            </w:r>
            <w:r w:rsidRPr="00FA3888">
              <w:rPr>
                <w:rFonts w:ascii="Times New Roman" w:eastAsia="Times New Roman" w:hAnsi="Times New Roman" w:cs="Times New Roman"/>
                <w:sz w:val="24"/>
                <w:szCs w:val="24"/>
              </w:rPr>
              <w:t>является областной бюджет Новосибирской области.</w:t>
            </w:r>
          </w:p>
          <w:p w14:paraId="14E21856" w14:textId="77777777" w:rsidR="003F4CFF" w:rsidRPr="00AB3DC7" w:rsidRDefault="003F4CFF" w:rsidP="003F4CFF">
            <w:pPr>
              <w:jc w:val="both"/>
              <w:rPr>
                <w:rFonts w:ascii="Times New Roman" w:hAnsi="Times New Roman" w:cs="Times New Roman"/>
                <w:sz w:val="24"/>
                <w:szCs w:val="24"/>
              </w:rPr>
            </w:pPr>
            <w:r>
              <w:rPr>
                <w:rFonts w:ascii="Times New Roman" w:eastAsia="Times New Roman" w:hAnsi="Times New Roman" w:cs="Times New Roman"/>
                <w:sz w:val="24"/>
                <w:szCs w:val="24"/>
              </w:rPr>
              <w:t>М</w:t>
            </w:r>
            <w:r w:rsidRPr="00FA3888">
              <w:rPr>
                <w:rFonts w:ascii="Times New Roman" w:eastAsia="Times New Roman" w:hAnsi="Times New Roman" w:cs="Times New Roman"/>
                <w:sz w:val="24"/>
                <w:szCs w:val="24"/>
              </w:rPr>
              <w:t>инистерством экономического развития Новосибирской области проведен</w:t>
            </w:r>
            <w:r>
              <w:rPr>
                <w:rFonts w:ascii="Times New Roman" w:eastAsia="Times New Roman" w:hAnsi="Times New Roman" w:cs="Times New Roman"/>
                <w:sz w:val="24"/>
                <w:szCs w:val="24"/>
              </w:rPr>
              <w:t xml:space="preserve"> конкурс на проведение научно-исследовательской работы. С победителем конкурса заключен государственный контракт. </w:t>
            </w:r>
            <w:r w:rsidRPr="00FA3888">
              <w:rPr>
                <w:rFonts w:ascii="Times New Roman" w:eastAsia="Times New Roman" w:hAnsi="Times New Roman" w:cs="Times New Roman"/>
                <w:sz w:val="24"/>
                <w:szCs w:val="24"/>
              </w:rPr>
              <w:t xml:space="preserve">Информация о проведенном конкурсе представлена в Единой информационной системе в сфере закупок </w:t>
            </w:r>
            <w:hyperlink r:id="rId251" w:history="1">
              <w:r w:rsidRPr="00FA3888">
                <w:rPr>
                  <w:rFonts w:ascii="Times New Roman" w:eastAsia="Times New Roman" w:hAnsi="Times New Roman" w:cs="Times New Roman"/>
                  <w:color w:val="0000FF"/>
                  <w:sz w:val="24"/>
                  <w:szCs w:val="24"/>
                  <w:u w:val="single"/>
                </w:rPr>
                <w:t>http://zakupki.gov.ru/epz/main/public/home.html</w:t>
              </w:r>
            </w:hyperlink>
            <w:r>
              <w:rPr>
                <w:rFonts w:ascii="Times New Roman" w:eastAsia="Times New Roman" w:hAnsi="Times New Roman" w:cs="Times New Roman"/>
                <w:sz w:val="24"/>
                <w:szCs w:val="24"/>
              </w:rPr>
              <w:t>.</w:t>
            </w:r>
          </w:p>
        </w:tc>
      </w:tr>
      <w:tr w:rsidR="003F4CFF" w:rsidRPr="00E3698F" w14:paraId="2EA71930" w14:textId="77777777" w:rsidTr="00961841">
        <w:tc>
          <w:tcPr>
            <w:tcW w:w="431" w:type="pct"/>
            <w:vMerge/>
            <w:tcBorders>
              <w:left w:val="single" w:sz="4" w:space="0" w:color="auto"/>
              <w:right w:val="single" w:sz="4" w:space="0" w:color="auto"/>
            </w:tcBorders>
          </w:tcPr>
          <w:p w14:paraId="7CC04ECD" w14:textId="77777777" w:rsidR="003F4CFF" w:rsidRDefault="003F4CFF" w:rsidP="003F4CFF">
            <w:pPr>
              <w:rPr>
                <w:rFonts w:ascii="Times New Roman" w:hAnsi="Times New Roman" w:cs="Times New Roman"/>
                <w:sz w:val="24"/>
                <w:szCs w:val="24"/>
              </w:rPr>
            </w:pPr>
          </w:p>
        </w:tc>
        <w:tc>
          <w:tcPr>
            <w:tcW w:w="1185" w:type="pct"/>
            <w:tcBorders>
              <w:top w:val="single" w:sz="4" w:space="0" w:color="auto"/>
              <w:left w:val="single" w:sz="4" w:space="0" w:color="auto"/>
              <w:bottom w:val="single" w:sz="4" w:space="0" w:color="auto"/>
              <w:right w:val="single" w:sz="4" w:space="0" w:color="auto"/>
            </w:tcBorders>
          </w:tcPr>
          <w:p w14:paraId="789C0262" w14:textId="77777777" w:rsidR="003F4CFF" w:rsidRPr="00694711"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Описание результата</w:t>
            </w:r>
          </w:p>
        </w:tc>
        <w:tc>
          <w:tcPr>
            <w:tcW w:w="3384" w:type="pct"/>
            <w:tcBorders>
              <w:top w:val="single" w:sz="4" w:space="0" w:color="auto"/>
              <w:left w:val="single" w:sz="4" w:space="0" w:color="auto"/>
              <w:bottom w:val="single" w:sz="4" w:space="0" w:color="auto"/>
              <w:right w:val="single" w:sz="4" w:space="0" w:color="auto"/>
            </w:tcBorders>
          </w:tcPr>
          <w:p w14:paraId="141469CF" w14:textId="77777777" w:rsidR="003F4CFF" w:rsidRPr="009E106C" w:rsidRDefault="003F4CFF" w:rsidP="003F4CFF">
            <w:pPr>
              <w:jc w:val="both"/>
              <w:rPr>
                <w:rFonts w:ascii="Times New Roman" w:eastAsia="Times New Roman" w:hAnsi="Times New Roman" w:cs="Times New Roman"/>
                <w:sz w:val="24"/>
                <w:szCs w:val="24"/>
              </w:rPr>
            </w:pPr>
            <w:r w:rsidRPr="009E106C">
              <w:rPr>
                <w:rFonts w:ascii="Times New Roman" w:eastAsia="Times New Roman" w:hAnsi="Times New Roman" w:cs="Times New Roman"/>
                <w:sz w:val="24"/>
                <w:szCs w:val="24"/>
              </w:rPr>
              <w:t xml:space="preserve">В ходе мониторинга получены следующие показатели: </w:t>
            </w:r>
          </w:p>
          <w:p w14:paraId="6E2BD595" w14:textId="77777777" w:rsidR="003F4CFF" w:rsidRPr="009E106C" w:rsidRDefault="003F4CFF" w:rsidP="003F4CFF">
            <w:pPr>
              <w:pStyle w:val="ae"/>
              <w:widowControl w:val="0"/>
              <w:shd w:val="clear" w:color="auto" w:fill="FFFFFF"/>
              <w:tabs>
                <w:tab w:val="left" w:pos="1416"/>
              </w:tabs>
              <w:adjustRightInd w:val="0"/>
              <w:ind w:left="0" w:right="-115"/>
              <w:jc w:val="both"/>
              <w:rPr>
                <w:rFonts w:ascii="Times New Roman" w:eastAsia="Times New Roman" w:hAnsi="Times New Roman" w:cs="Times New Roman"/>
                <w:sz w:val="24"/>
                <w:szCs w:val="24"/>
              </w:rPr>
            </w:pPr>
            <w:r w:rsidRPr="009E106C">
              <w:rPr>
                <w:rFonts w:ascii="Times New Roman" w:eastAsia="Times New Roman" w:hAnsi="Times New Roman" w:cs="Times New Roman"/>
                <w:sz w:val="24"/>
                <w:szCs w:val="24"/>
              </w:rPr>
              <w:t xml:space="preserve">1. Структура востребованности услуг финансовых организаций. </w:t>
            </w:r>
          </w:p>
          <w:p w14:paraId="22AD957D" w14:textId="77777777" w:rsidR="003F4CFF" w:rsidRPr="009E106C" w:rsidRDefault="003F4CFF" w:rsidP="003F4CFF">
            <w:pPr>
              <w:pStyle w:val="ae"/>
              <w:widowControl w:val="0"/>
              <w:shd w:val="clear" w:color="auto" w:fill="FFFFFF"/>
              <w:tabs>
                <w:tab w:val="left" w:pos="1416"/>
              </w:tabs>
              <w:adjustRightInd w:val="0"/>
              <w:ind w:left="0" w:right="-115"/>
              <w:jc w:val="both"/>
              <w:rPr>
                <w:rFonts w:ascii="Times New Roman" w:eastAsia="Times New Roman" w:hAnsi="Times New Roman" w:cs="Times New Roman"/>
                <w:sz w:val="24"/>
                <w:szCs w:val="24"/>
              </w:rPr>
            </w:pPr>
            <w:r w:rsidRPr="009E106C">
              <w:rPr>
                <w:rFonts w:ascii="Times New Roman" w:eastAsia="Times New Roman" w:hAnsi="Times New Roman" w:cs="Times New Roman"/>
                <w:sz w:val="24"/>
                <w:szCs w:val="24"/>
              </w:rPr>
              <w:t>2. Оценка достаточности выбора финансовых организаций.</w:t>
            </w:r>
          </w:p>
          <w:p w14:paraId="784CA6A9" w14:textId="77777777" w:rsidR="003F4CFF" w:rsidRPr="009E106C" w:rsidRDefault="003F4CFF" w:rsidP="003F4CFF">
            <w:pPr>
              <w:pStyle w:val="ae"/>
              <w:widowControl w:val="0"/>
              <w:shd w:val="clear" w:color="auto" w:fill="FFFFFF"/>
              <w:tabs>
                <w:tab w:val="left" w:pos="1416"/>
              </w:tabs>
              <w:adjustRightInd w:val="0"/>
              <w:ind w:left="0" w:right="-115"/>
              <w:jc w:val="both"/>
              <w:rPr>
                <w:rFonts w:ascii="Times New Roman" w:eastAsia="Times New Roman" w:hAnsi="Times New Roman" w:cs="Times New Roman"/>
                <w:sz w:val="24"/>
                <w:szCs w:val="24"/>
              </w:rPr>
            </w:pPr>
            <w:r w:rsidRPr="009E106C">
              <w:rPr>
                <w:rFonts w:ascii="Times New Roman" w:eastAsia="Times New Roman" w:hAnsi="Times New Roman" w:cs="Times New Roman"/>
                <w:sz w:val="24"/>
                <w:szCs w:val="24"/>
              </w:rPr>
              <w:t>3. Удовлетворенность деятельностью финансовых организаций.</w:t>
            </w:r>
          </w:p>
          <w:p w14:paraId="2FA2A1D3" w14:textId="77777777" w:rsidR="003F4CFF" w:rsidRPr="009E106C" w:rsidRDefault="003F4CFF" w:rsidP="003F4CFF">
            <w:pPr>
              <w:pStyle w:val="ae"/>
              <w:widowControl w:val="0"/>
              <w:shd w:val="clear" w:color="auto" w:fill="FFFFFF"/>
              <w:tabs>
                <w:tab w:val="left" w:pos="1416"/>
              </w:tabs>
              <w:adjustRightInd w:val="0"/>
              <w:ind w:left="0" w:right="-115"/>
              <w:jc w:val="both"/>
              <w:rPr>
                <w:rFonts w:ascii="Times New Roman" w:eastAsia="Times New Roman" w:hAnsi="Times New Roman" w:cs="Times New Roman"/>
                <w:sz w:val="24"/>
                <w:szCs w:val="24"/>
              </w:rPr>
            </w:pPr>
            <w:r w:rsidRPr="009E106C">
              <w:rPr>
                <w:rFonts w:ascii="Times New Roman" w:eastAsia="Times New Roman" w:hAnsi="Times New Roman" w:cs="Times New Roman"/>
                <w:sz w:val="24"/>
                <w:szCs w:val="24"/>
              </w:rPr>
              <w:t>4. Удовлетворенность качеством, доступностью и стоимостью финансовых продуктов.</w:t>
            </w:r>
          </w:p>
          <w:p w14:paraId="0D26DC05" w14:textId="77777777" w:rsidR="003F4CFF" w:rsidRPr="009E106C" w:rsidRDefault="003F4CFF" w:rsidP="003F4CFF">
            <w:pPr>
              <w:pStyle w:val="ae"/>
              <w:widowControl w:val="0"/>
              <w:shd w:val="clear" w:color="auto" w:fill="FFFFFF"/>
              <w:tabs>
                <w:tab w:val="left" w:pos="0"/>
              </w:tabs>
              <w:adjustRightInd w:val="0"/>
              <w:ind w:left="0" w:right="-115"/>
              <w:jc w:val="both"/>
              <w:rPr>
                <w:rFonts w:ascii="Times New Roman" w:eastAsia="Times New Roman" w:hAnsi="Times New Roman" w:cs="Times New Roman"/>
                <w:sz w:val="24"/>
                <w:szCs w:val="24"/>
              </w:rPr>
            </w:pPr>
            <w:r w:rsidRPr="009E106C">
              <w:rPr>
                <w:rFonts w:ascii="Times New Roman" w:eastAsia="Times New Roman" w:hAnsi="Times New Roman" w:cs="Times New Roman"/>
                <w:sz w:val="24"/>
                <w:szCs w:val="24"/>
              </w:rPr>
              <w:t>5. Оценка трудностей при получении или использовании финансовых продуктов (услуг).</w:t>
            </w:r>
          </w:p>
          <w:p w14:paraId="26D3606B" w14:textId="77777777" w:rsidR="003F4CFF" w:rsidRPr="009E106C" w:rsidRDefault="003F4CFF" w:rsidP="003F4CFF">
            <w:pPr>
              <w:pStyle w:val="ae"/>
              <w:widowControl w:val="0"/>
              <w:shd w:val="clear" w:color="auto" w:fill="FFFFFF"/>
              <w:tabs>
                <w:tab w:val="left" w:pos="0"/>
              </w:tabs>
              <w:adjustRightInd w:val="0"/>
              <w:ind w:left="0" w:right="-115"/>
              <w:jc w:val="both"/>
              <w:rPr>
                <w:rFonts w:ascii="Times New Roman" w:eastAsia="Times New Roman" w:hAnsi="Times New Roman" w:cs="Times New Roman"/>
                <w:sz w:val="24"/>
                <w:szCs w:val="24"/>
              </w:rPr>
            </w:pPr>
            <w:r w:rsidRPr="009E106C">
              <w:rPr>
                <w:rFonts w:ascii="Times New Roman" w:eastAsia="Times New Roman" w:hAnsi="Times New Roman" w:cs="Times New Roman"/>
                <w:sz w:val="24"/>
                <w:szCs w:val="24"/>
              </w:rPr>
              <w:t>6. Уровень доступности финансовых продуктов (услуг).</w:t>
            </w:r>
          </w:p>
          <w:p w14:paraId="1626AFFB" w14:textId="77777777" w:rsidR="003F4CFF" w:rsidRPr="009E106C" w:rsidRDefault="003F4CFF" w:rsidP="003F4CFF">
            <w:pPr>
              <w:pStyle w:val="ae"/>
              <w:widowControl w:val="0"/>
              <w:shd w:val="clear" w:color="auto" w:fill="FFFFFF"/>
              <w:tabs>
                <w:tab w:val="left" w:pos="0"/>
              </w:tabs>
              <w:adjustRightInd w:val="0"/>
              <w:ind w:left="0" w:right="-115"/>
              <w:jc w:val="both"/>
              <w:rPr>
                <w:rFonts w:ascii="Times New Roman" w:eastAsia="Times New Roman" w:hAnsi="Times New Roman" w:cs="Times New Roman"/>
                <w:sz w:val="24"/>
                <w:szCs w:val="24"/>
              </w:rPr>
            </w:pPr>
            <w:r w:rsidRPr="009E106C">
              <w:rPr>
                <w:rFonts w:ascii="Times New Roman" w:eastAsia="Times New Roman" w:hAnsi="Times New Roman" w:cs="Times New Roman"/>
                <w:sz w:val="24"/>
                <w:szCs w:val="24"/>
              </w:rPr>
              <w:t>7. Структура использования финансовых продуктов (услуг) населением в настоящее время.</w:t>
            </w:r>
          </w:p>
          <w:p w14:paraId="6539F21E" w14:textId="77777777" w:rsidR="003F4CFF" w:rsidRPr="009E106C" w:rsidRDefault="003F4CFF" w:rsidP="003F4CFF">
            <w:pPr>
              <w:pStyle w:val="ae"/>
              <w:widowControl w:val="0"/>
              <w:shd w:val="clear" w:color="auto" w:fill="FFFFFF"/>
              <w:tabs>
                <w:tab w:val="left" w:pos="0"/>
              </w:tabs>
              <w:adjustRightInd w:val="0"/>
              <w:ind w:left="0" w:right="-115"/>
              <w:jc w:val="both"/>
              <w:rPr>
                <w:rFonts w:ascii="Times New Roman" w:eastAsia="Times New Roman" w:hAnsi="Times New Roman" w:cs="Times New Roman"/>
                <w:sz w:val="24"/>
                <w:szCs w:val="24"/>
              </w:rPr>
            </w:pPr>
            <w:r w:rsidRPr="009E106C">
              <w:rPr>
                <w:rFonts w:ascii="Times New Roman" w:eastAsia="Times New Roman" w:hAnsi="Times New Roman" w:cs="Times New Roman"/>
                <w:sz w:val="24"/>
                <w:szCs w:val="24"/>
              </w:rPr>
              <w:t>8. Оценка доступности (достаточности) мест (устройств) для совершения платежей и денежных переводов.</w:t>
            </w:r>
          </w:p>
          <w:p w14:paraId="7B0A631A" w14:textId="77777777" w:rsidR="003F4CFF" w:rsidRPr="009E106C" w:rsidRDefault="003F4CFF" w:rsidP="003F4CFF">
            <w:pPr>
              <w:pStyle w:val="ae"/>
              <w:widowControl w:val="0"/>
              <w:shd w:val="clear" w:color="auto" w:fill="FFFFFF"/>
              <w:tabs>
                <w:tab w:val="left" w:pos="0"/>
              </w:tabs>
              <w:adjustRightInd w:val="0"/>
              <w:ind w:left="0" w:right="-115"/>
              <w:jc w:val="both"/>
              <w:rPr>
                <w:rFonts w:ascii="Times New Roman" w:eastAsia="Times New Roman" w:hAnsi="Times New Roman" w:cs="Times New Roman"/>
                <w:sz w:val="24"/>
                <w:szCs w:val="24"/>
              </w:rPr>
            </w:pPr>
            <w:r w:rsidRPr="009E106C">
              <w:rPr>
                <w:rFonts w:ascii="Times New Roman" w:eastAsia="Times New Roman" w:hAnsi="Times New Roman" w:cs="Times New Roman"/>
                <w:sz w:val="24"/>
                <w:szCs w:val="24"/>
              </w:rPr>
              <w:lastRenderedPageBreak/>
              <w:t>9. Структура использования различных способов доступа к банковским услугам (платежам, переводам).</w:t>
            </w:r>
          </w:p>
          <w:p w14:paraId="5888E676" w14:textId="77777777" w:rsidR="003F4CFF" w:rsidRPr="009E106C" w:rsidRDefault="003F4CFF" w:rsidP="003F4CFF">
            <w:pPr>
              <w:pStyle w:val="ae"/>
              <w:widowControl w:val="0"/>
              <w:shd w:val="clear" w:color="auto" w:fill="FFFFFF"/>
              <w:tabs>
                <w:tab w:val="left" w:pos="0"/>
              </w:tabs>
              <w:adjustRightInd w:val="0"/>
              <w:ind w:left="0" w:right="-115"/>
              <w:jc w:val="both"/>
              <w:rPr>
                <w:rFonts w:ascii="Times New Roman" w:eastAsia="Times New Roman" w:hAnsi="Times New Roman" w:cs="Times New Roman"/>
                <w:sz w:val="24"/>
                <w:szCs w:val="24"/>
              </w:rPr>
            </w:pPr>
            <w:r w:rsidRPr="009E106C">
              <w:rPr>
                <w:rFonts w:ascii="Times New Roman" w:eastAsia="Times New Roman" w:hAnsi="Times New Roman" w:cs="Times New Roman"/>
                <w:sz w:val="24"/>
                <w:szCs w:val="24"/>
              </w:rPr>
              <w:t>10. Оценка финансовой грамотности населения.</w:t>
            </w:r>
          </w:p>
          <w:p w14:paraId="16FE2D30" w14:textId="77777777" w:rsidR="003F4CFF" w:rsidRPr="009E106C" w:rsidRDefault="003F4CFF" w:rsidP="003F4CFF">
            <w:pPr>
              <w:pStyle w:val="ae"/>
              <w:widowControl w:val="0"/>
              <w:shd w:val="clear" w:color="auto" w:fill="FFFFFF"/>
              <w:tabs>
                <w:tab w:val="left" w:pos="0"/>
              </w:tabs>
              <w:adjustRightInd w:val="0"/>
              <w:ind w:left="0" w:right="-115"/>
              <w:jc w:val="both"/>
              <w:rPr>
                <w:rFonts w:ascii="Times New Roman" w:eastAsia="Times New Roman" w:hAnsi="Times New Roman" w:cs="Times New Roman"/>
                <w:sz w:val="24"/>
                <w:szCs w:val="24"/>
              </w:rPr>
            </w:pPr>
            <w:r w:rsidRPr="009E106C">
              <w:rPr>
                <w:rFonts w:ascii="Times New Roman" w:eastAsia="Times New Roman" w:hAnsi="Times New Roman" w:cs="Times New Roman"/>
                <w:sz w:val="24"/>
                <w:szCs w:val="24"/>
              </w:rPr>
              <w:t>11. Оценка (анализ) основных направлений по улучшению текущей ситуации и повышению доступности финансовых продуктов (услуг),</w:t>
            </w:r>
          </w:p>
          <w:p w14:paraId="301848A1" w14:textId="77777777" w:rsidR="003F4CFF" w:rsidRPr="00AB3DC7" w:rsidRDefault="003F4CFF" w:rsidP="003F4CFF">
            <w:pPr>
              <w:jc w:val="both"/>
              <w:rPr>
                <w:rFonts w:ascii="Times New Roman" w:hAnsi="Times New Roman" w:cs="Times New Roman"/>
                <w:sz w:val="24"/>
                <w:szCs w:val="24"/>
              </w:rPr>
            </w:pPr>
            <w:r w:rsidRPr="009E106C">
              <w:rPr>
                <w:rFonts w:ascii="Times New Roman" w:eastAsia="Times New Roman" w:hAnsi="Times New Roman" w:cs="Times New Roman"/>
                <w:sz w:val="24"/>
                <w:szCs w:val="24"/>
              </w:rPr>
              <w:t>Полученные результаты позволяют понять «сильные» и «слабые» стороны в сфере финансовых услуг, определить основные проблемы, а также планировать работу совместную работу органов власти и финансовых организаций, осуществляющих деятельность на территории Новосибирской области по развитию рынка финансовых услуг, повышению уровня удовлетворенности населения.</w:t>
            </w:r>
            <w:r>
              <w:rPr>
                <w:rFonts w:ascii="Times New Roman" w:hAnsi="Times New Roman" w:cs="Times New Roman"/>
              </w:rPr>
              <w:t xml:space="preserve"> </w:t>
            </w:r>
          </w:p>
        </w:tc>
      </w:tr>
      <w:tr w:rsidR="00236F5D" w:rsidRPr="00E3698F" w14:paraId="21707E43" w14:textId="77777777" w:rsidTr="00961841">
        <w:trPr>
          <w:trHeight w:val="1916"/>
        </w:trPr>
        <w:tc>
          <w:tcPr>
            <w:tcW w:w="431" w:type="pct"/>
            <w:vMerge/>
            <w:tcBorders>
              <w:left w:val="single" w:sz="4" w:space="0" w:color="auto"/>
              <w:right w:val="single" w:sz="4" w:space="0" w:color="auto"/>
            </w:tcBorders>
          </w:tcPr>
          <w:p w14:paraId="5B7E11F7" w14:textId="77777777" w:rsidR="00236F5D" w:rsidRDefault="00236F5D" w:rsidP="003F4CFF">
            <w:pPr>
              <w:rPr>
                <w:rFonts w:ascii="Times New Roman" w:hAnsi="Times New Roman" w:cs="Times New Roman"/>
                <w:sz w:val="24"/>
                <w:szCs w:val="24"/>
              </w:rPr>
            </w:pPr>
          </w:p>
        </w:tc>
        <w:tc>
          <w:tcPr>
            <w:tcW w:w="1185" w:type="pct"/>
            <w:tcBorders>
              <w:top w:val="single" w:sz="4" w:space="0" w:color="auto"/>
              <w:left w:val="single" w:sz="4" w:space="0" w:color="auto"/>
              <w:right w:val="single" w:sz="4" w:space="0" w:color="auto"/>
            </w:tcBorders>
          </w:tcPr>
          <w:p w14:paraId="0E840E2B" w14:textId="77777777" w:rsidR="00236F5D" w:rsidRPr="00694711" w:rsidRDefault="00236F5D" w:rsidP="003F4CFF">
            <w:pPr>
              <w:rPr>
                <w:rFonts w:ascii="Times New Roman" w:hAnsi="Times New Roman" w:cs="Times New Roman"/>
                <w:sz w:val="24"/>
                <w:szCs w:val="24"/>
              </w:rPr>
            </w:pPr>
            <w:r w:rsidRPr="00AB3DC7">
              <w:rPr>
                <w:rFonts w:ascii="Times New Roman" w:hAnsi="Times New Roman" w:cs="Times New Roman"/>
                <w:sz w:val="24"/>
                <w:szCs w:val="24"/>
              </w:rPr>
              <w:t>Значение количественного (качественного) показателя результата</w:t>
            </w:r>
          </w:p>
        </w:tc>
        <w:tc>
          <w:tcPr>
            <w:tcW w:w="3384" w:type="pct"/>
            <w:tcBorders>
              <w:top w:val="single" w:sz="4" w:space="0" w:color="auto"/>
              <w:left w:val="single" w:sz="4" w:space="0" w:color="auto"/>
              <w:right w:val="single" w:sz="4" w:space="0" w:color="auto"/>
            </w:tcBorders>
          </w:tcPr>
          <w:p w14:paraId="7B204E80" w14:textId="77777777" w:rsidR="00236F5D" w:rsidRPr="00AB3DC7" w:rsidRDefault="00236F5D" w:rsidP="003F4CFF">
            <w:pPr>
              <w:jc w:val="both"/>
              <w:rPr>
                <w:rFonts w:ascii="Times New Roman" w:hAnsi="Times New Roman" w:cs="Times New Roman"/>
                <w:sz w:val="24"/>
                <w:szCs w:val="24"/>
              </w:rPr>
            </w:pPr>
            <w:r w:rsidRPr="00FA3888">
              <w:rPr>
                <w:rFonts w:ascii="Times New Roman" w:hAnsi="Times New Roman" w:cs="Times New Roman"/>
                <w:sz w:val="24"/>
                <w:szCs w:val="24"/>
              </w:rPr>
              <w:t>Мониторинг проведен методом личного формализованного интервью с потребителями (населением) товаров, работ и услуг по случайно сгенерированным стационарным и мобильным телефонам (онлайн-опрос и телефонный опрос) в объеме 2680 чел.</w:t>
            </w:r>
            <w:r>
              <w:rPr>
                <w:rFonts w:ascii="Times New Roman" w:hAnsi="Times New Roman" w:cs="Times New Roman"/>
                <w:sz w:val="24"/>
                <w:szCs w:val="24"/>
              </w:rPr>
              <w:t xml:space="preserve"> Информация получена по 30 муниципальным районам и 5 городским округам Новосибирской области.</w:t>
            </w:r>
          </w:p>
        </w:tc>
      </w:tr>
      <w:tr w:rsidR="00321372" w:rsidRPr="00E3698F" w14:paraId="23CCEF7A" w14:textId="77777777" w:rsidTr="00321372">
        <w:trPr>
          <w:trHeight w:val="283"/>
        </w:trPr>
        <w:tc>
          <w:tcPr>
            <w:tcW w:w="5000" w:type="pct"/>
            <w:gridSpan w:val="3"/>
            <w:tcBorders>
              <w:left w:val="single" w:sz="4" w:space="0" w:color="auto"/>
              <w:right w:val="single" w:sz="4" w:space="0" w:color="auto"/>
            </w:tcBorders>
            <w:shd w:val="clear" w:color="auto" w:fill="FFFFFF" w:themeFill="background1"/>
          </w:tcPr>
          <w:p w14:paraId="73A88A42" w14:textId="77777777" w:rsidR="00321372" w:rsidRPr="00321372" w:rsidRDefault="00321372" w:rsidP="00321372">
            <w:pPr>
              <w:rPr>
                <w:rFonts w:ascii="Times New Roman" w:hAnsi="Times New Roman" w:cs="Times New Roman"/>
                <w:b/>
                <w:sz w:val="24"/>
                <w:szCs w:val="24"/>
              </w:rPr>
            </w:pPr>
            <w:r w:rsidRPr="00321372">
              <w:rPr>
                <w:rFonts w:ascii="Times New Roman" w:hAnsi="Times New Roman" w:cs="Times New Roman"/>
                <w:b/>
                <w:sz w:val="24"/>
                <w:szCs w:val="24"/>
              </w:rPr>
              <w:t>Внедрение антимонопольного комплаенса</w:t>
            </w:r>
          </w:p>
        </w:tc>
      </w:tr>
      <w:tr w:rsidR="00ED71B8" w:rsidRPr="00E3698F" w14:paraId="2C93F373" w14:textId="77777777" w:rsidTr="00ED71B8">
        <w:trPr>
          <w:trHeight w:val="1916"/>
        </w:trPr>
        <w:tc>
          <w:tcPr>
            <w:tcW w:w="431" w:type="pct"/>
            <w:vMerge w:val="restart"/>
            <w:tcBorders>
              <w:left w:val="single" w:sz="4" w:space="0" w:color="auto"/>
              <w:right w:val="single" w:sz="4" w:space="0" w:color="auto"/>
            </w:tcBorders>
          </w:tcPr>
          <w:p w14:paraId="080BEB92" w14:textId="77777777" w:rsidR="00ED71B8" w:rsidRDefault="00ED71B8" w:rsidP="00ED71B8">
            <w:pPr>
              <w:rPr>
                <w:rFonts w:ascii="Times New Roman" w:hAnsi="Times New Roman" w:cs="Times New Roman"/>
                <w:sz w:val="24"/>
                <w:szCs w:val="24"/>
              </w:rPr>
            </w:pPr>
            <w:r>
              <w:rPr>
                <w:rFonts w:ascii="Times New Roman" w:hAnsi="Times New Roman" w:cs="Times New Roman"/>
                <w:sz w:val="24"/>
                <w:szCs w:val="24"/>
              </w:rPr>
              <w:t>2.</w:t>
            </w:r>
          </w:p>
        </w:tc>
        <w:tc>
          <w:tcPr>
            <w:tcW w:w="1185" w:type="pct"/>
            <w:tcBorders>
              <w:top w:val="single" w:sz="4" w:space="0" w:color="auto"/>
              <w:left w:val="single" w:sz="4" w:space="0" w:color="auto"/>
              <w:right w:val="single" w:sz="4" w:space="0" w:color="auto"/>
            </w:tcBorders>
            <w:shd w:val="clear" w:color="auto" w:fill="D6E0F4" w:themeFill="accent2" w:themeFillTint="33"/>
          </w:tcPr>
          <w:p w14:paraId="4C59081F" w14:textId="77777777" w:rsidR="00ED71B8" w:rsidRPr="00694711" w:rsidRDefault="00ED71B8" w:rsidP="00ED71B8">
            <w:pPr>
              <w:rPr>
                <w:rFonts w:ascii="Times New Roman" w:hAnsi="Times New Roman" w:cs="Times New Roman"/>
                <w:sz w:val="24"/>
                <w:szCs w:val="24"/>
              </w:rPr>
            </w:pPr>
            <w:r w:rsidRPr="00AB3DC7">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3384" w:type="pct"/>
            <w:tcBorders>
              <w:top w:val="single" w:sz="4" w:space="0" w:color="auto"/>
              <w:left w:val="single" w:sz="4" w:space="0" w:color="auto"/>
              <w:right w:val="single" w:sz="4" w:space="0" w:color="auto"/>
            </w:tcBorders>
            <w:shd w:val="clear" w:color="auto" w:fill="D6E0F4" w:themeFill="accent2" w:themeFillTint="33"/>
          </w:tcPr>
          <w:p w14:paraId="0E995D10" w14:textId="77777777" w:rsidR="00ED71B8" w:rsidRPr="00220AFC" w:rsidRDefault="00ED71B8" w:rsidP="00ED71B8">
            <w:pPr>
              <w:rPr>
                <w:rFonts w:ascii="Times New Roman" w:hAnsi="Times New Roman" w:cs="Times New Roman"/>
                <w:sz w:val="24"/>
                <w:szCs w:val="24"/>
              </w:rPr>
            </w:pPr>
            <w:r w:rsidRPr="00220AFC">
              <w:rPr>
                <w:rFonts w:ascii="Times New Roman" w:hAnsi="Times New Roman" w:cs="Times New Roman"/>
                <w:sz w:val="24"/>
                <w:szCs w:val="24"/>
              </w:rPr>
              <w:t>Внедрение антимонопольного комплаенса в Новосибирской области</w:t>
            </w:r>
          </w:p>
        </w:tc>
      </w:tr>
      <w:tr w:rsidR="00ED71B8" w:rsidRPr="00E3698F" w14:paraId="1E240325" w14:textId="77777777" w:rsidTr="00961841">
        <w:trPr>
          <w:trHeight w:val="1916"/>
        </w:trPr>
        <w:tc>
          <w:tcPr>
            <w:tcW w:w="431" w:type="pct"/>
            <w:vMerge/>
            <w:tcBorders>
              <w:left w:val="single" w:sz="4" w:space="0" w:color="auto"/>
              <w:right w:val="single" w:sz="4" w:space="0" w:color="auto"/>
            </w:tcBorders>
          </w:tcPr>
          <w:p w14:paraId="42EF44F0" w14:textId="77777777" w:rsidR="00ED71B8" w:rsidRDefault="00ED71B8" w:rsidP="00ED71B8">
            <w:pPr>
              <w:rPr>
                <w:rFonts w:ascii="Times New Roman" w:hAnsi="Times New Roman" w:cs="Times New Roman"/>
                <w:sz w:val="24"/>
                <w:szCs w:val="24"/>
              </w:rPr>
            </w:pPr>
          </w:p>
        </w:tc>
        <w:tc>
          <w:tcPr>
            <w:tcW w:w="1185" w:type="pct"/>
            <w:tcBorders>
              <w:top w:val="single" w:sz="4" w:space="0" w:color="auto"/>
              <w:left w:val="single" w:sz="4" w:space="0" w:color="auto"/>
              <w:right w:val="single" w:sz="4" w:space="0" w:color="auto"/>
            </w:tcBorders>
          </w:tcPr>
          <w:p w14:paraId="703493EF" w14:textId="77777777" w:rsidR="00ED71B8" w:rsidRPr="00694711" w:rsidRDefault="00ED71B8" w:rsidP="00ED71B8">
            <w:pPr>
              <w:rPr>
                <w:rFonts w:ascii="Times New Roman" w:hAnsi="Times New Roman" w:cs="Times New Roman"/>
                <w:sz w:val="24"/>
                <w:szCs w:val="24"/>
              </w:rPr>
            </w:pPr>
            <w:r w:rsidRPr="00AB3DC7">
              <w:rPr>
                <w:rFonts w:ascii="Times New Roman" w:hAnsi="Times New Roman" w:cs="Times New Roman"/>
                <w:sz w:val="24"/>
                <w:szCs w:val="24"/>
              </w:rPr>
              <w:t>Краткое описание успешной практики</w:t>
            </w:r>
          </w:p>
        </w:tc>
        <w:tc>
          <w:tcPr>
            <w:tcW w:w="3384" w:type="pct"/>
            <w:tcBorders>
              <w:top w:val="single" w:sz="4" w:space="0" w:color="auto"/>
              <w:left w:val="single" w:sz="4" w:space="0" w:color="auto"/>
              <w:right w:val="single" w:sz="4" w:space="0" w:color="auto"/>
            </w:tcBorders>
          </w:tcPr>
          <w:p w14:paraId="2C1C357B" w14:textId="77777777" w:rsidR="00ED71B8" w:rsidRPr="00220AFC" w:rsidRDefault="00ED71B8" w:rsidP="00ED71B8">
            <w:pPr>
              <w:autoSpaceDE w:val="0"/>
              <w:autoSpaceDN w:val="0"/>
              <w:adjustRightInd w:val="0"/>
              <w:ind w:firstLine="424"/>
              <w:jc w:val="both"/>
              <w:rPr>
                <w:rFonts w:ascii="Times New Roman" w:eastAsiaTheme="minorHAnsi" w:hAnsi="Times New Roman" w:cs="Times New Roman"/>
                <w:sz w:val="24"/>
                <w:szCs w:val="24"/>
              </w:rPr>
            </w:pPr>
            <w:r w:rsidRPr="00220AFC">
              <w:rPr>
                <w:rFonts w:ascii="Times New Roman" w:eastAsiaTheme="minorHAnsi" w:hAnsi="Times New Roman" w:cs="Times New Roman"/>
                <w:sz w:val="24"/>
                <w:szCs w:val="24"/>
              </w:rPr>
              <w:t xml:space="preserve">В целях обеспечения исполнения на территории Новосибирской области </w:t>
            </w:r>
            <w:hyperlink r:id="rId252" w:history="1">
              <w:r w:rsidRPr="0037548C">
                <w:rPr>
                  <w:rFonts w:ascii="Times New Roman" w:eastAsiaTheme="minorHAnsi" w:hAnsi="Times New Roman" w:cs="Times New Roman"/>
                  <w:sz w:val="24"/>
                  <w:szCs w:val="24"/>
                </w:rPr>
                <w:t>Указа</w:t>
              </w:r>
            </w:hyperlink>
            <w:r w:rsidRPr="00220AFC">
              <w:rPr>
                <w:rFonts w:ascii="Times New Roman" w:eastAsiaTheme="minorHAnsi" w:hAnsi="Times New Roman" w:cs="Times New Roman"/>
                <w:sz w:val="24"/>
                <w:szCs w:val="24"/>
              </w:rPr>
              <w:t xml:space="preserve"> Президента Российской Федерации от 21.12.2017 № 618 «Об основных направлениях государственной политики по развитию конкуренции» принято распоряжение Губернатора Новосибирской области от 26.12.2018 № 268-р «О создании и организации системы внутреннего обеспечения соответствия требованиям антимонопольного законодательства деятельности областных исполнительных органов государственной власти Новосибирской</w:t>
            </w:r>
            <w:r>
              <w:rPr>
                <w:rFonts w:ascii="Times New Roman" w:eastAsiaTheme="minorHAnsi" w:hAnsi="Times New Roman" w:cs="Times New Roman"/>
                <w:sz w:val="24"/>
                <w:szCs w:val="24"/>
              </w:rPr>
              <w:t xml:space="preserve"> области»</w:t>
            </w:r>
            <w:r w:rsidRPr="00220AFC">
              <w:rPr>
                <w:rFonts w:ascii="Times New Roman" w:eastAsiaTheme="minorHAnsi" w:hAnsi="Times New Roman" w:cs="Times New Roman"/>
                <w:sz w:val="24"/>
                <w:szCs w:val="24"/>
              </w:rPr>
              <w:t>.</w:t>
            </w:r>
          </w:p>
          <w:p w14:paraId="513C7AB0" w14:textId="77777777" w:rsidR="00ED71B8" w:rsidRPr="00220AFC" w:rsidRDefault="00ED71B8" w:rsidP="00ED71B8">
            <w:pPr>
              <w:autoSpaceDE w:val="0"/>
              <w:autoSpaceDN w:val="0"/>
              <w:adjustRightInd w:val="0"/>
              <w:ind w:firstLine="424"/>
              <w:jc w:val="both"/>
              <w:rPr>
                <w:rFonts w:ascii="Times New Roman" w:eastAsiaTheme="minorHAnsi" w:hAnsi="Times New Roman" w:cs="Times New Roman"/>
                <w:sz w:val="24"/>
                <w:szCs w:val="24"/>
              </w:rPr>
            </w:pPr>
            <w:r w:rsidRPr="00220AFC">
              <w:rPr>
                <w:rFonts w:ascii="Times New Roman" w:eastAsiaTheme="minorHAnsi" w:hAnsi="Times New Roman" w:cs="Times New Roman"/>
                <w:sz w:val="24"/>
                <w:szCs w:val="24"/>
              </w:rPr>
              <w:lastRenderedPageBreak/>
              <w:t xml:space="preserve">Во исполнение данного распоряжения всеми без исключения областными исполнительными органами государственной власти </w:t>
            </w:r>
            <w:r>
              <w:rPr>
                <w:rFonts w:ascii="Times New Roman" w:eastAsiaTheme="minorHAnsi" w:hAnsi="Times New Roman" w:cs="Times New Roman"/>
                <w:sz w:val="24"/>
                <w:szCs w:val="24"/>
              </w:rPr>
              <w:t xml:space="preserve">Новосибирской области (далее – ОИОГВ НСО) </w:t>
            </w:r>
            <w:r w:rsidRPr="00220AFC">
              <w:rPr>
                <w:rFonts w:ascii="Times New Roman" w:eastAsiaTheme="minorHAnsi" w:hAnsi="Times New Roman" w:cs="Times New Roman"/>
                <w:sz w:val="24"/>
                <w:szCs w:val="24"/>
              </w:rPr>
              <w:t xml:space="preserve">приняты правовые акты, направленные на создание и организацию системы внутреннего обеспечения соответствия требованиям антимонопольного законодательства деятельности </w:t>
            </w:r>
            <w:r>
              <w:rPr>
                <w:rFonts w:ascii="Times New Roman" w:eastAsiaTheme="minorHAnsi" w:hAnsi="Times New Roman" w:cs="Times New Roman"/>
                <w:sz w:val="24"/>
                <w:szCs w:val="24"/>
              </w:rPr>
              <w:t>ОИОГВ НСО</w:t>
            </w:r>
            <w:r w:rsidRPr="00220AFC">
              <w:rPr>
                <w:rFonts w:ascii="Times New Roman" w:eastAsiaTheme="minorHAnsi" w:hAnsi="Times New Roman" w:cs="Times New Roman"/>
                <w:sz w:val="24"/>
                <w:szCs w:val="24"/>
              </w:rPr>
              <w:t xml:space="preserve"> (антимонопольный комплаенс). </w:t>
            </w:r>
          </w:p>
          <w:p w14:paraId="183B84F6" w14:textId="77777777" w:rsidR="00ED71B8" w:rsidRPr="00220AFC" w:rsidRDefault="00ED71B8" w:rsidP="00ED71B8">
            <w:pPr>
              <w:autoSpaceDE w:val="0"/>
              <w:autoSpaceDN w:val="0"/>
              <w:adjustRightInd w:val="0"/>
              <w:ind w:firstLine="424"/>
              <w:jc w:val="both"/>
              <w:rPr>
                <w:rFonts w:ascii="Times New Roman" w:eastAsiaTheme="minorHAnsi" w:hAnsi="Times New Roman" w:cs="Times New Roman"/>
                <w:sz w:val="24"/>
                <w:szCs w:val="24"/>
              </w:rPr>
            </w:pPr>
            <w:r w:rsidRPr="00220AFC">
              <w:rPr>
                <w:rFonts w:ascii="Times New Roman" w:eastAsiaTheme="minorHAnsi" w:hAnsi="Times New Roman" w:cs="Times New Roman"/>
                <w:sz w:val="24"/>
                <w:szCs w:val="24"/>
              </w:rPr>
              <w:t xml:space="preserve">Всего принято 30 правовых актов: </w:t>
            </w:r>
          </w:p>
          <w:p w14:paraId="3E688EBC" w14:textId="77777777" w:rsidR="00ED71B8" w:rsidRPr="00220AFC" w:rsidRDefault="00ED71B8" w:rsidP="00ED71B8">
            <w:pPr>
              <w:tabs>
                <w:tab w:val="left" w:pos="681"/>
                <w:tab w:val="left" w:pos="3429"/>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1. Приказ министерства жилищно-коммунального хозяйства и энергетики Новоси</w:t>
            </w:r>
            <w:r>
              <w:rPr>
                <w:rFonts w:ascii="Times New Roman" w:hAnsi="Times New Roman" w:cs="Times New Roman"/>
                <w:sz w:val="24"/>
                <w:szCs w:val="24"/>
              </w:rPr>
              <w:t>бирской области от 29.01.2019 № </w:t>
            </w:r>
            <w:r w:rsidRPr="00220AFC">
              <w:rPr>
                <w:rFonts w:ascii="Times New Roman" w:hAnsi="Times New Roman" w:cs="Times New Roman"/>
                <w:sz w:val="24"/>
                <w:szCs w:val="24"/>
              </w:rPr>
              <w:t>22 «Об утверждении Положения о внутреннем контроле соблюдения антимонопольного законодательства в министерстве жилищно-коммунального хозяйства и энергетики Новосибирской области».</w:t>
            </w:r>
          </w:p>
          <w:p w14:paraId="4C389312" w14:textId="77777777" w:rsidR="00ED71B8" w:rsidRPr="00220AFC" w:rsidRDefault="00ED71B8" w:rsidP="00ED71B8">
            <w:pPr>
              <w:tabs>
                <w:tab w:val="left" w:pos="681"/>
                <w:tab w:val="left" w:pos="3429"/>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bCs/>
                <w:sz w:val="24"/>
                <w:szCs w:val="24"/>
              </w:rPr>
              <w:t>2. </w:t>
            </w:r>
            <w:r w:rsidRPr="00220AFC">
              <w:rPr>
                <w:rFonts w:ascii="Times New Roman" w:hAnsi="Times New Roman" w:cs="Times New Roman"/>
                <w:sz w:val="24"/>
                <w:szCs w:val="24"/>
              </w:rPr>
              <w:t xml:space="preserve"> Приказ</w:t>
            </w:r>
            <w:r w:rsidRPr="00220AFC">
              <w:rPr>
                <w:rFonts w:ascii="Times New Roman" w:hAnsi="Times New Roman" w:cs="Times New Roman"/>
                <w:bCs/>
                <w:sz w:val="24"/>
                <w:szCs w:val="24"/>
              </w:rPr>
              <w:t xml:space="preserve"> министерства здравоохранения Новосибирской области от 31.01.2019 № 271 «О системе внутреннего обеспечения соответствия требованиям антимонопольного законодательства деятельности министерства здравоохранения Новосибирской области (антимонопольного комплаенса).</w:t>
            </w:r>
          </w:p>
          <w:p w14:paraId="316EEC09" w14:textId="77777777" w:rsidR="00ED71B8" w:rsidRPr="00220AFC" w:rsidRDefault="00ED71B8" w:rsidP="00ED71B8">
            <w:pPr>
              <w:tabs>
                <w:tab w:val="left" w:pos="681"/>
                <w:tab w:val="left" w:pos="3429"/>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3. Приказ министерства культуры Новосибирской области от 11.02.2019 № 37 «Об организации системы внутреннего обеспечения соответствия требованиям антимонопольного законодательства (антимонопольного комплаенса) в министерстве культуры Новосибирской области».</w:t>
            </w:r>
          </w:p>
          <w:p w14:paraId="0761EE96" w14:textId="77777777" w:rsidR="00ED71B8" w:rsidRPr="00220AFC" w:rsidRDefault="00ED71B8" w:rsidP="00ED71B8">
            <w:pPr>
              <w:tabs>
                <w:tab w:val="left" w:pos="681"/>
                <w:tab w:val="left" w:pos="3429"/>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4. Приказ министерства образования Новосибирской области от 30.01.2019 № 199 «О системе внутреннего обеспечения соответствия требованиям антимонопольного законодательства деятельности министерства образования Новосибирской области».</w:t>
            </w:r>
          </w:p>
          <w:p w14:paraId="530AB7C0" w14:textId="77777777" w:rsidR="00ED71B8" w:rsidRPr="00220AFC" w:rsidRDefault="00ED71B8" w:rsidP="00ED71B8">
            <w:pPr>
              <w:tabs>
                <w:tab w:val="left" w:pos="681"/>
                <w:tab w:val="left" w:pos="3429"/>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5. Приказ министерства природных ресурсов и экологии Новосибирской области «О создании и организации системы внутреннего обеспечения соответствия требованиям антимонопольного законодательства (антимонопольного комплаенса) в министерстве природных ресурсов и экологии Новосибирской области».</w:t>
            </w:r>
          </w:p>
          <w:p w14:paraId="5D38109F" w14:textId="77777777" w:rsidR="00ED71B8" w:rsidRPr="00220AFC" w:rsidRDefault="00ED71B8" w:rsidP="00ED71B8">
            <w:pPr>
              <w:pStyle w:val="34"/>
              <w:tabs>
                <w:tab w:val="left" w:pos="681"/>
                <w:tab w:val="left" w:pos="3429"/>
              </w:tabs>
              <w:spacing w:after="0"/>
              <w:ind w:left="0" w:firstLine="424"/>
              <w:jc w:val="both"/>
              <w:rPr>
                <w:rFonts w:eastAsiaTheme="minorHAnsi"/>
                <w:sz w:val="24"/>
                <w:szCs w:val="24"/>
                <w:lang w:eastAsia="en-US"/>
              </w:rPr>
            </w:pPr>
            <w:r w:rsidRPr="00220AFC">
              <w:rPr>
                <w:sz w:val="24"/>
                <w:szCs w:val="24"/>
              </w:rPr>
              <w:t>6. </w:t>
            </w:r>
            <w:r w:rsidRPr="00220AFC">
              <w:rPr>
                <w:rFonts w:eastAsiaTheme="minorHAnsi"/>
                <w:sz w:val="24"/>
                <w:szCs w:val="24"/>
                <w:lang w:eastAsia="en-US"/>
              </w:rPr>
              <w:t>Приказ министерства промышленности, торговли и развития предпринимательства Новосибирской области от 28.01.2019 № 29 «Об организации системы внутреннего обеспечения соответствия требованиям антимонопольного законодательства в министерстве промышленности, торговли и развития предпринимательства Новосибирской области».</w:t>
            </w:r>
          </w:p>
          <w:p w14:paraId="4AE295BA" w14:textId="77777777" w:rsidR="00ED71B8" w:rsidRPr="00220AFC" w:rsidRDefault="00ED71B8" w:rsidP="00ED71B8">
            <w:pPr>
              <w:widowControl w:val="0"/>
              <w:tabs>
                <w:tab w:val="left" w:pos="681"/>
                <w:tab w:val="left" w:pos="3429"/>
              </w:tabs>
              <w:ind w:firstLine="424"/>
              <w:jc w:val="both"/>
              <w:rPr>
                <w:rFonts w:ascii="Times New Roman" w:hAnsi="Times New Roman" w:cs="Times New Roman"/>
                <w:sz w:val="24"/>
                <w:szCs w:val="24"/>
              </w:rPr>
            </w:pPr>
            <w:r w:rsidRPr="00220AFC">
              <w:rPr>
                <w:rFonts w:ascii="Times New Roman" w:hAnsi="Times New Roman" w:cs="Times New Roman"/>
                <w:sz w:val="24"/>
                <w:szCs w:val="24"/>
              </w:rPr>
              <w:t>7. Приказ министерства региональной политики Новосибирской области от 31.01.2019 № 18 «О системе внутреннего обеспечения соответствия требованиям антимонопольного законодательства в министерстве региональной политики Новосибирской области».</w:t>
            </w:r>
          </w:p>
          <w:p w14:paraId="7196E4F9" w14:textId="77777777" w:rsidR="00ED71B8" w:rsidRPr="00220AFC" w:rsidRDefault="00ED71B8" w:rsidP="00ED71B8">
            <w:pPr>
              <w:widowControl w:val="0"/>
              <w:tabs>
                <w:tab w:val="left" w:pos="681"/>
                <w:tab w:val="left" w:pos="3429"/>
              </w:tabs>
              <w:ind w:firstLine="424"/>
              <w:jc w:val="both"/>
              <w:rPr>
                <w:rFonts w:ascii="Times New Roman" w:hAnsi="Times New Roman" w:cs="Times New Roman"/>
                <w:sz w:val="24"/>
                <w:szCs w:val="24"/>
              </w:rPr>
            </w:pPr>
            <w:r w:rsidRPr="00220AFC">
              <w:rPr>
                <w:rFonts w:ascii="Times New Roman" w:hAnsi="Times New Roman" w:cs="Times New Roman"/>
                <w:sz w:val="24"/>
                <w:szCs w:val="24"/>
              </w:rPr>
              <w:t xml:space="preserve">8. Приказ министерства сельского хозяйства от 23.01.2019 № 14 «О системе внутреннего </w:t>
            </w:r>
            <w:r w:rsidRPr="00220AFC">
              <w:rPr>
                <w:rFonts w:ascii="Times New Roman" w:hAnsi="Times New Roman" w:cs="Times New Roman"/>
                <w:sz w:val="24"/>
                <w:szCs w:val="24"/>
              </w:rPr>
              <w:lastRenderedPageBreak/>
              <w:t>обеспечения соответствия требованиям антимонопольного законодательства в министерстве сельского хозяйства Новосибирской области (антимонопольном комплаенсе).</w:t>
            </w:r>
          </w:p>
          <w:p w14:paraId="44DB0D95" w14:textId="77777777" w:rsidR="00ED71B8" w:rsidRPr="00220AFC" w:rsidRDefault="00ED71B8" w:rsidP="00ED71B8">
            <w:pPr>
              <w:tabs>
                <w:tab w:val="left" w:pos="681"/>
                <w:tab w:val="left" w:pos="3429"/>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9. Приказ министерства строительства Новосибирской области от 28.01.2019 №28 «Об утверждении Положения об антимонопольном комплаенсе»</w:t>
            </w:r>
          </w:p>
          <w:p w14:paraId="22A4E0FA" w14:textId="77777777" w:rsidR="00ED71B8" w:rsidRPr="00220AFC" w:rsidRDefault="00ED71B8" w:rsidP="00ED71B8">
            <w:pPr>
              <w:tabs>
                <w:tab w:val="left" w:pos="681"/>
                <w:tab w:val="left" w:pos="3429"/>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10. Приказ министерства транспорта и дорожного хозяйства Новосибирской</w:t>
            </w:r>
            <w:r>
              <w:rPr>
                <w:rFonts w:ascii="Times New Roman" w:hAnsi="Times New Roman" w:cs="Times New Roman"/>
                <w:sz w:val="24"/>
                <w:szCs w:val="24"/>
              </w:rPr>
              <w:t xml:space="preserve"> области от 28.01.2019 № </w:t>
            </w:r>
            <w:r w:rsidRPr="00220AFC">
              <w:rPr>
                <w:rFonts w:ascii="Times New Roman" w:hAnsi="Times New Roman" w:cs="Times New Roman"/>
                <w:sz w:val="24"/>
                <w:szCs w:val="24"/>
              </w:rPr>
              <w:t>11 «Об организации системы внутреннего обеспечения соответствия требованиям антимонопольного законодательства в министерстве транспорта и дорожного хозяйства Новосибирской области.</w:t>
            </w:r>
          </w:p>
          <w:p w14:paraId="2A57941D" w14:textId="77777777" w:rsidR="00ED71B8" w:rsidRPr="00220AFC" w:rsidRDefault="00ED71B8" w:rsidP="00ED71B8">
            <w:pPr>
              <w:tabs>
                <w:tab w:val="left" w:pos="681"/>
                <w:tab w:val="left" w:pos="3429"/>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 xml:space="preserve">11. Приказ министерства труда и социального развития Новосибирской области от 30.01.2019 № 80 «Об организации системы внутреннего обеспечения соответствия требованиям антимонопольного законодательства в министерстве труда и социального развития Новосибирской области </w:t>
            </w:r>
          </w:p>
          <w:p w14:paraId="7CD9E656" w14:textId="77777777" w:rsidR="00ED71B8" w:rsidRPr="00220AFC" w:rsidRDefault="00ED71B8" w:rsidP="00ED71B8">
            <w:pPr>
              <w:tabs>
                <w:tab w:val="left" w:pos="681"/>
                <w:tab w:val="left" w:pos="3429"/>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12. Приказ министерства финансов и налоговой политики Новосибирской области от 31.01.2019 № 13 «О создании и организации системы внутреннего обеспечения соответствия требованиям антимонопольного законодательства (антимонопольного комплаенса) в министерстве финансов и налоговой политики Новосибирской области».</w:t>
            </w:r>
          </w:p>
          <w:p w14:paraId="4E666E39" w14:textId="77777777" w:rsidR="00ED71B8" w:rsidRPr="00220AFC" w:rsidRDefault="00ED71B8" w:rsidP="00ED71B8">
            <w:pPr>
              <w:tabs>
                <w:tab w:val="left" w:pos="681"/>
                <w:tab w:val="left" w:pos="3429"/>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13. Приказ министерства юстиции Новосибирской области от 09.01.2019 № 1 «Об утверждении Положения о внутреннем контроле соблюдения антимонопольного законодательства»</w:t>
            </w:r>
          </w:p>
          <w:p w14:paraId="4A9F59A6" w14:textId="77777777" w:rsidR="00ED71B8" w:rsidRPr="00220AFC" w:rsidRDefault="00ED71B8" w:rsidP="00ED71B8">
            <w:pPr>
              <w:tabs>
                <w:tab w:val="left" w:pos="681"/>
                <w:tab w:val="left" w:pos="3429"/>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14. Приказ министерства физической культуры и спорта Новосибирской области от 24.01.2019 № 65 «Об утверждении Положения об организации системы внутреннего обеспечения соответствия требованиям антимонопольного законодательства».</w:t>
            </w:r>
          </w:p>
          <w:p w14:paraId="5E3F0015" w14:textId="77777777" w:rsidR="00ED71B8" w:rsidRPr="00220AFC" w:rsidRDefault="00ED71B8" w:rsidP="00ED71B8">
            <w:pPr>
              <w:tabs>
                <w:tab w:val="left" w:pos="681"/>
                <w:tab w:val="left" w:pos="3429"/>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15. Приказ министерства науки и инновационной политики Новосибирской области от 31.01.2019 № 1 «Об организации системы внутреннего обеспечения соответствия требованиям антимонопольного законодательства в министерстве науки и инновационной политики Новосибирской области».</w:t>
            </w:r>
          </w:p>
          <w:p w14:paraId="31F30A1C" w14:textId="77777777" w:rsidR="00ED71B8" w:rsidRPr="00220AFC" w:rsidRDefault="00ED71B8" w:rsidP="00ED71B8">
            <w:pPr>
              <w:overflowPunct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 xml:space="preserve">16. Приказ министерства экономического развития Новосибирской области от 01.02.2019 №21 «О системе внутреннего обеспечения соответствия требованиям антимонопольного законодательства деятельности министерства экономического развития Новосибирской области. </w:t>
            </w:r>
          </w:p>
          <w:p w14:paraId="53D79DE7" w14:textId="77777777" w:rsidR="00ED71B8" w:rsidRPr="00220AFC" w:rsidRDefault="00ED71B8" w:rsidP="00ED71B8">
            <w:pPr>
              <w:ind w:firstLine="424"/>
              <w:jc w:val="both"/>
              <w:rPr>
                <w:rFonts w:ascii="Times New Roman" w:hAnsi="Times New Roman" w:cs="Times New Roman"/>
                <w:bCs/>
                <w:sz w:val="24"/>
                <w:szCs w:val="24"/>
              </w:rPr>
            </w:pPr>
            <w:r w:rsidRPr="00220AFC">
              <w:rPr>
                <w:rFonts w:ascii="Times New Roman" w:hAnsi="Times New Roman" w:cs="Times New Roman"/>
                <w:sz w:val="24"/>
                <w:szCs w:val="24"/>
              </w:rPr>
              <w:t>17. </w:t>
            </w:r>
            <w:r w:rsidRPr="00220AFC">
              <w:rPr>
                <w:rFonts w:ascii="Times New Roman" w:hAnsi="Times New Roman" w:cs="Times New Roman"/>
                <w:bCs/>
                <w:sz w:val="24"/>
                <w:szCs w:val="24"/>
              </w:rPr>
              <w:t xml:space="preserve">Приказ Департамента имущества и земельных отношений Новосибирской области от 30.01.2019 № 407 «Об утверждении Положения о внутреннем контроле соблюдения </w:t>
            </w:r>
            <w:r w:rsidRPr="00220AFC">
              <w:rPr>
                <w:rFonts w:ascii="Times New Roman" w:hAnsi="Times New Roman" w:cs="Times New Roman"/>
                <w:bCs/>
                <w:sz w:val="24"/>
                <w:szCs w:val="24"/>
              </w:rPr>
              <w:lastRenderedPageBreak/>
              <w:t>антимонопольного законодательства в департаменте имущества и земельных отношений Новосибирской области».</w:t>
            </w:r>
          </w:p>
          <w:p w14:paraId="11D17692" w14:textId="77777777" w:rsidR="00ED71B8" w:rsidRPr="00220AFC" w:rsidRDefault="00ED71B8" w:rsidP="00ED71B8">
            <w:pPr>
              <w:tabs>
                <w:tab w:val="left" w:pos="681"/>
                <w:tab w:val="left" w:pos="3429"/>
              </w:tabs>
              <w:ind w:firstLine="424"/>
              <w:jc w:val="both"/>
              <w:rPr>
                <w:rFonts w:ascii="Times New Roman" w:hAnsi="Times New Roman" w:cs="Times New Roman"/>
                <w:bCs/>
                <w:sz w:val="24"/>
                <w:szCs w:val="24"/>
              </w:rPr>
            </w:pPr>
            <w:r w:rsidRPr="00220AFC">
              <w:rPr>
                <w:rFonts w:ascii="Times New Roman" w:hAnsi="Times New Roman" w:cs="Times New Roman"/>
                <w:bCs/>
                <w:sz w:val="24"/>
                <w:szCs w:val="24"/>
              </w:rPr>
              <w:t>18. Приказ департамента информатизации и развития телекоммуникационных технологий Новосибирской области от 24.01.2019 № 29-Д «Об утверждении Положения о внутреннем контроле соблюдения антимонопольного законодательства».</w:t>
            </w:r>
          </w:p>
          <w:p w14:paraId="2BBE75BD" w14:textId="77777777" w:rsidR="00ED71B8" w:rsidRPr="00220AFC" w:rsidRDefault="00ED71B8" w:rsidP="00ED71B8">
            <w:pPr>
              <w:tabs>
                <w:tab w:val="left" w:pos="681"/>
                <w:tab w:val="left" w:pos="3429"/>
              </w:tabs>
              <w:autoSpaceDE w:val="0"/>
              <w:autoSpaceDN w:val="0"/>
              <w:adjustRightInd w:val="0"/>
              <w:ind w:firstLine="424"/>
              <w:jc w:val="both"/>
              <w:rPr>
                <w:rFonts w:ascii="Times New Roman" w:hAnsi="Times New Roman" w:cs="Times New Roman"/>
                <w:bCs/>
                <w:sz w:val="24"/>
                <w:szCs w:val="24"/>
              </w:rPr>
            </w:pPr>
            <w:r w:rsidRPr="00220AFC">
              <w:rPr>
                <w:rFonts w:ascii="Times New Roman" w:hAnsi="Times New Roman" w:cs="Times New Roman"/>
                <w:bCs/>
                <w:sz w:val="24"/>
                <w:szCs w:val="24"/>
              </w:rPr>
              <w:t>19. Приказ руководителя департамента по тарифам Новосибирской области от 31.01.2019 № 1 «О создании и организации системы внутреннего обеспечения соответствия требованиям антимонопольного законодательства деятельности департамента по тарифам Новосибирской области».</w:t>
            </w:r>
          </w:p>
          <w:p w14:paraId="44B79E10" w14:textId="77777777" w:rsidR="00ED71B8" w:rsidRPr="00220AFC" w:rsidRDefault="00ED71B8" w:rsidP="00ED71B8">
            <w:pPr>
              <w:tabs>
                <w:tab w:val="left" w:pos="681"/>
                <w:tab w:val="left" w:pos="3081"/>
              </w:tabs>
              <w:autoSpaceDE w:val="0"/>
              <w:autoSpaceDN w:val="0"/>
              <w:adjustRightInd w:val="0"/>
              <w:ind w:firstLine="424"/>
              <w:jc w:val="both"/>
              <w:rPr>
                <w:rFonts w:ascii="Times New Roman" w:hAnsi="Times New Roman" w:cs="Times New Roman"/>
                <w:sz w:val="24"/>
                <w:szCs w:val="24"/>
              </w:rPr>
            </w:pPr>
            <w:r w:rsidRPr="00220AFC">
              <w:rPr>
                <w:rFonts w:ascii="Times New Roman" w:eastAsia="Times New Roman" w:hAnsi="Times New Roman" w:cs="Times New Roman"/>
                <w:sz w:val="24"/>
                <w:szCs w:val="24"/>
              </w:rPr>
              <w:t>20. Приказ Контрольного управления Новосибирской области от 22.11.2018 № 365 «Об утверждении Положения о внутреннем контроле соблюдения антимонопольного законодательства»</w:t>
            </w:r>
          </w:p>
          <w:p w14:paraId="5337B3D0" w14:textId="77777777" w:rsidR="00ED71B8" w:rsidRPr="00220AFC" w:rsidRDefault="00ED71B8" w:rsidP="00ED71B8">
            <w:pPr>
              <w:tabs>
                <w:tab w:val="left" w:pos="681"/>
                <w:tab w:val="left" w:pos="3081"/>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21. Приказ управления ветеринарии Новосибирской области от 31.01.2019 №19 «Об организации системы внутреннего обеспечения соответствия требованиям антимонопольного законодательства Российской Федерации в управлении ветеринарии Новосибирской области».</w:t>
            </w:r>
          </w:p>
          <w:p w14:paraId="1AFA10E6" w14:textId="77777777" w:rsidR="00ED71B8" w:rsidRPr="00220AFC" w:rsidRDefault="00ED71B8" w:rsidP="00ED71B8">
            <w:pPr>
              <w:tabs>
                <w:tab w:val="left" w:pos="681"/>
                <w:tab w:val="left" w:pos="3081"/>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22. Приказ управления государственной архивной службы Новосибирской области от 31.01.2019 № 21-од «Об организации системы внутреннего обеспечения соответствия требованиям антимонопольного законодательства деятельности управления государственной архивной службы Новосибирской области».</w:t>
            </w:r>
          </w:p>
          <w:p w14:paraId="06671556" w14:textId="77777777" w:rsidR="00ED71B8" w:rsidRPr="00220AFC" w:rsidRDefault="00ED71B8" w:rsidP="00ED71B8">
            <w:pPr>
              <w:tabs>
                <w:tab w:val="left" w:pos="681"/>
                <w:tab w:val="left" w:pos="3081"/>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23. Приказ управления делами Губернатора Новосибирской области и Правительства Новосибирской области от 23.01.2019 № 17 «Об утверждении Положения о внутреннем контроле соблюдения антимонопольного законодательства».</w:t>
            </w:r>
          </w:p>
          <w:p w14:paraId="3BAA262F" w14:textId="77777777" w:rsidR="00ED71B8" w:rsidRPr="00220AFC" w:rsidRDefault="00ED71B8" w:rsidP="00ED71B8">
            <w:pPr>
              <w:tabs>
                <w:tab w:val="left" w:pos="681"/>
                <w:tab w:val="left" w:pos="3081"/>
              </w:tabs>
              <w:ind w:firstLine="424"/>
              <w:jc w:val="both"/>
              <w:rPr>
                <w:rFonts w:ascii="Times New Roman" w:hAnsi="Times New Roman" w:cs="Times New Roman"/>
                <w:sz w:val="24"/>
                <w:szCs w:val="24"/>
              </w:rPr>
            </w:pPr>
            <w:r w:rsidRPr="00220AFC">
              <w:rPr>
                <w:rFonts w:ascii="Times New Roman" w:hAnsi="Times New Roman" w:cs="Times New Roman"/>
                <w:sz w:val="24"/>
                <w:szCs w:val="24"/>
              </w:rPr>
              <w:t>24. Приказ управления информационных проектов Новосибирской области от 31.01.2019 № 8 «Об организации системы внутреннего обеспечения соответствия требованиям антимонопольного законодательства в управлении информационных проектов Новосибирской области».</w:t>
            </w:r>
          </w:p>
          <w:p w14:paraId="0987BDC8" w14:textId="77777777" w:rsidR="00ED71B8" w:rsidRPr="00220AFC" w:rsidRDefault="00ED71B8" w:rsidP="00ED71B8">
            <w:pPr>
              <w:tabs>
                <w:tab w:val="left" w:pos="681"/>
                <w:tab w:val="left" w:pos="3081"/>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25. Приказ управления по делам записи актов гражданского состояния Новосибирской области от31.01.2019 № 27 «О системе внутреннего внутреннем контроле соблюдения антимонопольного законодательства».</w:t>
            </w:r>
          </w:p>
          <w:p w14:paraId="378859EE" w14:textId="77777777" w:rsidR="00ED71B8" w:rsidRPr="00220AFC" w:rsidRDefault="00ED71B8" w:rsidP="00ED71B8">
            <w:pPr>
              <w:tabs>
                <w:tab w:val="left" w:pos="681"/>
                <w:tab w:val="left" w:pos="3081"/>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26. Приказ управления по обеспечению деятельности мировых судей Новосибирской области от 01.02.2019 № 33 «Об утверждении Положения о внутреннем контроле соблюдения антимонопольного законодательства».</w:t>
            </w:r>
          </w:p>
          <w:p w14:paraId="04EEC2C0" w14:textId="77777777" w:rsidR="00ED71B8" w:rsidRPr="00220AFC" w:rsidRDefault="00ED71B8" w:rsidP="00ED71B8">
            <w:pPr>
              <w:tabs>
                <w:tab w:val="left" w:pos="681"/>
                <w:tab w:val="left" w:pos="3081"/>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lastRenderedPageBreak/>
              <w:t>27. Приказ государственной жилищной инспекции Новосибирской области от 28.01.2019 № 9 «Об утверждении Положения о внутреннем контроле соблюдения антимонопольного законодательства».</w:t>
            </w:r>
          </w:p>
          <w:p w14:paraId="56B1F792" w14:textId="77777777" w:rsidR="00ED71B8" w:rsidRPr="00220AFC" w:rsidRDefault="00ED71B8" w:rsidP="00ED71B8">
            <w:pPr>
              <w:tabs>
                <w:tab w:val="left" w:pos="681"/>
                <w:tab w:val="left" w:pos="3081"/>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 xml:space="preserve">28. Приказ </w:t>
            </w:r>
            <w:hyperlink r:id="rId253" w:history="1">
              <w:r w:rsidRPr="00220AFC">
                <w:rPr>
                  <w:rFonts w:ascii="Times New Roman" w:hAnsi="Times New Roman" w:cs="Times New Roman"/>
                  <w:sz w:val="24"/>
                  <w:szCs w:val="24"/>
                </w:rPr>
                <w:t xml:space="preserve">инспекции государственного надзора за техническим состоянием самоходных машин и других видов техники </w:t>
              </w:r>
            </w:hyperlink>
            <w:r w:rsidRPr="00220AFC">
              <w:rPr>
                <w:rFonts w:ascii="Times New Roman" w:hAnsi="Times New Roman" w:cs="Times New Roman"/>
                <w:sz w:val="24"/>
                <w:szCs w:val="24"/>
              </w:rPr>
              <w:t>Новосибирской области от 06.02.2019 № 7 «Об организации внутреннего контроля соблюдения антимонопольного законодательства».</w:t>
            </w:r>
          </w:p>
          <w:p w14:paraId="0473823F" w14:textId="77777777" w:rsidR="00ED71B8" w:rsidRPr="00220AFC" w:rsidRDefault="00ED71B8" w:rsidP="00ED71B8">
            <w:pPr>
              <w:tabs>
                <w:tab w:val="left" w:pos="681"/>
                <w:tab w:val="left" w:pos="3081"/>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29. Приказ инспекции государственного строительного надзора Новосибирской области от 28.01.2019 № 5 «Об организации внутреннего контроля соблюдения антимонопольного законодательства».</w:t>
            </w:r>
          </w:p>
          <w:p w14:paraId="5E585512" w14:textId="77777777" w:rsidR="00ED71B8" w:rsidRPr="00220AFC" w:rsidRDefault="00ED71B8" w:rsidP="00ED71B8">
            <w:pPr>
              <w:tabs>
                <w:tab w:val="left" w:pos="681"/>
                <w:tab w:val="left" w:pos="3081"/>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30. Приказ государственной инспекции по охране объектов культурного наследия Новосибирской области от 01.02.2019 № 10 «Об утверждении положения об организации в государственной инспекции по охране объектов культурного наследия Новосибирской области системы внутреннего обеспечения соответствия требования антимонопольного законодательства».</w:t>
            </w:r>
          </w:p>
          <w:p w14:paraId="7DC4777D" w14:textId="77777777" w:rsidR="00ED71B8" w:rsidRPr="00220AFC" w:rsidRDefault="00ED71B8" w:rsidP="00ED71B8">
            <w:pPr>
              <w:tabs>
                <w:tab w:val="left" w:pos="681"/>
                <w:tab w:val="left" w:pos="3081"/>
              </w:tabs>
              <w:autoSpaceDE w:val="0"/>
              <w:autoSpaceDN w:val="0"/>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На муниципальном уровне правовые акты о внедрении антимонопольного комплаенса также приняты во всех муниципальных районах и городских округах Новосибирской области.</w:t>
            </w:r>
          </w:p>
          <w:p w14:paraId="75290273" w14:textId="77777777" w:rsidR="00ED71B8" w:rsidRPr="00220AFC" w:rsidRDefault="00ED71B8" w:rsidP="00ED71B8">
            <w:pPr>
              <w:tabs>
                <w:tab w:val="left" w:pos="681"/>
                <w:tab w:val="left" w:pos="3081"/>
              </w:tabs>
              <w:autoSpaceDE w:val="0"/>
              <w:autoSpaceDN w:val="0"/>
              <w:adjustRightInd w:val="0"/>
              <w:ind w:firstLine="424"/>
              <w:jc w:val="both"/>
              <w:rPr>
                <w:rFonts w:ascii="Times New Roman" w:hAnsi="Times New Roman" w:cs="Times New Roman"/>
                <w:sz w:val="24"/>
                <w:szCs w:val="24"/>
              </w:rPr>
            </w:pPr>
            <w:r w:rsidRPr="00220AFC">
              <w:rPr>
                <w:rFonts w:ascii="Times New Roman" w:eastAsiaTheme="minorHAnsi" w:hAnsi="Times New Roman" w:cs="Times New Roman"/>
                <w:sz w:val="24"/>
                <w:szCs w:val="24"/>
              </w:rPr>
              <w:t>Цели принятия правовых актов на региональном и муниципальном уровнях по внедрению антимонопольного комплаенса:</w:t>
            </w:r>
          </w:p>
          <w:p w14:paraId="414FE259" w14:textId="77777777" w:rsidR="00ED71B8" w:rsidRPr="00220AFC" w:rsidRDefault="00ED71B8" w:rsidP="00ED71B8">
            <w:pPr>
              <w:autoSpaceDE w:val="0"/>
              <w:autoSpaceDN w:val="0"/>
              <w:adjustRightInd w:val="0"/>
              <w:ind w:firstLine="424"/>
              <w:jc w:val="both"/>
              <w:rPr>
                <w:rFonts w:ascii="Times New Roman" w:eastAsiaTheme="minorHAnsi" w:hAnsi="Times New Roman" w:cs="Times New Roman"/>
                <w:sz w:val="24"/>
                <w:szCs w:val="24"/>
              </w:rPr>
            </w:pPr>
            <w:r w:rsidRPr="00220AFC">
              <w:rPr>
                <w:rFonts w:ascii="Times New Roman" w:eastAsiaTheme="minorHAnsi" w:hAnsi="Times New Roman" w:cs="Times New Roman"/>
                <w:sz w:val="24"/>
                <w:szCs w:val="24"/>
              </w:rPr>
              <w:t>обеспечение соответствия деятельности региональных и муниципальных органов власти требованиям антимонопольного законодательства;</w:t>
            </w:r>
          </w:p>
          <w:p w14:paraId="30AB51D1" w14:textId="77777777" w:rsidR="00ED71B8" w:rsidRDefault="00ED71B8" w:rsidP="00ED71B8">
            <w:pPr>
              <w:autoSpaceDE w:val="0"/>
              <w:autoSpaceDN w:val="0"/>
              <w:adjustRightInd w:val="0"/>
              <w:ind w:firstLine="424"/>
              <w:jc w:val="both"/>
              <w:rPr>
                <w:rFonts w:ascii="Times New Roman" w:eastAsiaTheme="minorHAnsi" w:hAnsi="Times New Roman" w:cs="Times New Roman"/>
                <w:sz w:val="24"/>
                <w:szCs w:val="24"/>
              </w:rPr>
            </w:pPr>
            <w:r w:rsidRPr="00220AFC">
              <w:rPr>
                <w:rFonts w:ascii="Times New Roman" w:eastAsiaTheme="minorHAnsi" w:hAnsi="Times New Roman" w:cs="Times New Roman"/>
                <w:sz w:val="24"/>
                <w:szCs w:val="24"/>
              </w:rPr>
              <w:t>профилактика нарушения требований антимонопольного законодательства в деятельности региональных и муниципальных органов власти.</w:t>
            </w:r>
          </w:p>
          <w:p w14:paraId="376E7E77" w14:textId="77777777" w:rsidR="00ED71B8" w:rsidRPr="00220AFC" w:rsidRDefault="00ED71B8" w:rsidP="00ED71B8">
            <w:pPr>
              <w:autoSpaceDE w:val="0"/>
              <w:autoSpaceDN w:val="0"/>
              <w:adjustRightInd w:val="0"/>
              <w:ind w:firstLine="424"/>
              <w:jc w:val="both"/>
              <w:rPr>
                <w:rFonts w:ascii="Times New Roman" w:eastAsiaTheme="minorHAnsi" w:hAnsi="Times New Roman" w:cs="Times New Roman"/>
                <w:sz w:val="24"/>
                <w:szCs w:val="24"/>
              </w:rPr>
            </w:pPr>
            <w:r w:rsidRPr="00220AFC">
              <w:rPr>
                <w:rFonts w:ascii="Times New Roman" w:eastAsiaTheme="minorHAnsi" w:hAnsi="Times New Roman" w:cs="Times New Roman"/>
                <w:sz w:val="24"/>
                <w:szCs w:val="24"/>
              </w:rPr>
              <w:t>В целях улучшения показателей работы, повышения уровня знаний в сфере антимонопольного комплаенса, развития навыков, повышающих эффективность работы, ОИОГВ НСО организовано участие государственных служащих в обучении, проводимом ФАС России, ЧУ ДПО «Учебный центр БДО». Обучение прошли специалисты министерства экономического развития НСО, департамента имущества и земельных отношений НСО, министерства финансов и налоговой политики, министерства науки и инновационной политики, управления делами Губернатора Новосибирской области и Правительства Новосибирской области, управления информационных проектов</w:t>
            </w:r>
            <w:r>
              <w:rPr>
                <w:rFonts w:ascii="Times New Roman" w:eastAsiaTheme="minorHAnsi" w:hAnsi="Times New Roman" w:cs="Times New Roman"/>
                <w:sz w:val="24"/>
                <w:szCs w:val="24"/>
              </w:rPr>
              <w:t xml:space="preserve"> и др</w:t>
            </w:r>
            <w:r w:rsidRPr="00220AFC">
              <w:rPr>
                <w:rFonts w:ascii="Times New Roman" w:eastAsiaTheme="minorHAnsi" w:hAnsi="Times New Roman" w:cs="Times New Roman"/>
                <w:sz w:val="24"/>
                <w:szCs w:val="24"/>
              </w:rPr>
              <w:t xml:space="preserve">. </w:t>
            </w:r>
          </w:p>
          <w:p w14:paraId="24F67645" w14:textId="77777777" w:rsidR="00ED71B8" w:rsidRPr="00220AFC" w:rsidRDefault="00ED71B8" w:rsidP="00ED71B8">
            <w:pPr>
              <w:autoSpaceDE w:val="0"/>
              <w:autoSpaceDN w:val="0"/>
              <w:adjustRightInd w:val="0"/>
              <w:ind w:firstLine="424"/>
              <w:jc w:val="both"/>
              <w:rPr>
                <w:rFonts w:ascii="Times New Roman" w:eastAsiaTheme="minorHAnsi" w:hAnsi="Times New Roman" w:cs="Times New Roman"/>
                <w:sz w:val="24"/>
                <w:szCs w:val="24"/>
              </w:rPr>
            </w:pPr>
            <w:r w:rsidRPr="00220AFC">
              <w:rPr>
                <w:rFonts w:ascii="Times New Roman" w:hAnsi="Times New Roman" w:cs="Times New Roman"/>
                <w:sz w:val="24"/>
                <w:szCs w:val="24"/>
              </w:rPr>
              <w:t xml:space="preserve">25-29 ноября 2019 на базе Института дополнительного профессионального образования Новосибирского государственного аграрного университета для муниципальных служащих органов местного самоуправления муниципальных образований Новосибирской области </w:t>
            </w:r>
            <w:r w:rsidRPr="00220AFC">
              <w:rPr>
                <w:rFonts w:ascii="Times New Roman" w:hAnsi="Times New Roman" w:cs="Times New Roman"/>
                <w:sz w:val="24"/>
                <w:szCs w:val="24"/>
              </w:rPr>
              <w:lastRenderedPageBreak/>
              <w:t>прошло обучение по программе повышения квалификации «Внедрение антимонопольного комплаенса органами местного самоуправления. Внедрение стандарта развития конкуренции в Российской Федерации»</w:t>
            </w:r>
            <w:r>
              <w:rPr>
                <w:rFonts w:ascii="Times New Roman" w:hAnsi="Times New Roman" w:cs="Times New Roman"/>
                <w:sz w:val="24"/>
                <w:szCs w:val="24"/>
              </w:rPr>
              <w:t xml:space="preserve"> </w:t>
            </w:r>
            <w:r w:rsidRPr="003E54F4">
              <w:rPr>
                <w:rFonts w:ascii="Times New Roman" w:hAnsi="Times New Roman" w:cs="Times New Roman"/>
                <w:sz w:val="24"/>
                <w:szCs w:val="24"/>
              </w:rPr>
              <w:t>(</w:t>
            </w:r>
            <w:hyperlink r:id="rId254" w:history="1">
              <w:r w:rsidRPr="003E54F4">
                <w:rPr>
                  <w:rStyle w:val="a3"/>
                  <w:rFonts w:ascii="Times New Roman" w:hAnsi="Times New Roman" w:cs="Times New Roman"/>
                  <w:sz w:val="24"/>
                  <w:szCs w:val="24"/>
                </w:rPr>
                <w:t>http://econom.nso.ru/news/2896</w:t>
              </w:r>
            </w:hyperlink>
            <w:r w:rsidRPr="003E54F4">
              <w:rPr>
                <w:rFonts w:ascii="Times New Roman" w:hAnsi="Times New Roman" w:cs="Times New Roman"/>
                <w:sz w:val="24"/>
                <w:szCs w:val="24"/>
              </w:rPr>
              <w:t>).</w:t>
            </w:r>
          </w:p>
        </w:tc>
      </w:tr>
      <w:tr w:rsidR="00ED71B8" w:rsidRPr="00E3698F" w14:paraId="24FAF613" w14:textId="77777777" w:rsidTr="00961841">
        <w:trPr>
          <w:trHeight w:val="1916"/>
        </w:trPr>
        <w:tc>
          <w:tcPr>
            <w:tcW w:w="431" w:type="pct"/>
            <w:vMerge/>
            <w:tcBorders>
              <w:left w:val="single" w:sz="4" w:space="0" w:color="auto"/>
              <w:right w:val="single" w:sz="4" w:space="0" w:color="auto"/>
            </w:tcBorders>
          </w:tcPr>
          <w:p w14:paraId="66996041" w14:textId="77777777" w:rsidR="00ED71B8" w:rsidRDefault="00ED71B8" w:rsidP="00ED71B8">
            <w:pPr>
              <w:rPr>
                <w:rFonts w:ascii="Times New Roman" w:hAnsi="Times New Roman" w:cs="Times New Roman"/>
                <w:sz w:val="24"/>
                <w:szCs w:val="24"/>
              </w:rPr>
            </w:pPr>
          </w:p>
        </w:tc>
        <w:tc>
          <w:tcPr>
            <w:tcW w:w="1185" w:type="pct"/>
            <w:tcBorders>
              <w:top w:val="single" w:sz="4" w:space="0" w:color="auto"/>
              <w:left w:val="single" w:sz="4" w:space="0" w:color="auto"/>
              <w:right w:val="single" w:sz="4" w:space="0" w:color="auto"/>
            </w:tcBorders>
          </w:tcPr>
          <w:p w14:paraId="250E9833" w14:textId="77777777" w:rsidR="00ED71B8" w:rsidRPr="00694711" w:rsidRDefault="00ED71B8" w:rsidP="00ED71B8">
            <w:pPr>
              <w:rPr>
                <w:rFonts w:ascii="Times New Roman" w:hAnsi="Times New Roman" w:cs="Times New Roman"/>
                <w:sz w:val="24"/>
                <w:szCs w:val="24"/>
              </w:rPr>
            </w:pPr>
            <w:r w:rsidRPr="00AB3DC7">
              <w:rPr>
                <w:rFonts w:ascii="Times New Roman" w:hAnsi="Times New Roman" w:cs="Times New Roman"/>
                <w:sz w:val="24"/>
                <w:szCs w:val="24"/>
              </w:rPr>
              <w:t>Ресурсы, привлеченные для ее реализации</w:t>
            </w:r>
          </w:p>
        </w:tc>
        <w:tc>
          <w:tcPr>
            <w:tcW w:w="3384" w:type="pct"/>
            <w:tcBorders>
              <w:top w:val="single" w:sz="4" w:space="0" w:color="auto"/>
              <w:left w:val="single" w:sz="4" w:space="0" w:color="auto"/>
              <w:right w:val="single" w:sz="4" w:space="0" w:color="auto"/>
            </w:tcBorders>
          </w:tcPr>
          <w:p w14:paraId="3BF1964C" w14:textId="77777777" w:rsidR="00ED71B8" w:rsidRPr="00220AFC" w:rsidRDefault="00ED71B8" w:rsidP="00ED71B8">
            <w:pPr>
              <w:adjustRightInd w:val="0"/>
              <w:ind w:firstLine="424"/>
              <w:jc w:val="both"/>
              <w:rPr>
                <w:rFonts w:ascii="Times New Roman" w:hAnsi="Times New Roman" w:cs="Times New Roman"/>
                <w:sz w:val="24"/>
                <w:szCs w:val="24"/>
              </w:rPr>
            </w:pPr>
            <w:r w:rsidRPr="00220AFC">
              <w:rPr>
                <w:rFonts w:ascii="Times New Roman" w:hAnsi="Times New Roman" w:cs="Times New Roman"/>
                <w:sz w:val="24"/>
                <w:szCs w:val="24"/>
              </w:rPr>
              <w:t xml:space="preserve">Работа </w:t>
            </w:r>
            <w:r>
              <w:rPr>
                <w:rFonts w:ascii="Times New Roman" w:hAnsi="Times New Roman" w:cs="Times New Roman"/>
                <w:sz w:val="24"/>
                <w:szCs w:val="24"/>
              </w:rPr>
              <w:t xml:space="preserve">по принятию правовых актов </w:t>
            </w:r>
            <w:r w:rsidRPr="00220AFC">
              <w:rPr>
                <w:rFonts w:ascii="Times New Roman" w:hAnsi="Times New Roman" w:cs="Times New Roman"/>
                <w:sz w:val="24"/>
                <w:szCs w:val="24"/>
              </w:rPr>
              <w:t>была проведена силами региональных и муниципальных органов власти.</w:t>
            </w:r>
          </w:p>
          <w:p w14:paraId="3E1FBD2C" w14:textId="77777777" w:rsidR="00ED71B8" w:rsidRDefault="00ED71B8" w:rsidP="00ED71B8">
            <w:pPr>
              <w:adjustRightInd w:val="0"/>
              <w:ind w:firstLine="424"/>
              <w:jc w:val="both"/>
              <w:rPr>
                <w:rFonts w:ascii="Times New Roman" w:hAnsi="Times New Roman" w:cs="Times New Roman"/>
                <w:sz w:val="24"/>
                <w:szCs w:val="24"/>
              </w:rPr>
            </w:pPr>
            <w:r>
              <w:rPr>
                <w:rFonts w:ascii="Times New Roman" w:hAnsi="Times New Roman" w:cs="Times New Roman"/>
                <w:sz w:val="24"/>
                <w:szCs w:val="24"/>
              </w:rPr>
              <w:t xml:space="preserve">Обучение для государственных служащих осуществлялось на платной основе. </w:t>
            </w:r>
          </w:p>
          <w:p w14:paraId="62A91979" w14:textId="77777777" w:rsidR="00ED71B8" w:rsidRDefault="00ED71B8" w:rsidP="00ED71B8">
            <w:pPr>
              <w:adjustRightInd w:val="0"/>
              <w:ind w:firstLine="424"/>
              <w:jc w:val="both"/>
              <w:rPr>
                <w:rFonts w:ascii="Times New Roman" w:hAnsi="Times New Roman" w:cs="Times New Roman"/>
                <w:sz w:val="24"/>
                <w:szCs w:val="24"/>
              </w:rPr>
            </w:pPr>
            <w:r>
              <w:rPr>
                <w:rFonts w:ascii="Times New Roman" w:hAnsi="Times New Roman" w:cs="Times New Roman"/>
                <w:sz w:val="24"/>
                <w:szCs w:val="24"/>
              </w:rPr>
              <w:t xml:space="preserve">Средняя стоимость обучения 1 человека в ФАС России – </w:t>
            </w:r>
            <w:r w:rsidR="00584796">
              <w:rPr>
                <w:rFonts w:ascii="Times New Roman" w:hAnsi="Times New Roman" w:cs="Times New Roman"/>
                <w:sz w:val="24"/>
                <w:szCs w:val="24"/>
              </w:rPr>
              <w:t>11 500 рублей.</w:t>
            </w:r>
          </w:p>
          <w:p w14:paraId="0C4324A8" w14:textId="77777777" w:rsidR="00ED71B8" w:rsidRDefault="00ED71B8" w:rsidP="00ED71B8">
            <w:pPr>
              <w:adjustRightInd w:val="0"/>
              <w:ind w:firstLine="424"/>
              <w:jc w:val="both"/>
              <w:rPr>
                <w:rFonts w:ascii="Times New Roman" w:hAnsi="Times New Roman" w:cs="Times New Roman"/>
                <w:sz w:val="24"/>
                <w:szCs w:val="24"/>
              </w:rPr>
            </w:pPr>
            <w:r>
              <w:rPr>
                <w:rFonts w:ascii="Times New Roman" w:hAnsi="Times New Roman" w:cs="Times New Roman"/>
                <w:sz w:val="24"/>
                <w:szCs w:val="24"/>
              </w:rPr>
              <w:t xml:space="preserve">Средняя стоимость обучения 1 человека в </w:t>
            </w:r>
            <w:r w:rsidRPr="00220AFC">
              <w:rPr>
                <w:rFonts w:ascii="Times New Roman" w:eastAsiaTheme="minorHAnsi" w:hAnsi="Times New Roman" w:cs="Times New Roman"/>
                <w:sz w:val="24"/>
                <w:szCs w:val="24"/>
              </w:rPr>
              <w:t>ЧУ ДПО «Учебный центр БДО</w:t>
            </w:r>
            <w:r>
              <w:rPr>
                <w:rFonts w:ascii="Times New Roman" w:hAnsi="Times New Roman" w:cs="Times New Roman"/>
                <w:sz w:val="24"/>
                <w:szCs w:val="24"/>
              </w:rPr>
              <w:t xml:space="preserve"> – 26 000</w:t>
            </w:r>
            <w:r w:rsidR="00584796">
              <w:rPr>
                <w:rFonts w:ascii="Times New Roman" w:hAnsi="Times New Roman" w:cs="Times New Roman"/>
                <w:sz w:val="24"/>
                <w:szCs w:val="24"/>
              </w:rPr>
              <w:t xml:space="preserve"> рублей.</w:t>
            </w:r>
          </w:p>
          <w:p w14:paraId="06E1F183" w14:textId="77777777" w:rsidR="00ED71B8" w:rsidRPr="00220AFC" w:rsidRDefault="00ED71B8" w:rsidP="00ED71B8">
            <w:pPr>
              <w:adjustRightInd w:val="0"/>
              <w:ind w:firstLine="424"/>
              <w:jc w:val="both"/>
              <w:rPr>
                <w:rFonts w:ascii="Times New Roman" w:hAnsi="Times New Roman" w:cs="Times New Roman"/>
                <w:sz w:val="24"/>
                <w:szCs w:val="24"/>
              </w:rPr>
            </w:pPr>
            <w:r>
              <w:rPr>
                <w:rFonts w:ascii="Times New Roman" w:hAnsi="Times New Roman" w:cs="Times New Roman"/>
                <w:sz w:val="24"/>
                <w:szCs w:val="24"/>
              </w:rPr>
              <w:t>В целях повышения квалификации муниципальных служащих проведена закупка «</w:t>
            </w:r>
            <w:r w:rsidRPr="006E2FCD">
              <w:rPr>
                <w:rFonts w:ascii="Times New Roman" w:hAnsi="Times New Roman" w:cs="Times New Roman"/>
                <w:sz w:val="24"/>
                <w:szCs w:val="24"/>
              </w:rPr>
              <w:t>Оказание услуг по дополнительному профессиональному образованию (повышению квалификации) государственных гражданских служащих Новосибирской области, работников, замещающих должности, не являющиеся должностями государственной гражданской службы Новосибирской области, лиц, замещающих выборные муниципальные должности, муниципальных служащих органов местного самоуправления муниципальных образований Новосибирской области по программе повышения квалификации «Внедрение антимонопольного комплаенса органами местного самоуправления. Внедрение стандарта развития конкуренции в Российской Федерации»</w:t>
            </w:r>
            <w:r>
              <w:rPr>
                <w:rFonts w:ascii="Times New Roman" w:hAnsi="Times New Roman" w:cs="Times New Roman"/>
                <w:sz w:val="24"/>
                <w:szCs w:val="24"/>
              </w:rPr>
              <w:t xml:space="preserve">. С победителем конкурса заключен государственный контракт. Цена контракта - </w:t>
            </w:r>
            <w:r w:rsidRPr="006E2FCD">
              <w:rPr>
                <w:rFonts w:ascii="Times New Roman" w:hAnsi="Times New Roman" w:cs="Times New Roman"/>
                <w:sz w:val="24"/>
                <w:szCs w:val="24"/>
              </w:rPr>
              <w:t>112 560,00</w:t>
            </w:r>
            <w:r w:rsidR="00584796">
              <w:rPr>
                <w:rFonts w:ascii="Times New Roman" w:hAnsi="Times New Roman" w:cs="Times New Roman"/>
                <w:sz w:val="24"/>
                <w:szCs w:val="24"/>
              </w:rPr>
              <w:t xml:space="preserve"> рублей.</w:t>
            </w:r>
          </w:p>
        </w:tc>
      </w:tr>
      <w:tr w:rsidR="00ED71B8" w:rsidRPr="00E3698F" w14:paraId="2594F1C9" w14:textId="77777777" w:rsidTr="00961841">
        <w:trPr>
          <w:trHeight w:val="1916"/>
        </w:trPr>
        <w:tc>
          <w:tcPr>
            <w:tcW w:w="431" w:type="pct"/>
            <w:vMerge/>
            <w:tcBorders>
              <w:left w:val="single" w:sz="4" w:space="0" w:color="auto"/>
              <w:right w:val="single" w:sz="4" w:space="0" w:color="auto"/>
            </w:tcBorders>
          </w:tcPr>
          <w:p w14:paraId="4ABEF551" w14:textId="77777777" w:rsidR="00ED71B8" w:rsidRDefault="00ED71B8" w:rsidP="00ED71B8">
            <w:pPr>
              <w:rPr>
                <w:rFonts w:ascii="Times New Roman" w:hAnsi="Times New Roman" w:cs="Times New Roman"/>
                <w:sz w:val="24"/>
                <w:szCs w:val="24"/>
              </w:rPr>
            </w:pPr>
          </w:p>
        </w:tc>
        <w:tc>
          <w:tcPr>
            <w:tcW w:w="1185" w:type="pct"/>
            <w:tcBorders>
              <w:top w:val="single" w:sz="4" w:space="0" w:color="auto"/>
              <w:left w:val="single" w:sz="4" w:space="0" w:color="auto"/>
              <w:right w:val="single" w:sz="4" w:space="0" w:color="auto"/>
            </w:tcBorders>
          </w:tcPr>
          <w:p w14:paraId="1AD60A08" w14:textId="77777777" w:rsidR="00ED71B8" w:rsidRPr="00694711" w:rsidRDefault="00ED71B8" w:rsidP="00ED71B8">
            <w:pPr>
              <w:rPr>
                <w:rFonts w:ascii="Times New Roman" w:hAnsi="Times New Roman" w:cs="Times New Roman"/>
                <w:sz w:val="24"/>
                <w:szCs w:val="24"/>
              </w:rPr>
            </w:pPr>
            <w:r w:rsidRPr="00AB3DC7">
              <w:rPr>
                <w:rFonts w:ascii="Times New Roman" w:hAnsi="Times New Roman" w:cs="Times New Roman"/>
                <w:sz w:val="24"/>
                <w:szCs w:val="24"/>
              </w:rPr>
              <w:t>Описание результата</w:t>
            </w:r>
          </w:p>
        </w:tc>
        <w:tc>
          <w:tcPr>
            <w:tcW w:w="3384" w:type="pct"/>
            <w:tcBorders>
              <w:top w:val="single" w:sz="4" w:space="0" w:color="auto"/>
              <w:left w:val="single" w:sz="4" w:space="0" w:color="auto"/>
              <w:right w:val="single" w:sz="4" w:space="0" w:color="auto"/>
            </w:tcBorders>
          </w:tcPr>
          <w:p w14:paraId="204B9413" w14:textId="77777777" w:rsidR="00ED71B8" w:rsidRPr="00220AFC" w:rsidRDefault="00ED71B8" w:rsidP="00ED71B8">
            <w:pPr>
              <w:autoSpaceDE w:val="0"/>
              <w:autoSpaceDN w:val="0"/>
              <w:adjustRightInd w:val="0"/>
              <w:ind w:firstLine="424"/>
              <w:jc w:val="both"/>
              <w:rPr>
                <w:rFonts w:ascii="Times New Roman" w:eastAsiaTheme="minorHAnsi" w:hAnsi="Times New Roman" w:cs="Times New Roman"/>
                <w:sz w:val="24"/>
                <w:szCs w:val="24"/>
              </w:rPr>
            </w:pPr>
            <w:r w:rsidRPr="00220AFC">
              <w:rPr>
                <w:rFonts w:ascii="Times New Roman" w:eastAsiaTheme="minorHAnsi" w:hAnsi="Times New Roman" w:cs="Times New Roman"/>
                <w:sz w:val="24"/>
                <w:szCs w:val="24"/>
              </w:rPr>
              <w:t>В правовых актах по внедрению антимонопольного комплаенса содержатся:</w:t>
            </w:r>
          </w:p>
          <w:p w14:paraId="0E7C551A" w14:textId="77777777" w:rsidR="00ED71B8" w:rsidRPr="00220AFC" w:rsidRDefault="00ED71B8" w:rsidP="00ED71B8">
            <w:pPr>
              <w:autoSpaceDE w:val="0"/>
              <w:autoSpaceDN w:val="0"/>
              <w:adjustRightInd w:val="0"/>
              <w:ind w:firstLine="424"/>
              <w:jc w:val="both"/>
              <w:rPr>
                <w:rFonts w:ascii="Times New Roman" w:eastAsiaTheme="minorHAnsi" w:hAnsi="Times New Roman" w:cs="Times New Roman"/>
                <w:sz w:val="24"/>
                <w:szCs w:val="24"/>
              </w:rPr>
            </w:pPr>
            <w:r w:rsidRPr="00220AFC">
              <w:rPr>
                <w:rFonts w:ascii="Times New Roman" w:eastAsiaTheme="minorHAnsi" w:hAnsi="Times New Roman" w:cs="Times New Roman"/>
                <w:sz w:val="24"/>
                <w:szCs w:val="24"/>
              </w:rPr>
              <w:t xml:space="preserve">сведения об уполномоченном подразделении (должностном лице), ответственном за функционирование антимонопольного комплаенса в областном исполнительном органе государственной власти </w:t>
            </w:r>
            <w:r>
              <w:rPr>
                <w:rFonts w:ascii="Times New Roman" w:eastAsiaTheme="minorHAnsi" w:hAnsi="Times New Roman" w:cs="Times New Roman"/>
                <w:sz w:val="24"/>
                <w:szCs w:val="24"/>
              </w:rPr>
              <w:t>Новосибирской области</w:t>
            </w:r>
            <w:r w:rsidRPr="00220AFC">
              <w:rPr>
                <w:rFonts w:ascii="Times New Roman" w:eastAsiaTheme="minorHAnsi" w:hAnsi="Times New Roman" w:cs="Times New Roman"/>
                <w:sz w:val="24"/>
                <w:szCs w:val="24"/>
              </w:rPr>
              <w:t>, органе местног</w:t>
            </w:r>
            <w:r>
              <w:rPr>
                <w:rFonts w:ascii="Times New Roman" w:eastAsiaTheme="minorHAnsi" w:hAnsi="Times New Roman" w:cs="Times New Roman"/>
                <w:sz w:val="24"/>
                <w:szCs w:val="24"/>
              </w:rPr>
              <w:t>о самоуправления (далее – ОМСУ)</w:t>
            </w:r>
            <w:r w:rsidRPr="00220AFC">
              <w:rPr>
                <w:rFonts w:ascii="Times New Roman" w:eastAsiaTheme="minorHAnsi" w:hAnsi="Times New Roman" w:cs="Times New Roman"/>
                <w:sz w:val="24"/>
                <w:szCs w:val="24"/>
              </w:rPr>
              <w:t xml:space="preserve"> и о коллегиальном органе, осуществляющем оценку эффективности его функционирования;</w:t>
            </w:r>
          </w:p>
          <w:p w14:paraId="52D982C3" w14:textId="77777777" w:rsidR="00ED71B8" w:rsidRPr="00220AFC" w:rsidRDefault="00ED71B8" w:rsidP="00ED71B8">
            <w:pPr>
              <w:autoSpaceDE w:val="0"/>
              <w:autoSpaceDN w:val="0"/>
              <w:adjustRightInd w:val="0"/>
              <w:ind w:firstLine="424"/>
              <w:jc w:val="both"/>
              <w:rPr>
                <w:rFonts w:ascii="Times New Roman" w:eastAsiaTheme="minorHAnsi" w:hAnsi="Times New Roman" w:cs="Times New Roman"/>
                <w:sz w:val="24"/>
                <w:szCs w:val="24"/>
              </w:rPr>
            </w:pPr>
            <w:r w:rsidRPr="00220AFC">
              <w:rPr>
                <w:rFonts w:ascii="Times New Roman" w:eastAsiaTheme="minorHAnsi" w:hAnsi="Times New Roman" w:cs="Times New Roman"/>
                <w:sz w:val="24"/>
                <w:szCs w:val="24"/>
              </w:rPr>
              <w:t>порядок выявления и оценки рисков нарушения антимонопольного законодательства при осуществлении ОИОГВ НСО, ОМСУ своей деятельности;</w:t>
            </w:r>
          </w:p>
          <w:p w14:paraId="7D7A5524" w14:textId="77777777" w:rsidR="00ED71B8" w:rsidRPr="00220AFC" w:rsidRDefault="00ED71B8" w:rsidP="00ED71B8">
            <w:pPr>
              <w:autoSpaceDE w:val="0"/>
              <w:autoSpaceDN w:val="0"/>
              <w:adjustRightInd w:val="0"/>
              <w:ind w:firstLine="424"/>
              <w:jc w:val="both"/>
              <w:rPr>
                <w:rFonts w:ascii="Times New Roman" w:eastAsiaTheme="minorHAnsi" w:hAnsi="Times New Roman" w:cs="Times New Roman"/>
                <w:sz w:val="24"/>
                <w:szCs w:val="24"/>
              </w:rPr>
            </w:pPr>
            <w:r w:rsidRPr="00220AFC">
              <w:rPr>
                <w:rFonts w:ascii="Times New Roman" w:eastAsiaTheme="minorHAnsi" w:hAnsi="Times New Roman" w:cs="Times New Roman"/>
                <w:sz w:val="24"/>
                <w:szCs w:val="24"/>
              </w:rPr>
              <w:t>порядок ознакомления служащих ОИОГВ НСО, ОМСУ с актом об организации антимонопольного комплаенса;</w:t>
            </w:r>
          </w:p>
          <w:p w14:paraId="59215245" w14:textId="77777777" w:rsidR="00ED71B8" w:rsidRPr="00220AFC" w:rsidRDefault="00ED71B8" w:rsidP="00ED71B8">
            <w:pPr>
              <w:autoSpaceDE w:val="0"/>
              <w:autoSpaceDN w:val="0"/>
              <w:adjustRightInd w:val="0"/>
              <w:ind w:firstLine="424"/>
              <w:jc w:val="both"/>
              <w:rPr>
                <w:rFonts w:ascii="Times New Roman" w:eastAsiaTheme="minorHAnsi" w:hAnsi="Times New Roman" w:cs="Times New Roman"/>
                <w:sz w:val="24"/>
                <w:szCs w:val="24"/>
              </w:rPr>
            </w:pPr>
            <w:r w:rsidRPr="00220AFC">
              <w:rPr>
                <w:rFonts w:ascii="Times New Roman" w:eastAsiaTheme="minorHAnsi" w:hAnsi="Times New Roman" w:cs="Times New Roman"/>
                <w:sz w:val="24"/>
                <w:szCs w:val="24"/>
              </w:rPr>
              <w:lastRenderedPageBreak/>
              <w:t>меры, направленные на осуществление ОИОГВ НСО, ОМСУ контроля за функционированием антимонопольного комплаенса;</w:t>
            </w:r>
          </w:p>
          <w:p w14:paraId="6E5DF535" w14:textId="77777777" w:rsidR="00ED71B8" w:rsidRPr="003E54F4" w:rsidRDefault="00ED71B8" w:rsidP="00ED71B8">
            <w:pPr>
              <w:autoSpaceDE w:val="0"/>
              <w:autoSpaceDN w:val="0"/>
              <w:adjustRightInd w:val="0"/>
              <w:ind w:firstLine="424"/>
              <w:jc w:val="both"/>
              <w:rPr>
                <w:rFonts w:ascii="Times New Roman" w:eastAsiaTheme="minorHAnsi" w:hAnsi="Times New Roman" w:cs="Times New Roman"/>
                <w:sz w:val="24"/>
                <w:szCs w:val="24"/>
              </w:rPr>
            </w:pPr>
            <w:r w:rsidRPr="00220AFC">
              <w:rPr>
                <w:rFonts w:ascii="Times New Roman" w:eastAsiaTheme="minorHAnsi" w:hAnsi="Times New Roman" w:cs="Times New Roman"/>
                <w:sz w:val="24"/>
                <w:szCs w:val="24"/>
              </w:rPr>
              <w:t>ключевые показатели и порядок оценки эффективности функционирования антимонопольного комплаенса в ОИОГВ НСО, ОМСУ.</w:t>
            </w:r>
          </w:p>
        </w:tc>
      </w:tr>
      <w:tr w:rsidR="00ED71B8" w:rsidRPr="00E3698F" w14:paraId="58D59BCE" w14:textId="77777777" w:rsidTr="00961841">
        <w:trPr>
          <w:trHeight w:val="1916"/>
        </w:trPr>
        <w:tc>
          <w:tcPr>
            <w:tcW w:w="431" w:type="pct"/>
            <w:vMerge/>
            <w:tcBorders>
              <w:left w:val="single" w:sz="4" w:space="0" w:color="auto"/>
              <w:right w:val="single" w:sz="4" w:space="0" w:color="auto"/>
            </w:tcBorders>
          </w:tcPr>
          <w:p w14:paraId="5E0C657D" w14:textId="77777777" w:rsidR="00ED71B8" w:rsidRDefault="00ED71B8" w:rsidP="00ED71B8">
            <w:pPr>
              <w:rPr>
                <w:rFonts w:ascii="Times New Roman" w:hAnsi="Times New Roman" w:cs="Times New Roman"/>
                <w:sz w:val="24"/>
                <w:szCs w:val="24"/>
              </w:rPr>
            </w:pPr>
          </w:p>
        </w:tc>
        <w:tc>
          <w:tcPr>
            <w:tcW w:w="1185" w:type="pct"/>
            <w:tcBorders>
              <w:top w:val="single" w:sz="4" w:space="0" w:color="auto"/>
              <w:left w:val="single" w:sz="4" w:space="0" w:color="auto"/>
              <w:right w:val="single" w:sz="4" w:space="0" w:color="auto"/>
            </w:tcBorders>
          </w:tcPr>
          <w:p w14:paraId="1C9E5277" w14:textId="77777777" w:rsidR="00ED71B8" w:rsidRPr="00AB3DC7" w:rsidRDefault="00ED71B8" w:rsidP="00ED71B8">
            <w:pPr>
              <w:rPr>
                <w:rFonts w:ascii="Times New Roman" w:hAnsi="Times New Roman" w:cs="Times New Roman"/>
                <w:sz w:val="24"/>
                <w:szCs w:val="24"/>
              </w:rPr>
            </w:pPr>
            <w:r w:rsidRPr="00AB3DC7">
              <w:rPr>
                <w:rFonts w:ascii="Times New Roman" w:hAnsi="Times New Roman" w:cs="Times New Roman"/>
                <w:sz w:val="24"/>
                <w:szCs w:val="24"/>
              </w:rPr>
              <w:t>Значение количественного (качественного) показателя результата</w:t>
            </w:r>
          </w:p>
        </w:tc>
        <w:tc>
          <w:tcPr>
            <w:tcW w:w="3384" w:type="pct"/>
            <w:tcBorders>
              <w:top w:val="single" w:sz="4" w:space="0" w:color="auto"/>
              <w:left w:val="single" w:sz="4" w:space="0" w:color="auto"/>
              <w:right w:val="single" w:sz="4" w:space="0" w:color="auto"/>
            </w:tcBorders>
          </w:tcPr>
          <w:p w14:paraId="00CE61D9" w14:textId="77777777" w:rsidR="00ED71B8" w:rsidRPr="00220AFC" w:rsidRDefault="00ED71B8" w:rsidP="00ED71B8">
            <w:pPr>
              <w:ind w:firstLine="424"/>
              <w:jc w:val="both"/>
              <w:rPr>
                <w:rFonts w:ascii="Times New Roman" w:hAnsi="Times New Roman" w:cs="Times New Roman"/>
                <w:sz w:val="24"/>
                <w:szCs w:val="24"/>
              </w:rPr>
            </w:pPr>
            <w:r w:rsidRPr="00220AFC">
              <w:rPr>
                <w:rFonts w:ascii="Times New Roman" w:hAnsi="Times New Roman" w:cs="Times New Roman"/>
                <w:sz w:val="24"/>
                <w:szCs w:val="24"/>
              </w:rPr>
              <w:t>Количественные показатели:</w:t>
            </w:r>
          </w:p>
          <w:p w14:paraId="088C614E" w14:textId="77777777" w:rsidR="00ED71B8" w:rsidRPr="00220AFC" w:rsidRDefault="00ED71B8" w:rsidP="00ED71B8">
            <w:pPr>
              <w:ind w:firstLine="424"/>
              <w:jc w:val="both"/>
              <w:rPr>
                <w:rFonts w:ascii="Times New Roman" w:hAnsi="Times New Roman" w:cs="Times New Roman"/>
                <w:sz w:val="24"/>
                <w:szCs w:val="24"/>
              </w:rPr>
            </w:pPr>
            <w:r w:rsidRPr="00220AFC">
              <w:rPr>
                <w:rFonts w:ascii="Times New Roman" w:hAnsi="Times New Roman" w:cs="Times New Roman"/>
                <w:sz w:val="24"/>
                <w:szCs w:val="24"/>
              </w:rPr>
              <w:t>30 правовых актов, принятых ОИОГВ НСО;</w:t>
            </w:r>
          </w:p>
          <w:p w14:paraId="0C7DABE8" w14:textId="77777777" w:rsidR="00ED71B8" w:rsidRPr="00220AFC" w:rsidRDefault="00ED71B8" w:rsidP="00ED71B8">
            <w:pPr>
              <w:ind w:firstLine="424"/>
              <w:jc w:val="both"/>
              <w:rPr>
                <w:rFonts w:ascii="Times New Roman" w:hAnsi="Times New Roman" w:cs="Times New Roman"/>
                <w:sz w:val="24"/>
                <w:szCs w:val="24"/>
              </w:rPr>
            </w:pPr>
            <w:r w:rsidRPr="00220AFC">
              <w:rPr>
                <w:rFonts w:ascii="Times New Roman" w:hAnsi="Times New Roman" w:cs="Times New Roman"/>
                <w:sz w:val="24"/>
                <w:szCs w:val="24"/>
              </w:rPr>
              <w:t xml:space="preserve">35 муниципальных правовых актов, принятых ОМСУ. </w:t>
            </w:r>
          </w:p>
          <w:p w14:paraId="4C389598" w14:textId="77777777" w:rsidR="00ED71B8" w:rsidRPr="00220AFC" w:rsidRDefault="00ED71B8" w:rsidP="00ED71B8">
            <w:pPr>
              <w:ind w:firstLine="424"/>
              <w:jc w:val="both"/>
              <w:rPr>
                <w:rFonts w:ascii="Times New Roman" w:hAnsi="Times New Roman" w:cs="Times New Roman"/>
                <w:sz w:val="24"/>
                <w:szCs w:val="24"/>
              </w:rPr>
            </w:pPr>
            <w:r w:rsidRPr="00220AFC">
              <w:rPr>
                <w:rFonts w:ascii="Times New Roman" w:hAnsi="Times New Roman" w:cs="Times New Roman"/>
                <w:sz w:val="24"/>
                <w:szCs w:val="24"/>
              </w:rPr>
              <w:t>12 государственных служащих и 20 муниципальных служащих, повысивших квалификацию по вопросам внедрения антимонопольного комплаенса.</w:t>
            </w:r>
          </w:p>
          <w:p w14:paraId="31CFD427" w14:textId="77777777" w:rsidR="00ED71B8" w:rsidRDefault="00ED71B8" w:rsidP="00ED71B8">
            <w:pPr>
              <w:ind w:firstLine="424"/>
              <w:jc w:val="both"/>
              <w:rPr>
                <w:rFonts w:ascii="Times New Roman" w:hAnsi="Times New Roman" w:cs="Times New Roman"/>
                <w:sz w:val="24"/>
                <w:szCs w:val="24"/>
              </w:rPr>
            </w:pPr>
            <w:r>
              <w:rPr>
                <w:rFonts w:ascii="Times New Roman" w:hAnsi="Times New Roman" w:cs="Times New Roman"/>
                <w:sz w:val="24"/>
                <w:szCs w:val="24"/>
              </w:rPr>
              <w:t xml:space="preserve">Качественные показатели: </w:t>
            </w:r>
          </w:p>
          <w:p w14:paraId="0D0ABBEE" w14:textId="77777777" w:rsidR="00ED71B8" w:rsidRPr="00220AFC" w:rsidRDefault="00ED71B8" w:rsidP="00ED71B8">
            <w:pPr>
              <w:ind w:firstLine="424"/>
              <w:jc w:val="both"/>
              <w:rPr>
                <w:rFonts w:ascii="Times New Roman" w:hAnsi="Times New Roman" w:cs="Times New Roman"/>
                <w:sz w:val="24"/>
                <w:szCs w:val="24"/>
              </w:rPr>
            </w:pPr>
            <w:r>
              <w:rPr>
                <w:rFonts w:ascii="Times New Roman" w:hAnsi="Times New Roman" w:cs="Times New Roman"/>
                <w:sz w:val="24"/>
                <w:szCs w:val="24"/>
              </w:rPr>
              <w:t>в</w:t>
            </w:r>
            <w:r w:rsidRPr="00220AFC">
              <w:rPr>
                <w:rFonts w:ascii="Times New Roman" w:hAnsi="Times New Roman" w:cs="Times New Roman"/>
                <w:sz w:val="24"/>
                <w:szCs w:val="24"/>
              </w:rPr>
              <w:t>недрение в практику работы ОИОГВ НСО и ОМСУ новых знаний по вопросам антимонопольного комплаенса</w:t>
            </w:r>
            <w:r>
              <w:rPr>
                <w:rFonts w:ascii="Times New Roman" w:hAnsi="Times New Roman" w:cs="Times New Roman"/>
                <w:sz w:val="24"/>
                <w:szCs w:val="24"/>
              </w:rPr>
              <w:t>;</w:t>
            </w:r>
          </w:p>
          <w:p w14:paraId="6FD8522E" w14:textId="77777777" w:rsidR="00ED71B8" w:rsidRPr="00220AFC" w:rsidRDefault="00ED71B8" w:rsidP="00ED71B8">
            <w:pPr>
              <w:ind w:firstLine="424"/>
              <w:jc w:val="both"/>
              <w:rPr>
                <w:rFonts w:ascii="Times New Roman" w:hAnsi="Times New Roman" w:cs="Times New Roman"/>
                <w:sz w:val="24"/>
                <w:szCs w:val="24"/>
              </w:rPr>
            </w:pPr>
            <w:r>
              <w:rPr>
                <w:rFonts w:ascii="Times New Roman" w:hAnsi="Times New Roman" w:cs="Times New Roman"/>
                <w:sz w:val="24"/>
                <w:szCs w:val="24"/>
              </w:rPr>
              <w:t>о</w:t>
            </w:r>
            <w:r w:rsidRPr="00220AFC">
              <w:rPr>
                <w:rFonts w:ascii="Times New Roman" w:hAnsi="Times New Roman" w:cs="Times New Roman"/>
                <w:sz w:val="24"/>
                <w:szCs w:val="24"/>
              </w:rPr>
              <w:t>беспечение надлежащего уровня профессиональных знаний, необходимых для осуществления служебной деятельности.</w:t>
            </w:r>
          </w:p>
        </w:tc>
      </w:tr>
      <w:tr w:rsidR="003F4CFF" w:rsidRPr="00E3698F" w14:paraId="12302A7C" w14:textId="77777777" w:rsidTr="009A18FC">
        <w:tc>
          <w:tcPr>
            <w:tcW w:w="5000" w:type="pct"/>
            <w:gridSpan w:val="3"/>
            <w:tcBorders>
              <w:top w:val="single" w:sz="4" w:space="0" w:color="auto"/>
              <w:left w:val="single" w:sz="4" w:space="0" w:color="auto"/>
              <w:right w:val="single" w:sz="4" w:space="0" w:color="auto"/>
            </w:tcBorders>
          </w:tcPr>
          <w:p w14:paraId="15C719A9" w14:textId="77777777" w:rsidR="003F4CFF" w:rsidRPr="00AB3DC7" w:rsidRDefault="003F4CFF" w:rsidP="003F4CFF">
            <w:pPr>
              <w:rPr>
                <w:rFonts w:ascii="Times New Roman" w:hAnsi="Times New Roman" w:cs="Times New Roman"/>
                <w:sz w:val="24"/>
                <w:szCs w:val="24"/>
              </w:rPr>
            </w:pPr>
            <w:r>
              <w:rPr>
                <w:rFonts w:ascii="Times New Roman" w:hAnsi="Times New Roman" w:cs="Times New Roman"/>
                <w:b/>
                <w:sz w:val="24"/>
                <w:szCs w:val="24"/>
              </w:rPr>
              <w:t>Государственные и муниципальные закупки</w:t>
            </w:r>
          </w:p>
        </w:tc>
      </w:tr>
      <w:tr w:rsidR="003F4CFF" w:rsidRPr="00E3698F" w14:paraId="34B5D5B6" w14:textId="77777777" w:rsidTr="00961841">
        <w:tc>
          <w:tcPr>
            <w:tcW w:w="431" w:type="pct"/>
            <w:vMerge w:val="restart"/>
            <w:tcBorders>
              <w:top w:val="single" w:sz="4" w:space="0" w:color="auto"/>
              <w:left w:val="single" w:sz="4" w:space="0" w:color="auto"/>
              <w:right w:val="single" w:sz="4" w:space="0" w:color="auto"/>
            </w:tcBorders>
          </w:tcPr>
          <w:p w14:paraId="5CDA9277" w14:textId="77777777" w:rsidR="003F4CFF" w:rsidRPr="00E3698F" w:rsidRDefault="00ED71B8" w:rsidP="003F4CFF">
            <w:pPr>
              <w:rPr>
                <w:rFonts w:ascii="Times New Roman" w:hAnsi="Times New Roman" w:cs="Times New Roman"/>
                <w:sz w:val="24"/>
                <w:szCs w:val="24"/>
              </w:rPr>
            </w:pPr>
            <w:r>
              <w:rPr>
                <w:rFonts w:ascii="Times New Roman" w:hAnsi="Times New Roman" w:cs="Times New Roman"/>
                <w:sz w:val="24"/>
                <w:szCs w:val="24"/>
              </w:rPr>
              <w:t>3</w:t>
            </w:r>
            <w:r w:rsidR="003F4CFF">
              <w:rPr>
                <w:rFonts w:ascii="Times New Roman" w:hAnsi="Times New Roman" w:cs="Times New Roman"/>
                <w:sz w:val="24"/>
                <w:szCs w:val="24"/>
              </w:rPr>
              <w:t>.</w:t>
            </w:r>
          </w:p>
        </w:tc>
        <w:tc>
          <w:tcPr>
            <w:tcW w:w="1185"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4831BAA5" w14:textId="77777777" w:rsidR="003F4CFF" w:rsidRPr="00E3698F" w:rsidRDefault="003F4CFF" w:rsidP="003F4CFF">
            <w:pPr>
              <w:rPr>
                <w:rFonts w:ascii="Times New Roman" w:hAnsi="Times New Roman" w:cs="Times New Roman"/>
                <w:sz w:val="24"/>
                <w:szCs w:val="24"/>
              </w:rPr>
            </w:pPr>
            <w:r w:rsidRPr="00694711">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3384" w:type="pct"/>
            <w:tcBorders>
              <w:top w:val="single" w:sz="4" w:space="0" w:color="auto"/>
              <w:left w:val="single" w:sz="4" w:space="0" w:color="auto"/>
              <w:bottom w:val="single" w:sz="4" w:space="0" w:color="auto"/>
              <w:right w:val="single" w:sz="4" w:space="0" w:color="auto"/>
            </w:tcBorders>
            <w:shd w:val="clear" w:color="auto" w:fill="DEE6F6" w:themeFill="background2" w:themeFillTint="66"/>
          </w:tcPr>
          <w:p w14:paraId="36D2167F"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Введение в Новосибирской области типового положения о закупке товаров, работ, услуг отдельными видами юридических лиц (приказ контрольного управления Новоси</w:t>
            </w:r>
            <w:r>
              <w:rPr>
                <w:rFonts w:ascii="Times New Roman" w:hAnsi="Times New Roman" w:cs="Times New Roman"/>
                <w:sz w:val="24"/>
                <w:szCs w:val="24"/>
              </w:rPr>
              <w:t>бирской области от 29.11.2018 № </w:t>
            </w:r>
            <w:r w:rsidRPr="00AB3DC7">
              <w:rPr>
                <w:rFonts w:ascii="Times New Roman" w:hAnsi="Times New Roman" w:cs="Times New Roman"/>
                <w:sz w:val="24"/>
                <w:szCs w:val="24"/>
              </w:rPr>
              <w:t>374 «Об утверждении Типового положения о закупке товаров, работ, услуг отдельными видами юридических лиц»)</w:t>
            </w:r>
          </w:p>
        </w:tc>
      </w:tr>
      <w:tr w:rsidR="003F4CFF" w:rsidRPr="00E3698F" w14:paraId="316CF924" w14:textId="77777777" w:rsidTr="00961841">
        <w:tc>
          <w:tcPr>
            <w:tcW w:w="431" w:type="pct"/>
            <w:vMerge/>
            <w:tcBorders>
              <w:left w:val="single" w:sz="4" w:space="0" w:color="auto"/>
              <w:right w:val="single" w:sz="4" w:space="0" w:color="auto"/>
            </w:tcBorders>
          </w:tcPr>
          <w:p w14:paraId="3ED47D36" w14:textId="77777777" w:rsidR="003F4CFF" w:rsidRPr="00E3698F" w:rsidRDefault="003F4CFF" w:rsidP="003F4CFF">
            <w:pPr>
              <w:rPr>
                <w:rFonts w:ascii="Times New Roman" w:hAnsi="Times New Roman" w:cs="Times New Roman"/>
                <w:sz w:val="24"/>
                <w:szCs w:val="24"/>
              </w:rPr>
            </w:pPr>
          </w:p>
        </w:tc>
        <w:tc>
          <w:tcPr>
            <w:tcW w:w="1185" w:type="pct"/>
            <w:tcBorders>
              <w:top w:val="single" w:sz="4" w:space="0" w:color="auto"/>
              <w:left w:val="single" w:sz="4" w:space="0" w:color="auto"/>
              <w:bottom w:val="single" w:sz="4" w:space="0" w:color="auto"/>
              <w:right w:val="single" w:sz="4" w:space="0" w:color="auto"/>
            </w:tcBorders>
          </w:tcPr>
          <w:p w14:paraId="78D44F24" w14:textId="77777777" w:rsidR="003F4CFF" w:rsidRPr="00E3698F" w:rsidRDefault="003F4CFF" w:rsidP="003F4CFF">
            <w:pPr>
              <w:rPr>
                <w:rFonts w:ascii="Times New Roman" w:hAnsi="Times New Roman" w:cs="Times New Roman"/>
                <w:sz w:val="24"/>
                <w:szCs w:val="24"/>
              </w:rPr>
            </w:pPr>
            <w:r w:rsidRPr="00694711">
              <w:rPr>
                <w:rFonts w:ascii="Times New Roman" w:hAnsi="Times New Roman" w:cs="Times New Roman"/>
                <w:sz w:val="24"/>
                <w:szCs w:val="24"/>
              </w:rPr>
              <w:t>Краткое описание успешной практики</w:t>
            </w:r>
          </w:p>
        </w:tc>
        <w:tc>
          <w:tcPr>
            <w:tcW w:w="3384" w:type="pct"/>
            <w:tcBorders>
              <w:top w:val="single" w:sz="4" w:space="0" w:color="auto"/>
              <w:left w:val="single" w:sz="4" w:space="0" w:color="auto"/>
              <w:bottom w:val="single" w:sz="4" w:space="0" w:color="auto"/>
              <w:right w:val="single" w:sz="4" w:space="0" w:color="auto"/>
            </w:tcBorders>
          </w:tcPr>
          <w:p w14:paraId="03ECFFB5"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В соответствии с частью 2.1 статьи 2 Федерального закона № 223-ФЗ в Новосибирской области утверждено типовое положение о закупке товаров, работ, услуг отдельными видами юридических лиц, устанавливающее общий порядок осуществления закупок, единые сроки, способы закупок и условия их применения для государственных бюджетных учреждений, государственных автономных учреждений, государственных унитарных предприятий Новосибирской области, являющихся заказчиками в соответствии с Федеральным законом № 223-ФЗ.</w:t>
            </w:r>
          </w:p>
          <w:p w14:paraId="361A7E53"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Приложением к Типовому положению о закупке являются типовые договоры на поставку товаров, выполнение работ, оказание услуг и методические рекомендации по их составлению.</w:t>
            </w:r>
          </w:p>
        </w:tc>
      </w:tr>
      <w:tr w:rsidR="003F4CFF" w:rsidRPr="00E3698F" w14:paraId="44ECF785" w14:textId="77777777" w:rsidTr="00961841">
        <w:tc>
          <w:tcPr>
            <w:tcW w:w="431" w:type="pct"/>
            <w:vMerge/>
            <w:tcBorders>
              <w:left w:val="single" w:sz="4" w:space="0" w:color="auto"/>
              <w:right w:val="single" w:sz="4" w:space="0" w:color="auto"/>
            </w:tcBorders>
          </w:tcPr>
          <w:p w14:paraId="3C9E9C64" w14:textId="77777777" w:rsidR="003F4CFF" w:rsidRPr="00E3698F" w:rsidRDefault="003F4CFF" w:rsidP="003F4CFF">
            <w:pPr>
              <w:rPr>
                <w:rFonts w:ascii="Times New Roman" w:hAnsi="Times New Roman" w:cs="Times New Roman"/>
                <w:sz w:val="24"/>
                <w:szCs w:val="24"/>
              </w:rPr>
            </w:pPr>
          </w:p>
        </w:tc>
        <w:tc>
          <w:tcPr>
            <w:tcW w:w="1185" w:type="pct"/>
            <w:tcBorders>
              <w:top w:val="single" w:sz="4" w:space="0" w:color="auto"/>
              <w:left w:val="single" w:sz="4" w:space="0" w:color="auto"/>
              <w:bottom w:val="single" w:sz="4" w:space="0" w:color="auto"/>
              <w:right w:val="single" w:sz="4" w:space="0" w:color="auto"/>
            </w:tcBorders>
          </w:tcPr>
          <w:p w14:paraId="2BE278A7" w14:textId="77777777" w:rsidR="003F4CFF" w:rsidRPr="00E3698F" w:rsidRDefault="003F4CFF" w:rsidP="003F4CFF">
            <w:pPr>
              <w:rPr>
                <w:rFonts w:ascii="Times New Roman" w:hAnsi="Times New Roman" w:cs="Times New Roman"/>
                <w:sz w:val="24"/>
                <w:szCs w:val="24"/>
              </w:rPr>
            </w:pPr>
            <w:r w:rsidRPr="00694711">
              <w:rPr>
                <w:rFonts w:ascii="Times New Roman" w:hAnsi="Times New Roman" w:cs="Times New Roman"/>
                <w:sz w:val="24"/>
                <w:szCs w:val="24"/>
              </w:rPr>
              <w:t>Ресурсы, привлеченные для ее реализации</w:t>
            </w:r>
          </w:p>
        </w:tc>
        <w:tc>
          <w:tcPr>
            <w:tcW w:w="3384" w:type="pct"/>
            <w:tcBorders>
              <w:top w:val="single" w:sz="4" w:space="0" w:color="auto"/>
              <w:left w:val="single" w:sz="4" w:space="0" w:color="auto"/>
              <w:bottom w:val="single" w:sz="4" w:space="0" w:color="auto"/>
              <w:right w:val="single" w:sz="4" w:space="0" w:color="auto"/>
            </w:tcBorders>
          </w:tcPr>
          <w:p w14:paraId="2A3B6DB8"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Практика реализована штатными кадровыми ресурсами контрольного управления Новосибирской области, которыми проведен анализ структуры закупок по Федеральному закону № 223-ФЗ и выявлены неурегулированные нормы законодательства, позволяющие заказчикам осуществлять «теневые» и не способствующие развитию добросовестной конкуренции закупки. Также штатными кадровыми ресурсами осуществлена разработка Типового положения о закупке, проведено сопровождение процедуры принятия НПА до его утверждения и донесена информация до подпадающих под его действие заказчиков. В настоящее время осуществляются консультации заказчиков по вопросам применения Типового положения о закупке.</w:t>
            </w:r>
          </w:p>
        </w:tc>
      </w:tr>
      <w:tr w:rsidR="003F4CFF" w:rsidRPr="00E3698F" w14:paraId="156956B4" w14:textId="77777777" w:rsidTr="00961841">
        <w:tc>
          <w:tcPr>
            <w:tcW w:w="431" w:type="pct"/>
            <w:vMerge/>
            <w:tcBorders>
              <w:left w:val="single" w:sz="4" w:space="0" w:color="auto"/>
              <w:right w:val="single" w:sz="4" w:space="0" w:color="auto"/>
            </w:tcBorders>
          </w:tcPr>
          <w:p w14:paraId="51E094B0" w14:textId="77777777" w:rsidR="003F4CFF" w:rsidRPr="00E3698F" w:rsidRDefault="003F4CFF" w:rsidP="003F4CFF">
            <w:pPr>
              <w:rPr>
                <w:rFonts w:ascii="Times New Roman" w:hAnsi="Times New Roman" w:cs="Times New Roman"/>
                <w:sz w:val="24"/>
                <w:szCs w:val="24"/>
              </w:rPr>
            </w:pPr>
          </w:p>
        </w:tc>
        <w:tc>
          <w:tcPr>
            <w:tcW w:w="1185" w:type="pct"/>
            <w:tcBorders>
              <w:top w:val="single" w:sz="4" w:space="0" w:color="auto"/>
              <w:left w:val="single" w:sz="4" w:space="0" w:color="auto"/>
              <w:bottom w:val="single" w:sz="4" w:space="0" w:color="auto"/>
              <w:right w:val="single" w:sz="4" w:space="0" w:color="auto"/>
            </w:tcBorders>
          </w:tcPr>
          <w:p w14:paraId="2FB508F1" w14:textId="77777777" w:rsidR="003F4CFF" w:rsidRPr="00E3698F" w:rsidRDefault="003F4CFF" w:rsidP="003F4CFF">
            <w:pPr>
              <w:rPr>
                <w:rFonts w:ascii="Times New Roman" w:hAnsi="Times New Roman" w:cs="Times New Roman"/>
                <w:sz w:val="24"/>
                <w:szCs w:val="24"/>
              </w:rPr>
            </w:pPr>
            <w:r w:rsidRPr="00694711">
              <w:rPr>
                <w:rFonts w:ascii="Times New Roman" w:hAnsi="Times New Roman" w:cs="Times New Roman"/>
                <w:sz w:val="24"/>
                <w:szCs w:val="24"/>
              </w:rPr>
              <w:t>Описание результата</w:t>
            </w:r>
          </w:p>
        </w:tc>
        <w:tc>
          <w:tcPr>
            <w:tcW w:w="3384" w:type="pct"/>
            <w:tcBorders>
              <w:top w:val="single" w:sz="4" w:space="0" w:color="auto"/>
              <w:left w:val="single" w:sz="4" w:space="0" w:color="auto"/>
              <w:bottom w:val="single" w:sz="4" w:space="0" w:color="auto"/>
              <w:right w:val="single" w:sz="4" w:space="0" w:color="auto"/>
            </w:tcBorders>
          </w:tcPr>
          <w:p w14:paraId="4F24D9B2"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Принятие типового положения о закупке товаров, работ, услуг отдельными видами юридических лиц позволило унифицировать закупочную деятельность заказчиков, осуществляющих закупки в соответствии с Федеральным законом № 223-ФЗ, в частности перевести конкурентные закупки в электронную форму, выработать единые подходы к рассмотрению и оценке заявок участников конкурентных процедур, ввести обязательную долю закупок у субъектов малого и среднего предпринимательства, ограничить случаи осуществления закупок у единственного поставщика (подрядчика, исполнителя) и обязать осуществлять закупки «малого» объема у единственного поставщика (подрядчика, исполнителя) посредством использования функционалов электронных магазинов на конкурентной основе.</w:t>
            </w:r>
          </w:p>
          <w:p w14:paraId="53C05AD4"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Закрепленные нормы и требования позволили расширить возможности участия юридических и физических лиц в закупке товаров, работ, услуг для нужд заказчиков, в том числе за счет вовлечения субъектов малого и среднего предпринимательства, повысить прозрачность закупок и минимизировать риски коррупционных и иных злоупотреблений при осуществлении закупок в рамках Федерального закона № 223-ФЗ.</w:t>
            </w:r>
          </w:p>
        </w:tc>
      </w:tr>
      <w:tr w:rsidR="003F4CFF" w:rsidRPr="00E3698F" w14:paraId="10B90D47" w14:textId="77777777" w:rsidTr="00961841">
        <w:tc>
          <w:tcPr>
            <w:tcW w:w="431" w:type="pct"/>
            <w:vMerge/>
            <w:tcBorders>
              <w:left w:val="single" w:sz="4" w:space="0" w:color="auto"/>
              <w:right w:val="single" w:sz="4" w:space="0" w:color="auto"/>
            </w:tcBorders>
          </w:tcPr>
          <w:p w14:paraId="052FE926" w14:textId="77777777" w:rsidR="003F4CFF" w:rsidRPr="00E3698F" w:rsidRDefault="003F4CFF" w:rsidP="003F4CFF">
            <w:pPr>
              <w:rPr>
                <w:rFonts w:ascii="Times New Roman" w:hAnsi="Times New Roman" w:cs="Times New Roman"/>
                <w:sz w:val="24"/>
                <w:szCs w:val="24"/>
              </w:rPr>
            </w:pPr>
          </w:p>
        </w:tc>
        <w:tc>
          <w:tcPr>
            <w:tcW w:w="1185" w:type="pct"/>
            <w:tcBorders>
              <w:left w:val="single" w:sz="4" w:space="0" w:color="auto"/>
            </w:tcBorders>
          </w:tcPr>
          <w:p w14:paraId="1A0FFB4C" w14:textId="77777777" w:rsidR="003F4CFF" w:rsidRPr="00E3698F" w:rsidRDefault="003F4CFF" w:rsidP="003F4CFF">
            <w:pPr>
              <w:rPr>
                <w:rFonts w:ascii="Times New Roman" w:hAnsi="Times New Roman" w:cs="Times New Roman"/>
                <w:sz w:val="24"/>
                <w:szCs w:val="24"/>
              </w:rPr>
            </w:pPr>
            <w:r w:rsidRPr="00694711">
              <w:rPr>
                <w:rFonts w:ascii="Times New Roman" w:hAnsi="Times New Roman" w:cs="Times New Roman"/>
                <w:sz w:val="24"/>
                <w:szCs w:val="24"/>
              </w:rPr>
              <w:t>Значение количественного (качественного) показателя результата</w:t>
            </w:r>
          </w:p>
        </w:tc>
        <w:tc>
          <w:tcPr>
            <w:tcW w:w="3384" w:type="pct"/>
          </w:tcPr>
          <w:p w14:paraId="722857B1"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 xml:space="preserve">Исключение для государственных заказчиков Новосибирской области возможности преобладания объемов закупок у единственного поставщика в соответствии с Федеральным законом № 223-ФЗ и необходимость использования конкурентных процедур закупок, содействие развитию конкуренции в том числе за счет вовлечения в закупки субъектов малого и среднего предпринимательства. </w:t>
            </w:r>
          </w:p>
        </w:tc>
      </w:tr>
      <w:tr w:rsidR="003F4CFF" w:rsidRPr="00E3698F" w14:paraId="523CBA96" w14:textId="77777777" w:rsidTr="00961841">
        <w:tc>
          <w:tcPr>
            <w:tcW w:w="431" w:type="pct"/>
            <w:vMerge w:val="restart"/>
          </w:tcPr>
          <w:p w14:paraId="263F0688" w14:textId="77777777" w:rsidR="003F4CFF" w:rsidRPr="00E3698F" w:rsidRDefault="00ED71B8" w:rsidP="003F4CFF">
            <w:pPr>
              <w:rPr>
                <w:rFonts w:ascii="Times New Roman" w:hAnsi="Times New Roman" w:cs="Times New Roman"/>
                <w:sz w:val="24"/>
                <w:szCs w:val="24"/>
              </w:rPr>
            </w:pPr>
            <w:r>
              <w:rPr>
                <w:rFonts w:ascii="Times New Roman" w:hAnsi="Times New Roman" w:cs="Times New Roman"/>
                <w:sz w:val="24"/>
                <w:szCs w:val="24"/>
              </w:rPr>
              <w:t>4</w:t>
            </w:r>
            <w:r w:rsidR="003F4CFF">
              <w:rPr>
                <w:rFonts w:ascii="Times New Roman" w:hAnsi="Times New Roman" w:cs="Times New Roman"/>
                <w:sz w:val="24"/>
                <w:szCs w:val="24"/>
              </w:rPr>
              <w:t>.</w:t>
            </w:r>
          </w:p>
        </w:tc>
        <w:tc>
          <w:tcPr>
            <w:tcW w:w="1185" w:type="pct"/>
            <w:shd w:val="clear" w:color="auto" w:fill="DEE6F6" w:themeFill="background2" w:themeFillTint="66"/>
          </w:tcPr>
          <w:p w14:paraId="5AEA498D" w14:textId="77777777" w:rsidR="003F4CFF" w:rsidRPr="00AB3DC7"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 xml:space="preserve">Наименование лучшей практики по содействию развитию конкуренции в </w:t>
            </w:r>
            <w:r w:rsidRPr="00AB3DC7">
              <w:rPr>
                <w:rFonts w:ascii="Times New Roman" w:hAnsi="Times New Roman" w:cs="Times New Roman"/>
                <w:sz w:val="24"/>
                <w:szCs w:val="24"/>
              </w:rPr>
              <w:lastRenderedPageBreak/>
              <w:t>субъектах Российской Федерации</w:t>
            </w:r>
          </w:p>
        </w:tc>
        <w:tc>
          <w:tcPr>
            <w:tcW w:w="3384" w:type="pct"/>
            <w:shd w:val="clear" w:color="auto" w:fill="DEE6F6" w:themeFill="background2" w:themeFillTint="66"/>
          </w:tcPr>
          <w:p w14:paraId="69147E43"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lastRenderedPageBreak/>
              <w:t>Развитие электронного магазина Новосибирской области для осуществления закупок отдельными видами юридических лиц.</w:t>
            </w:r>
          </w:p>
        </w:tc>
      </w:tr>
      <w:tr w:rsidR="003F4CFF" w:rsidRPr="00E3698F" w14:paraId="7CD74356" w14:textId="77777777" w:rsidTr="00961841">
        <w:tc>
          <w:tcPr>
            <w:tcW w:w="431" w:type="pct"/>
            <w:vMerge/>
          </w:tcPr>
          <w:p w14:paraId="7ECEFC0F" w14:textId="77777777" w:rsidR="003F4CFF" w:rsidRPr="00E3698F" w:rsidRDefault="003F4CFF" w:rsidP="003F4CFF">
            <w:pPr>
              <w:rPr>
                <w:rFonts w:ascii="Times New Roman" w:hAnsi="Times New Roman" w:cs="Times New Roman"/>
                <w:sz w:val="24"/>
                <w:szCs w:val="24"/>
              </w:rPr>
            </w:pPr>
          </w:p>
        </w:tc>
        <w:tc>
          <w:tcPr>
            <w:tcW w:w="1185" w:type="pct"/>
          </w:tcPr>
          <w:p w14:paraId="65A8B70B" w14:textId="77777777" w:rsidR="003F4CFF" w:rsidRPr="00AB3DC7"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Краткое описание успешной практики</w:t>
            </w:r>
          </w:p>
        </w:tc>
        <w:tc>
          <w:tcPr>
            <w:tcW w:w="3384" w:type="pct"/>
          </w:tcPr>
          <w:p w14:paraId="14831AE8"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 xml:space="preserve">Электронный магазин Новосибирской области – механизм публичной «витрины» предложений для заказчиков и поставщиков (подрядчиков, исполнителей), реализованный в форме площадки для поиска и заключения наиболее выгодных контрактов (договоров) по «малым» закупкам у единственного поставщика (подрядчика, исполнителя), сервис, обеспечивающий осуществление указанных закупок на конкурентной основе. </w:t>
            </w:r>
          </w:p>
          <w:p w14:paraId="04ABFE11"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 xml:space="preserve">До 2019 года электронный магазин использовался заказчиками только для осуществления «малых» закупок в соответствии с Федеральным законом № 44-ФЗ. </w:t>
            </w:r>
          </w:p>
          <w:p w14:paraId="553E861A"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 xml:space="preserve">Типовым положением о закупке товаров, работ, услуг отдельными видами юридических лиц, утвержденным приказом контрольного управления Новосибирской области от 29.11.2018 № 374, для государственных бюджетных учреждений, государственных автономных учреждений, государственных унитарных предприятий Новосибирской области, являющихся заказчиками в соответствии с Федеральным законом № 223-ФЗ, нормативно закреплена обязанность использовать электронный магазин при осуществлении «малых» закупок у единственного поставщика (подрядчика, исполнителя). </w:t>
            </w:r>
          </w:p>
          <w:p w14:paraId="5AAB6890"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Кроме того, региональным планом мероприятий («дорожной картой») по содействию развитию конкуренции в Новосибирской области закреплен целевой показатель доли «малых» закупок в электронной форме для заказчиков государственного и муниципального уровня, осуществляющих закупки в соответствии с Федеральным законом № 223-ФЗ.</w:t>
            </w:r>
          </w:p>
        </w:tc>
      </w:tr>
      <w:tr w:rsidR="003F4CFF" w:rsidRPr="00E3698F" w14:paraId="0E521A44" w14:textId="77777777" w:rsidTr="00961841">
        <w:tc>
          <w:tcPr>
            <w:tcW w:w="431" w:type="pct"/>
            <w:vMerge/>
          </w:tcPr>
          <w:p w14:paraId="693F3114" w14:textId="77777777" w:rsidR="003F4CFF" w:rsidRPr="00E3698F" w:rsidRDefault="003F4CFF" w:rsidP="003F4CFF">
            <w:pPr>
              <w:rPr>
                <w:rFonts w:ascii="Times New Roman" w:hAnsi="Times New Roman" w:cs="Times New Roman"/>
                <w:sz w:val="24"/>
                <w:szCs w:val="24"/>
              </w:rPr>
            </w:pPr>
          </w:p>
        </w:tc>
        <w:tc>
          <w:tcPr>
            <w:tcW w:w="1185" w:type="pct"/>
          </w:tcPr>
          <w:p w14:paraId="384AA967" w14:textId="77777777" w:rsidR="003F4CFF" w:rsidRPr="00AB3DC7"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Ресурсы, привлеченные для ее реализации</w:t>
            </w:r>
          </w:p>
        </w:tc>
        <w:tc>
          <w:tcPr>
            <w:tcW w:w="3384" w:type="pct"/>
          </w:tcPr>
          <w:p w14:paraId="2351A5CB"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Разработка сервиса электронного магазина осуществлялась на безвозмездной основе за счет владельца электронной торговой площадки на платформе которой реализован сервис. Инструкции по работе с сервисом также подготовлены представителями электронной площадки. Потребовалось привлечение разработчика региональной информационной системы в сфере закупок для интеграции с сервисом электронного магазина. Указанная интеграция производилась в рамках контракта по ежегодному техническому сопровождению региональной информационной системы в сфере закупок и дополнительных расходов бюджета на ее реализацию не привлекалось.</w:t>
            </w:r>
          </w:p>
        </w:tc>
      </w:tr>
      <w:tr w:rsidR="003F4CFF" w:rsidRPr="00E3698F" w14:paraId="49AE178C" w14:textId="77777777" w:rsidTr="00961841">
        <w:tc>
          <w:tcPr>
            <w:tcW w:w="431" w:type="pct"/>
            <w:vMerge/>
          </w:tcPr>
          <w:p w14:paraId="7EC65B0C" w14:textId="77777777" w:rsidR="003F4CFF" w:rsidRPr="00E3698F" w:rsidRDefault="003F4CFF" w:rsidP="003F4CFF">
            <w:pPr>
              <w:rPr>
                <w:rFonts w:ascii="Times New Roman" w:hAnsi="Times New Roman" w:cs="Times New Roman"/>
                <w:sz w:val="24"/>
                <w:szCs w:val="24"/>
              </w:rPr>
            </w:pPr>
          </w:p>
        </w:tc>
        <w:tc>
          <w:tcPr>
            <w:tcW w:w="1185" w:type="pct"/>
          </w:tcPr>
          <w:p w14:paraId="1A9FCBFB" w14:textId="77777777" w:rsidR="003F4CFF" w:rsidRPr="00AB3DC7"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Описание результата</w:t>
            </w:r>
          </w:p>
        </w:tc>
        <w:tc>
          <w:tcPr>
            <w:tcW w:w="3384" w:type="pct"/>
          </w:tcPr>
          <w:p w14:paraId="7F610FF5"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 xml:space="preserve">Развитие электронного магазина Новосибирской области в части насыщения базы спроса за счет «малых» закупок заказчиков, осуществляющих свою закупочную деятельность в соответствии с Федеральным законом № 223-ФЗ, привело к повышению прозрачности и открытости закупок, развитию конкуренции при осуществлении закупок у единственного поставщика (подрядчика, исполнителя), в том числе за счет стимулирования к участию в </w:t>
            </w:r>
            <w:r w:rsidRPr="00AB3DC7">
              <w:rPr>
                <w:rFonts w:ascii="Times New Roman" w:hAnsi="Times New Roman" w:cs="Times New Roman"/>
                <w:sz w:val="24"/>
                <w:szCs w:val="24"/>
              </w:rPr>
              <w:lastRenderedPageBreak/>
              <w:t>закупках субъектов малого и среднего предпринимательства, появлению возможностей своевременного пресечения ограничений конкуренции, в том числе за счет анализа и выявления искусственного дробления закупок.</w:t>
            </w:r>
          </w:p>
        </w:tc>
      </w:tr>
      <w:tr w:rsidR="003F4CFF" w:rsidRPr="00E3698F" w14:paraId="47C73C7E" w14:textId="77777777" w:rsidTr="00961841">
        <w:tc>
          <w:tcPr>
            <w:tcW w:w="431" w:type="pct"/>
            <w:vMerge/>
          </w:tcPr>
          <w:p w14:paraId="36CA4547" w14:textId="77777777" w:rsidR="003F4CFF" w:rsidRPr="00E3698F" w:rsidRDefault="003F4CFF" w:rsidP="003F4CFF">
            <w:pPr>
              <w:rPr>
                <w:rFonts w:ascii="Times New Roman" w:hAnsi="Times New Roman" w:cs="Times New Roman"/>
                <w:sz w:val="24"/>
                <w:szCs w:val="24"/>
              </w:rPr>
            </w:pPr>
          </w:p>
        </w:tc>
        <w:tc>
          <w:tcPr>
            <w:tcW w:w="1185" w:type="pct"/>
          </w:tcPr>
          <w:p w14:paraId="08D09275" w14:textId="77777777" w:rsidR="003F4CFF" w:rsidRPr="00AB3DC7"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Значение количественного (качественного) показателя результата</w:t>
            </w:r>
          </w:p>
        </w:tc>
        <w:tc>
          <w:tcPr>
            <w:tcW w:w="3384" w:type="pct"/>
          </w:tcPr>
          <w:p w14:paraId="448F47EE" w14:textId="77777777" w:rsidR="003F4CFF" w:rsidRPr="00AB3DC7" w:rsidRDefault="003F4CFF" w:rsidP="003F4CFF">
            <w:pPr>
              <w:jc w:val="both"/>
              <w:rPr>
                <w:rFonts w:ascii="Times New Roman" w:hAnsi="Times New Roman" w:cs="Times New Roman"/>
                <w:sz w:val="24"/>
                <w:szCs w:val="24"/>
              </w:rPr>
            </w:pPr>
            <w:r w:rsidRPr="00AB3DC7">
              <w:rPr>
                <w:rFonts w:ascii="Times New Roman" w:hAnsi="Times New Roman" w:cs="Times New Roman"/>
                <w:sz w:val="24"/>
                <w:szCs w:val="24"/>
              </w:rPr>
              <w:t xml:space="preserve">В 2018 году все закупки малого объема, осуществляемые у единственного поставщика (подрядчика, исполнителя) по Федеральному закону № 223-ФЗ, производились в закрытой от общественности среде прямого взаимодействия заказчика и поставщика. По результатам 2019 года 41,6% закупок малого объема, осуществленных государственными заказчиками Новосибирской области в соответствии с Федеральным законом № 223-ФЗ, размещались в электронном магазине, тем самым давая возможность потенциальным поставщикам принять участие в открытой закупке и направить свои предложения для заключения контракта. </w:t>
            </w:r>
          </w:p>
        </w:tc>
      </w:tr>
      <w:tr w:rsidR="003F4CFF" w:rsidRPr="00E3698F" w14:paraId="3360DDF2" w14:textId="77777777" w:rsidTr="00961841">
        <w:tc>
          <w:tcPr>
            <w:tcW w:w="431" w:type="pct"/>
            <w:vMerge w:val="restart"/>
          </w:tcPr>
          <w:p w14:paraId="41688F1B" w14:textId="77777777" w:rsidR="003F4CFF" w:rsidRPr="00E3698F" w:rsidRDefault="00ED71B8" w:rsidP="003F4CFF">
            <w:pPr>
              <w:rPr>
                <w:rFonts w:ascii="Times New Roman" w:hAnsi="Times New Roman" w:cs="Times New Roman"/>
                <w:sz w:val="24"/>
                <w:szCs w:val="24"/>
              </w:rPr>
            </w:pPr>
            <w:r>
              <w:rPr>
                <w:rFonts w:ascii="Times New Roman" w:hAnsi="Times New Roman" w:cs="Times New Roman"/>
                <w:sz w:val="24"/>
                <w:szCs w:val="24"/>
              </w:rPr>
              <w:t>5.</w:t>
            </w:r>
          </w:p>
        </w:tc>
        <w:tc>
          <w:tcPr>
            <w:tcW w:w="1185" w:type="pct"/>
            <w:shd w:val="clear" w:color="auto" w:fill="DEE6F6" w:themeFill="background2" w:themeFillTint="66"/>
          </w:tcPr>
          <w:p w14:paraId="6346D6C6" w14:textId="77777777" w:rsidR="003F4CFF" w:rsidRPr="00E3698F"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3384" w:type="pct"/>
            <w:shd w:val="clear" w:color="auto" w:fill="DEE6F6" w:themeFill="background2" w:themeFillTint="66"/>
          </w:tcPr>
          <w:p w14:paraId="2FAA4D36" w14:textId="77777777" w:rsidR="003F4CFF" w:rsidRPr="00D328E0" w:rsidRDefault="003F4CFF" w:rsidP="003F4CFF">
            <w:pPr>
              <w:jc w:val="both"/>
              <w:rPr>
                <w:rFonts w:ascii="Times New Roman" w:hAnsi="Times New Roman" w:cs="Times New Roman"/>
                <w:sz w:val="24"/>
                <w:szCs w:val="24"/>
              </w:rPr>
            </w:pPr>
            <w:r w:rsidRPr="00D328E0">
              <w:rPr>
                <w:rFonts w:ascii="Times New Roman" w:hAnsi="Times New Roman" w:cs="Times New Roman"/>
                <w:sz w:val="24"/>
                <w:szCs w:val="24"/>
              </w:rPr>
              <w:t>Формирование заказа на предоставление социальных услуг, востребованных у семей с детьми (через предоставление негосударственным (немуниципальным) организациям на условиях конкурсного отбора субсидий из средств областного бюджета)</w:t>
            </w:r>
          </w:p>
        </w:tc>
      </w:tr>
      <w:tr w:rsidR="003F4CFF" w:rsidRPr="00E3698F" w14:paraId="311799AD" w14:textId="77777777" w:rsidTr="00961841">
        <w:tc>
          <w:tcPr>
            <w:tcW w:w="431" w:type="pct"/>
            <w:vMerge/>
          </w:tcPr>
          <w:p w14:paraId="262F51C6" w14:textId="77777777" w:rsidR="003F4CFF" w:rsidRPr="00E3698F" w:rsidRDefault="003F4CFF" w:rsidP="003F4CFF">
            <w:pPr>
              <w:rPr>
                <w:rFonts w:ascii="Times New Roman" w:hAnsi="Times New Roman" w:cs="Times New Roman"/>
                <w:sz w:val="24"/>
                <w:szCs w:val="24"/>
              </w:rPr>
            </w:pPr>
          </w:p>
        </w:tc>
        <w:tc>
          <w:tcPr>
            <w:tcW w:w="1185" w:type="pct"/>
          </w:tcPr>
          <w:p w14:paraId="0060F000" w14:textId="77777777" w:rsidR="003F4CFF" w:rsidRPr="00E3698F"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Краткое описание успешной практики</w:t>
            </w:r>
          </w:p>
        </w:tc>
        <w:tc>
          <w:tcPr>
            <w:tcW w:w="3384" w:type="pct"/>
          </w:tcPr>
          <w:p w14:paraId="21E3E607" w14:textId="77777777" w:rsidR="003F4CFF" w:rsidRPr="00D328E0" w:rsidRDefault="003F4CFF" w:rsidP="003F4CFF">
            <w:pPr>
              <w:pStyle w:val="afe"/>
              <w:jc w:val="both"/>
              <w:rPr>
                <w:rFonts w:ascii="Times New Roman" w:hAnsi="Times New Roman" w:cs="Times New Roman"/>
                <w:sz w:val="24"/>
                <w:szCs w:val="24"/>
              </w:rPr>
            </w:pPr>
            <w:r w:rsidRPr="00D328E0">
              <w:rPr>
                <w:rFonts w:ascii="Times New Roman" w:hAnsi="Times New Roman" w:cs="Times New Roman"/>
                <w:sz w:val="24"/>
                <w:szCs w:val="24"/>
              </w:rPr>
              <w:t>Привлечение некоммерческих и общественных организаций к оказанию услуг в социальной сфере осуществляется на условиях конкурсного отбора и государственного заказа в рамках реализации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(постановление Правительства Новосибирской области от 31.07.2013 № 322-п) (далее – государственная программа).</w:t>
            </w:r>
          </w:p>
          <w:p w14:paraId="3EFC4C99" w14:textId="77777777" w:rsidR="003F4CFF" w:rsidRPr="00D328E0" w:rsidRDefault="003F4CFF" w:rsidP="003F4CFF">
            <w:pPr>
              <w:pStyle w:val="afe"/>
              <w:jc w:val="both"/>
              <w:rPr>
                <w:rFonts w:ascii="Times New Roman" w:hAnsi="Times New Roman" w:cs="Times New Roman"/>
                <w:sz w:val="24"/>
                <w:szCs w:val="24"/>
              </w:rPr>
            </w:pPr>
            <w:r w:rsidRPr="00D328E0">
              <w:rPr>
                <w:rFonts w:ascii="Times New Roman" w:hAnsi="Times New Roman" w:cs="Times New Roman"/>
                <w:sz w:val="24"/>
                <w:szCs w:val="24"/>
              </w:rPr>
              <w:t xml:space="preserve">Вышеуказанным постановлением установлен Порядок предоставления и определения объема субсидий некоммерческим организациям, не являющимся государственными (муниципальными) учреждениями, в рамках реализации государственной программы (далее – Порядок предоставления субсидий). </w:t>
            </w:r>
          </w:p>
          <w:p w14:paraId="70135854" w14:textId="77777777" w:rsidR="003F4CFF" w:rsidRPr="00D328E0" w:rsidRDefault="003F4CFF" w:rsidP="003F4CFF">
            <w:pPr>
              <w:pStyle w:val="afe"/>
              <w:jc w:val="both"/>
              <w:rPr>
                <w:rFonts w:ascii="Times New Roman" w:hAnsi="Times New Roman" w:cs="Times New Roman"/>
                <w:sz w:val="24"/>
                <w:szCs w:val="24"/>
              </w:rPr>
            </w:pPr>
            <w:r w:rsidRPr="00D328E0">
              <w:rPr>
                <w:rFonts w:ascii="Times New Roman" w:hAnsi="Times New Roman" w:cs="Times New Roman"/>
                <w:sz w:val="24"/>
                <w:szCs w:val="24"/>
              </w:rPr>
              <w:t>Приказом министерства труда и социального развития Новосибирской области (далее – министерство) 26.12.2018 № 1449 утвержден Порядок проведения конкурсного отбора некоммерческих организаций, не являющихся государственными (муниципальными) учреждениями, на предоставление им субсидий в рамках реализации государственной программы (далее – Порядок).</w:t>
            </w:r>
          </w:p>
          <w:p w14:paraId="31308B0C" w14:textId="77777777" w:rsidR="003F4CFF" w:rsidRPr="00D328E0" w:rsidRDefault="003F4CFF" w:rsidP="003F4CFF">
            <w:pPr>
              <w:pStyle w:val="afe"/>
              <w:jc w:val="both"/>
              <w:rPr>
                <w:rFonts w:ascii="Times New Roman" w:hAnsi="Times New Roman" w:cs="Times New Roman"/>
                <w:sz w:val="24"/>
                <w:szCs w:val="24"/>
              </w:rPr>
            </w:pPr>
            <w:r w:rsidRPr="00D328E0">
              <w:rPr>
                <w:rFonts w:ascii="Times New Roman" w:hAnsi="Times New Roman" w:cs="Times New Roman"/>
                <w:sz w:val="24"/>
                <w:szCs w:val="24"/>
              </w:rPr>
              <w:t>Решение о проведении конкурсного отбора оформляется приказом министерства и содержит следующую информацию:</w:t>
            </w:r>
          </w:p>
          <w:p w14:paraId="2E532101" w14:textId="77777777" w:rsidR="003F4CFF" w:rsidRPr="00D328E0" w:rsidRDefault="003F4CFF" w:rsidP="003F4CFF">
            <w:pPr>
              <w:pStyle w:val="afe"/>
              <w:jc w:val="both"/>
              <w:rPr>
                <w:rFonts w:ascii="Times New Roman" w:hAnsi="Times New Roman" w:cs="Times New Roman"/>
                <w:sz w:val="24"/>
                <w:szCs w:val="24"/>
              </w:rPr>
            </w:pPr>
            <w:r w:rsidRPr="00D328E0">
              <w:rPr>
                <w:rFonts w:ascii="Times New Roman" w:hAnsi="Times New Roman" w:cs="Times New Roman"/>
                <w:sz w:val="24"/>
                <w:szCs w:val="24"/>
              </w:rPr>
              <w:t>- наименование общественно полезной услуги (мероприятия);</w:t>
            </w:r>
          </w:p>
          <w:p w14:paraId="4625EE71" w14:textId="77777777" w:rsidR="003F4CFF" w:rsidRPr="00D328E0" w:rsidRDefault="003F4CFF" w:rsidP="003F4CFF">
            <w:pPr>
              <w:pStyle w:val="afe"/>
              <w:jc w:val="both"/>
              <w:rPr>
                <w:rFonts w:ascii="Times New Roman" w:hAnsi="Times New Roman" w:cs="Times New Roman"/>
                <w:sz w:val="24"/>
                <w:szCs w:val="24"/>
              </w:rPr>
            </w:pPr>
            <w:r w:rsidRPr="00D328E0">
              <w:rPr>
                <w:rFonts w:ascii="Times New Roman" w:hAnsi="Times New Roman" w:cs="Times New Roman"/>
                <w:sz w:val="24"/>
                <w:szCs w:val="24"/>
              </w:rPr>
              <w:lastRenderedPageBreak/>
              <w:t>- размер стоимости единицы общественно полезной услуги, максимальный размер субсидии, определенный в соответствии с Порядком предоставления субсидий;</w:t>
            </w:r>
          </w:p>
          <w:p w14:paraId="38393F0A" w14:textId="77777777" w:rsidR="003F4CFF" w:rsidRPr="00D328E0" w:rsidRDefault="003F4CFF" w:rsidP="003F4CFF">
            <w:pPr>
              <w:pStyle w:val="afe"/>
              <w:jc w:val="both"/>
              <w:rPr>
                <w:rFonts w:ascii="Times New Roman" w:hAnsi="Times New Roman" w:cs="Times New Roman"/>
                <w:sz w:val="24"/>
                <w:szCs w:val="24"/>
              </w:rPr>
            </w:pPr>
            <w:r w:rsidRPr="00D328E0">
              <w:rPr>
                <w:rFonts w:ascii="Times New Roman" w:hAnsi="Times New Roman" w:cs="Times New Roman"/>
                <w:sz w:val="24"/>
                <w:szCs w:val="24"/>
              </w:rPr>
              <w:t>- форма предоставления субсидии (финансовое обеспечение затрат);</w:t>
            </w:r>
          </w:p>
          <w:p w14:paraId="0734423F" w14:textId="77777777" w:rsidR="003F4CFF" w:rsidRPr="00D328E0" w:rsidRDefault="003F4CFF" w:rsidP="003F4CFF">
            <w:pPr>
              <w:pStyle w:val="afe"/>
              <w:jc w:val="both"/>
              <w:rPr>
                <w:rFonts w:ascii="Times New Roman" w:hAnsi="Times New Roman" w:cs="Times New Roman"/>
                <w:sz w:val="24"/>
                <w:szCs w:val="24"/>
              </w:rPr>
            </w:pPr>
            <w:r w:rsidRPr="00D328E0">
              <w:rPr>
                <w:rFonts w:ascii="Times New Roman" w:hAnsi="Times New Roman" w:cs="Times New Roman"/>
                <w:sz w:val="24"/>
                <w:szCs w:val="24"/>
              </w:rPr>
              <w:t>- даты начала и окончания приема документов, дата подведения итогов конкурсного отбора;</w:t>
            </w:r>
          </w:p>
          <w:p w14:paraId="7ADE15AB" w14:textId="77777777" w:rsidR="003F4CFF" w:rsidRPr="00D328E0" w:rsidRDefault="003F4CFF" w:rsidP="003F4CFF">
            <w:pPr>
              <w:pStyle w:val="afe"/>
              <w:jc w:val="both"/>
              <w:rPr>
                <w:rFonts w:ascii="Times New Roman" w:hAnsi="Times New Roman" w:cs="Times New Roman"/>
                <w:sz w:val="24"/>
                <w:szCs w:val="24"/>
              </w:rPr>
            </w:pPr>
            <w:r w:rsidRPr="00D328E0">
              <w:rPr>
                <w:rFonts w:ascii="Times New Roman" w:hAnsi="Times New Roman" w:cs="Times New Roman"/>
                <w:sz w:val="24"/>
                <w:szCs w:val="24"/>
              </w:rPr>
              <w:t>- минимальные требования к оказанию общественно полезной услуги (выполнению мероприятия), содержащие информацию о категориях потребителей общественно полезных услуг (мероприятия), объеме общественно полезных услуг (мероприятия), в отношении которых проводится отбор показателей качества.</w:t>
            </w:r>
          </w:p>
          <w:p w14:paraId="34F23676" w14:textId="77777777" w:rsidR="003F4CFF" w:rsidRPr="00D328E0" w:rsidRDefault="003F4CFF" w:rsidP="003F4CFF">
            <w:pPr>
              <w:pStyle w:val="afe"/>
              <w:jc w:val="both"/>
              <w:rPr>
                <w:rFonts w:ascii="Times New Roman" w:hAnsi="Times New Roman" w:cs="Times New Roman"/>
                <w:sz w:val="24"/>
                <w:szCs w:val="24"/>
              </w:rPr>
            </w:pPr>
            <w:r w:rsidRPr="00D328E0">
              <w:rPr>
                <w:rFonts w:ascii="Times New Roman" w:hAnsi="Times New Roman" w:cs="Times New Roman"/>
                <w:sz w:val="24"/>
                <w:szCs w:val="24"/>
              </w:rPr>
              <w:t>Для определения победителя конкурсного отбора заявки на участие в конкурсе оцениваются конкурсной комиссией по определенным в Порядке критериям.</w:t>
            </w:r>
          </w:p>
          <w:p w14:paraId="4B2011BA" w14:textId="77777777" w:rsidR="003F4CFF" w:rsidRPr="00D328E0" w:rsidRDefault="003F4CFF" w:rsidP="003F4CFF">
            <w:pPr>
              <w:pStyle w:val="afe"/>
              <w:jc w:val="both"/>
              <w:rPr>
                <w:rFonts w:ascii="Times New Roman" w:hAnsi="Times New Roman" w:cs="Times New Roman"/>
                <w:sz w:val="24"/>
                <w:szCs w:val="24"/>
              </w:rPr>
            </w:pPr>
            <w:r w:rsidRPr="00D328E0">
              <w:rPr>
                <w:rFonts w:ascii="Times New Roman" w:hAnsi="Times New Roman" w:cs="Times New Roman"/>
                <w:sz w:val="24"/>
                <w:szCs w:val="24"/>
              </w:rPr>
              <w:t>В 2019 году проведены конкурсные отборы на оказание некоммерческими организациями следующих общественно полезных услуг:</w:t>
            </w:r>
          </w:p>
          <w:p w14:paraId="2854E3A4" w14:textId="77777777" w:rsidR="003F4CFF" w:rsidRPr="00D328E0" w:rsidRDefault="003F4CFF" w:rsidP="003F4CFF">
            <w:pPr>
              <w:pStyle w:val="afe"/>
              <w:ind w:left="23"/>
              <w:jc w:val="both"/>
              <w:rPr>
                <w:rFonts w:ascii="Times New Roman" w:hAnsi="Times New Roman" w:cs="Times New Roman"/>
                <w:sz w:val="24"/>
                <w:szCs w:val="24"/>
              </w:rPr>
            </w:pPr>
            <w:r w:rsidRPr="00D328E0">
              <w:rPr>
                <w:rFonts w:ascii="Times New Roman" w:hAnsi="Times New Roman" w:cs="Times New Roman"/>
                <w:sz w:val="24"/>
                <w:szCs w:val="24"/>
              </w:rPr>
              <w:t>1) услуги, предусматривающие реабилитацию и социальную адаптацию инвалидов, социальное сопровождение семей, воспитывающих детей с ограниченными возможностями здоровья (далее – ОВЗ);</w:t>
            </w:r>
          </w:p>
          <w:p w14:paraId="5BADC09A" w14:textId="77777777" w:rsidR="003F4CFF" w:rsidRPr="00D328E0" w:rsidRDefault="003F4CFF" w:rsidP="003F4CFF">
            <w:pPr>
              <w:pStyle w:val="afe"/>
              <w:ind w:left="23"/>
              <w:jc w:val="both"/>
              <w:rPr>
                <w:rFonts w:ascii="Times New Roman" w:hAnsi="Times New Roman" w:cs="Times New Roman"/>
                <w:sz w:val="24"/>
                <w:szCs w:val="24"/>
              </w:rPr>
            </w:pPr>
            <w:r w:rsidRPr="00D328E0">
              <w:rPr>
                <w:rFonts w:ascii="Times New Roman" w:hAnsi="Times New Roman" w:cs="Times New Roman"/>
                <w:sz w:val="24"/>
                <w:szCs w:val="24"/>
              </w:rPr>
              <w:t>2) услуги по оказанию социальной помощи детям, инвалидам, гражданам пожилого возраста, лицам, находящимся в трудной жизненной ситуации, в том числе пострадавшим в результате стихийных бедствий, экологических, техногенных или иных катастроф, беженцам и вынужденным переселенцам, а также по их социальному сопровождению;</w:t>
            </w:r>
          </w:p>
          <w:p w14:paraId="33C2AC5D" w14:textId="77777777" w:rsidR="003F4CFF" w:rsidRPr="00D328E0" w:rsidRDefault="003F4CFF" w:rsidP="003F4CFF">
            <w:pPr>
              <w:pStyle w:val="afe"/>
              <w:ind w:left="23"/>
              <w:jc w:val="both"/>
              <w:rPr>
                <w:rFonts w:ascii="Times New Roman" w:hAnsi="Times New Roman" w:cs="Times New Roman"/>
                <w:sz w:val="24"/>
                <w:szCs w:val="24"/>
              </w:rPr>
            </w:pPr>
            <w:r w:rsidRPr="00D328E0">
              <w:rPr>
                <w:rFonts w:ascii="Times New Roman" w:hAnsi="Times New Roman" w:cs="Times New Roman"/>
                <w:sz w:val="24"/>
                <w:szCs w:val="24"/>
              </w:rPr>
              <w:t>3) участие в деятельности по профилактике безнадзорности и правонарушений несовершеннолетних;</w:t>
            </w:r>
          </w:p>
          <w:p w14:paraId="4E5B2C26" w14:textId="77777777" w:rsidR="003F4CFF" w:rsidRPr="00D328E0" w:rsidRDefault="003F4CFF" w:rsidP="003F4CFF">
            <w:pPr>
              <w:pStyle w:val="afe"/>
              <w:ind w:left="23"/>
              <w:jc w:val="both"/>
              <w:rPr>
                <w:rFonts w:ascii="Times New Roman" w:hAnsi="Times New Roman" w:cs="Times New Roman"/>
                <w:sz w:val="24"/>
                <w:szCs w:val="24"/>
              </w:rPr>
            </w:pPr>
            <w:r w:rsidRPr="00D328E0">
              <w:rPr>
                <w:rFonts w:ascii="Times New Roman" w:hAnsi="Times New Roman" w:cs="Times New Roman"/>
                <w:sz w:val="24"/>
                <w:szCs w:val="24"/>
              </w:rPr>
              <w:t>4) услуги по профилактике социального сиротства, включая психолого-педагогическое и социальное сопровождение семей для предотвращения отказа от новорожденного ребенка, сокращения случаев лишения родительских прав в части консультативной, психологической, педагогической, юридической, социальной и иной помощи родителям детей и профилактики отказа родителей от воспитания своих детей, ограничения их в родительских правах, лишения их родительских прав, а также в целях обеспечения возможности восстановления родителей в родительских правах или отмены ограничения родительских прав;</w:t>
            </w:r>
          </w:p>
          <w:p w14:paraId="1AB988C5" w14:textId="77777777" w:rsidR="003F4CFF" w:rsidRPr="00D328E0" w:rsidRDefault="003F4CFF" w:rsidP="003F4CFF">
            <w:pPr>
              <w:pStyle w:val="afe"/>
              <w:ind w:left="23"/>
              <w:jc w:val="both"/>
              <w:rPr>
                <w:rFonts w:ascii="Times New Roman" w:hAnsi="Times New Roman" w:cs="Times New Roman"/>
                <w:sz w:val="24"/>
                <w:szCs w:val="24"/>
              </w:rPr>
            </w:pPr>
            <w:r w:rsidRPr="00D328E0">
              <w:rPr>
                <w:rFonts w:ascii="Times New Roman" w:hAnsi="Times New Roman" w:cs="Times New Roman"/>
                <w:sz w:val="24"/>
                <w:szCs w:val="24"/>
              </w:rPr>
              <w:t>5) услуги, направленные на социальную адаптацию и семейное устройство детей, оставшихся без попечения родителей;</w:t>
            </w:r>
          </w:p>
          <w:p w14:paraId="5AC0B4AC" w14:textId="77777777" w:rsidR="003F4CFF" w:rsidRPr="00D328E0" w:rsidRDefault="003F4CFF" w:rsidP="003F4CFF">
            <w:pPr>
              <w:pStyle w:val="afe"/>
              <w:ind w:left="23"/>
              <w:jc w:val="both"/>
              <w:rPr>
                <w:rFonts w:ascii="Times New Roman" w:hAnsi="Times New Roman" w:cs="Times New Roman"/>
                <w:sz w:val="24"/>
                <w:szCs w:val="24"/>
              </w:rPr>
            </w:pPr>
            <w:r w:rsidRPr="00D328E0">
              <w:rPr>
                <w:rFonts w:ascii="Times New Roman" w:hAnsi="Times New Roman" w:cs="Times New Roman"/>
                <w:sz w:val="24"/>
                <w:szCs w:val="24"/>
              </w:rPr>
              <w:t>6) оказание помощи семьям в воспитании детей;</w:t>
            </w:r>
          </w:p>
          <w:p w14:paraId="2DE012C9" w14:textId="77777777" w:rsidR="003F4CFF" w:rsidRPr="00D328E0" w:rsidRDefault="003F4CFF" w:rsidP="003F4CFF">
            <w:pPr>
              <w:pStyle w:val="afe"/>
              <w:ind w:left="23"/>
              <w:jc w:val="both"/>
              <w:rPr>
                <w:rFonts w:ascii="Times New Roman" w:hAnsi="Times New Roman" w:cs="Times New Roman"/>
                <w:sz w:val="24"/>
                <w:szCs w:val="24"/>
              </w:rPr>
            </w:pPr>
            <w:r w:rsidRPr="00D328E0">
              <w:rPr>
                <w:rFonts w:ascii="Times New Roman" w:hAnsi="Times New Roman" w:cs="Times New Roman"/>
                <w:sz w:val="24"/>
                <w:szCs w:val="24"/>
              </w:rPr>
              <w:lastRenderedPageBreak/>
              <w:t>7) услуги по организации отдыха и оздоровления детей, в том числе детей с ОВЗ и детей, находящихся в трудной жизненной ситуации, в том числе организация деятельности специализированных (профильных) лагерей;</w:t>
            </w:r>
          </w:p>
          <w:p w14:paraId="083D7CDE" w14:textId="77777777" w:rsidR="003F4CFF" w:rsidRPr="00D328E0" w:rsidRDefault="003F4CFF" w:rsidP="003F4CFF">
            <w:pPr>
              <w:pStyle w:val="afe"/>
              <w:ind w:left="23"/>
              <w:jc w:val="both"/>
              <w:rPr>
                <w:rFonts w:ascii="Times New Roman" w:hAnsi="Times New Roman" w:cs="Times New Roman"/>
                <w:sz w:val="24"/>
                <w:szCs w:val="24"/>
              </w:rPr>
            </w:pPr>
            <w:r w:rsidRPr="00D328E0">
              <w:rPr>
                <w:rFonts w:ascii="Times New Roman" w:hAnsi="Times New Roman" w:cs="Times New Roman"/>
                <w:sz w:val="24"/>
                <w:szCs w:val="24"/>
              </w:rPr>
              <w:t>8) услуги, предусматривающие медико-социальное сопровождение лиц, страдающих тяжелыми заболеваниями, и лиц, нуждающихся в медицинской паллиативной помощи, включая организацию оказания медицинской паллиативной помощи и содействие в ее получении.</w:t>
            </w:r>
          </w:p>
          <w:p w14:paraId="39EC0DF1" w14:textId="77777777" w:rsidR="003F4CFF" w:rsidRPr="00D328E0" w:rsidRDefault="003F4CFF" w:rsidP="003F4CFF">
            <w:pPr>
              <w:pStyle w:val="afe"/>
              <w:ind w:left="23"/>
              <w:jc w:val="both"/>
              <w:rPr>
                <w:rFonts w:ascii="Times New Roman" w:hAnsi="Times New Roman" w:cs="Times New Roman"/>
                <w:sz w:val="24"/>
                <w:szCs w:val="24"/>
              </w:rPr>
            </w:pPr>
            <w:r w:rsidRPr="00D328E0">
              <w:rPr>
                <w:rFonts w:ascii="Times New Roman" w:hAnsi="Times New Roman" w:cs="Times New Roman"/>
                <w:sz w:val="24"/>
                <w:szCs w:val="24"/>
              </w:rPr>
              <w:t>Особенностью конкурсных отборов является определение минимальных требований к содержанию услуги и количественным показателям.</w:t>
            </w:r>
          </w:p>
          <w:p w14:paraId="2FDFA05B" w14:textId="77777777" w:rsidR="003F4CFF" w:rsidRPr="00D328E0" w:rsidRDefault="003F4CFF" w:rsidP="003F4CFF">
            <w:pPr>
              <w:jc w:val="both"/>
              <w:rPr>
                <w:rFonts w:ascii="Times New Roman" w:hAnsi="Times New Roman" w:cs="Times New Roman"/>
                <w:sz w:val="24"/>
                <w:szCs w:val="24"/>
              </w:rPr>
            </w:pPr>
            <w:r w:rsidRPr="00D328E0">
              <w:rPr>
                <w:rFonts w:ascii="Times New Roman" w:hAnsi="Times New Roman" w:cs="Times New Roman"/>
                <w:sz w:val="24"/>
                <w:szCs w:val="24"/>
              </w:rPr>
              <w:t>Благодаря этому на базе некоммерческих организаций обеспечена организация деятельности социальной гостиницы для беременных женщин и женщин с детьми, службы паллиативной помощи, служб ранней помощи, групп кратковременного пребывания для детей-инвалидов, организована разработка и реализация программ по комплексной реабилитации детей-инвалидов и программ организации занятий детей-инвалидов адаптивной физической культурой, реализован проект по сопровождаемому проживанию лиц с ментальными нарушениями и др.</w:t>
            </w:r>
          </w:p>
        </w:tc>
      </w:tr>
      <w:tr w:rsidR="003F4CFF" w:rsidRPr="00E3698F" w14:paraId="377D8359" w14:textId="77777777" w:rsidTr="00961841">
        <w:tc>
          <w:tcPr>
            <w:tcW w:w="431" w:type="pct"/>
            <w:vMerge/>
          </w:tcPr>
          <w:p w14:paraId="716F5AC9" w14:textId="77777777" w:rsidR="003F4CFF" w:rsidRPr="00E3698F" w:rsidRDefault="003F4CFF" w:rsidP="003F4CFF">
            <w:pPr>
              <w:rPr>
                <w:rFonts w:ascii="Times New Roman" w:hAnsi="Times New Roman" w:cs="Times New Roman"/>
                <w:sz w:val="24"/>
                <w:szCs w:val="24"/>
              </w:rPr>
            </w:pPr>
          </w:p>
        </w:tc>
        <w:tc>
          <w:tcPr>
            <w:tcW w:w="1185" w:type="pct"/>
          </w:tcPr>
          <w:p w14:paraId="57FAC229" w14:textId="77777777" w:rsidR="003F4CFF" w:rsidRPr="00E3698F"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Ресурсы, привлеченные для ее реализации</w:t>
            </w:r>
          </w:p>
        </w:tc>
        <w:tc>
          <w:tcPr>
            <w:tcW w:w="3384" w:type="pct"/>
          </w:tcPr>
          <w:p w14:paraId="49F78386" w14:textId="77777777" w:rsidR="003F4CFF" w:rsidRPr="00D328E0" w:rsidRDefault="003F4CFF" w:rsidP="003F4CFF">
            <w:pPr>
              <w:jc w:val="both"/>
              <w:rPr>
                <w:rFonts w:ascii="Times New Roman" w:hAnsi="Times New Roman" w:cs="Times New Roman"/>
                <w:sz w:val="24"/>
                <w:szCs w:val="24"/>
              </w:rPr>
            </w:pPr>
            <w:r w:rsidRPr="00D328E0">
              <w:rPr>
                <w:rFonts w:ascii="Times New Roman" w:hAnsi="Times New Roman" w:cs="Times New Roman"/>
                <w:sz w:val="24"/>
                <w:szCs w:val="24"/>
              </w:rPr>
              <w:t xml:space="preserve">Финансовые ресурсы (средства областного бюджета, предусмотренные на предоставление субсидий); наличие нормативной правовой базы, регулирующей правоотношения в сфере предоставления субсидий; кадровый ресурс (специалисты, обеспечивающие организацию работы по предоставлению субсидий и организацию контроля); информационный ресурс (распространение информации о проводимых конкурсных отборах) </w:t>
            </w:r>
          </w:p>
        </w:tc>
      </w:tr>
      <w:tr w:rsidR="003F4CFF" w:rsidRPr="00E3698F" w14:paraId="196E6D95" w14:textId="77777777" w:rsidTr="00961841">
        <w:tc>
          <w:tcPr>
            <w:tcW w:w="431" w:type="pct"/>
            <w:vMerge/>
          </w:tcPr>
          <w:p w14:paraId="6524B4BD" w14:textId="77777777" w:rsidR="003F4CFF" w:rsidRPr="00E3698F" w:rsidRDefault="003F4CFF" w:rsidP="003F4CFF">
            <w:pPr>
              <w:rPr>
                <w:rFonts w:ascii="Times New Roman" w:hAnsi="Times New Roman" w:cs="Times New Roman"/>
                <w:sz w:val="24"/>
                <w:szCs w:val="24"/>
              </w:rPr>
            </w:pPr>
          </w:p>
        </w:tc>
        <w:tc>
          <w:tcPr>
            <w:tcW w:w="1185" w:type="pct"/>
          </w:tcPr>
          <w:p w14:paraId="4C369478" w14:textId="77777777" w:rsidR="003F4CFF" w:rsidRPr="00E3698F"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Описание результата</w:t>
            </w:r>
          </w:p>
        </w:tc>
        <w:tc>
          <w:tcPr>
            <w:tcW w:w="3384" w:type="pct"/>
          </w:tcPr>
          <w:p w14:paraId="64EAA951" w14:textId="77777777" w:rsidR="003F4CFF" w:rsidRPr="00D328E0" w:rsidRDefault="003F4CFF" w:rsidP="003F4CFF">
            <w:pPr>
              <w:pStyle w:val="afe"/>
              <w:jc w:val="both"/>
              <w:rPr>
                <w:rFonts w:ascii="Times New Roman" w:hAnsi="Times New Roman" w:cs="Times New Roman"/>
                <w:sz w:val="24"/>
                <w:szCs w:val="24"/>
              </w:rPr>
            </w:pPr>
            <w:r w:rsidRPr="00D328E0">
              <w:rPr>
                <w:rFonts w:ascii="Times New Roman" w:hAnsi="Times New Roman" w:cs="Times New Roman"/>
                <w:sz w:val="24"/>
                <w:szCs w:val="24"/>
              </w:rPr>
              <w:t>В 2019 году в рамках реализации государственной программы выделено 36 субсидий 25 некоммерческим организациям, предоставляющим общественно полезные услуги детям и семьям с детьми</w:t>
            </w:r>
            <w:r w:rsidR="00584796">
              <w:rPr>
                <w:rFonts w:ascii="Times New Roman" w:hAnsi="Times New Roman" w:cs="Times New Roman"/>
                <w:sz w:val="24"/>
                <w:szCs w:val="24"/>
              </w:rPr>
              <w:t>, на общую сумму 11 873 739 рублей.</w:t>
            </w:r>
          </w:p>
        </w:tc>
      </w:tr>
      <w:tr w:rsidR="003F4CFF" w:rsidRPr="00E3698F" w14:paraId="3B4334B4" w14:textId="77777777" w:rsidTr="00961841">
        <w:tc>
          <w:tcPr>
            <w:tcW w:w="431" w:type="pct"/>
            <w:vMerge/>
          </w:tcPr>
          <w:p w14:paraId="3C6EA8D9" w14:textId="77777777" w:rsidR="003F4CFF" w:rsidRPr="00E3698F" w:rsidRDefault="003F4CFF" w:rsidP="003F4CFF">
            <w:pPr>
              <w:rPr>
                <w:rFonts w:ascii="Times New Roman" w:hAnsi="Times New Roman" w:cs="Times New Roman"/>
                <w:sz w:val="24"/>
                <w:szCs w:val="24"/>
              </w:rPr>
            </w:pPr>
          </w:p>
        </w:tc>
        <w:tc>
          <w:tcPr>
            <w:tcW w:w="1185" w:type="pct"/>
          </w:tcPr>
          <w:p w14:paraId="7C505DC0" w14:textId="77777777" w:rsidR="003F4CFF" w:rsidRPr="00E3698F"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Значение количественного (качественного) показателя результата</w:t>
            </w:r>
          </w:p>
        </w:tc>
        <w:tc>
          <w:tcPr>
            <w:tcW w:w="3384" w:type="pct"/>
          </w:tcPr>
          <w:p w14:paraId="3229958C" w14:textId="77777777" w:rsidR="003F4CFF" w:rsidRPr="005F4A55" w:rsidRDefault="003F4CFF" w:rsidP="003F4CFF">
            <w:pPr>
              <w:pStyle w:val="afe"/>
              <w:jc w:val="both"/>
              <w:rPr>
                <w:rFonts w:ascii="Times New Roman" w:hAnsi="Times New Roman" w:cs="Times New Roman"/>
                <w:sz w:val="24"/>
                <w:szCs w:val="24"/>
              </w:rPr>
            </w:pPr>
            <w:r w:rsidRPr="005F4A55">
              <w:rPr>
                <w:rFonts w:ascii="Times New Roman" w:hAnsi="Times New Roman" w:cs="Times New Roman"/>
                <w:sz w:val="24"/>
                <w:szCs w:val="24"/>
              </w:rPr>
              <w:t xml:space="preserve">25 </w:t>
            </w:r>
            <w:r>
              <w:rPr>
                <w:rFonts w:ascii="Times New Roman" w:hAnsi="Times New Roman" w:cs="Times New Roman"/>
                <w:sz w:val="24"/>
                <w:szCs w:val="24"/>
              </w:rPr>
              <w:t xml:space="preserve">некоммерческих организаций получили 36 субсидий на оказание </w:t>
            </w:r>
            <w:r w:rsidRPr="005F4A55">
              <w:rPr>
                <w:rFonts w:ascii="Times New Roman" w:hAnsi="Times New Roman" w:cs="Times New Roman"/>
                <w:sz w:val="24"/>
                <w:szCs w:val="24"/>
              </w:rPr>
              <w:t>услуг детям и семьям с детьми на общую сумму 11</w:t>
            </w:r>
            <w:r>
              <w:rPr>
                <w:rFonts w:ascii="Times New Roman" w:hAnsi="Times New Roman" w:cs="Times New Roman"/>
                <w:sz w:val="24"/>
                <w:szCs w:val="24"/>
              </w:rPr>
              <w:t> </w:t>
            </w:r>
            <w:r w:rsidRPr="005F4A55">
              <w:rPr>
                <w:rFonts w:ascii="Times New Roman" w:hAnsi="Times New Roman" w:cs="Times New Roman"/>
                <w:sz w:val="24"/>
                <w:szCs w:val="24"/>
              </w:rPr>
              <w:t>873</w:t>
            </w:r>
            <w:r>
              <w:rPr>
                <w:rFonts w:ascii="Times New Roman" w:hAnsi="Times New Roman" w:cs="Times New Roman"/>
                <w:sz w:val="24"/>
                <w:szCs w:val="24"/>
              </w:rPr>
              <w:t> </w:t>
            </w:r>
            <w:r w:rsidR="00584796">
              <w:rPr>
                <w:rFonts w:ascii="Times New Roman" w:hAnsi="Times New Roman" w:cs="Times New Roman"/>
                <w:sz w:val="24"/>
                <w:szCs w:val="24"/>
              </w:rPr>
              <w:t>739 рублей.</w:t>
            </w:r>
          </w:p>
          <w:p w14:paraId="005AED03" w14:textId="77777777" w:rsidR="003F4CFF" w:rsidRPr="00D328E0" w:rsidRDefault="003F4CFF" w:rsidP="003F4CFF">
            <w:pPr>
              <w:jc w:val="both"/>
              <w:rPr>
                <w:rFonts w:ascii="Times New Roman" w:hAnsi="Times New Roman" w:cs="Times New Roman"/>
                <w:sz w:val="24"/>
                <w:szCs w:val="24"/>
              </w:rPr>
            </w:pPr>
          </w:p>
        </w:tc>
      </w:tr>
      <w:tr w:rsidR="003F4CFF" w:rsidRPr="00E3698F" w14:paraId="4FDC96F6" w14:textId="77777777" w:rsidTr="009A18FC">
        <w:tc>
          <w:tcPr>
            <w:tcW w:w="5000" w:type="pct"/>
            <w:gridSpan w:val="3"/>
          </w:tcPr>
          <w:p w14:paraId="1C49A21B" w14:textId="77777777" w:rsidR="003F4CFF" w:rsidRPr="002E7E41" w:rsidRDefault="003F4CFF" w:rsidP="003F4CFF">
            <w:pPr>
              <w:rPr>
                <w:rFonts w:ascii="Times New Roman" w:hAnsi="Times New Roman" w:cs="Times New Roman"/>
                <w:b/>
                <w:sz w:val="24"/>
                <w:szCs w:val="24"/>
              </w:rPr>
            </w:pPr>
            <w:r w:rsidRPr="002E7E41">
              <w:rPr>
                <w:rFonts w:ascii="Times New Roman" w:hAnsi="Times New Roman" w:cs="Times New Roman"/>
                <w:b/>
                <w:sz w:val="24"/>
                <w:szCs w:val="24"/>
              </w:rPr>
              <w:t>Розничная торговля</w:t>
            </w:r>
          </w:p>
        </w:tc>
      </w:tr>
      <w:tr w:rsidR="003F4CFF" w:rsidRPr="00E3698F" w14:paraId="6D3FBDDB" w14:textId="77777777" w:rsidTr="00961841">
        <w:tc>
          <w:tcPr>
            <w:tcW w:w="431" w:type="pct"/>
            <w:vMerge w:val="restart"/>
          </w:tcPr>
          <w:p w14:paraId="5C983B33" w14:textId="77777777" w:rsidR="003F4CFF" w:rsidRPr="00E3698F" w:rsidRDefault="00ED71B8" w:rsidP="003F4CFF">
            <w:pPr>
              <w:rPr>
                <w:rFonts w:ascii="Times New Roman" w:hAnsi="Times New Roman" w:cs="Times New Roman"/>
                <w:sz w:val="24"/>
                <w:szCs w:val="24"/>
              </w:rPr>
            </w:pPr>
            <w:r>
              <w:rPr>
                <w:rFonts w:ascii="Times New Roman" w:hAnsi="Times New Roman" w:cs="Times New Roman"/>
                <w:sz w:val="24"/>
                <w:szCs w:val="24"/>
              </w:rPr>
              <w:t>6</w:t>
            </w:r>
            <w:r w:rsidR="003F4CFF">
              <w:rPr>
                <w:rFonts w:ascii="Times New Roman" w:hAnsi="Times New Roman" w:cs="Times New Roman"/>
                <w:sz w:val="24"/>
                <w:szCs w:val="24"/>
              </w:rPr>
              <w:t>.</w:t>
            </w:r>
          </w:p>
        </w:tc>
        <w:tc>
          <w:tcPr>
            <w:tcW w:w="1185" w:type="pct"/>
            <w:shd w:val="clear" w:color="auto" w:fill="DEE6F6" w:themeFill="background2" w:themeFillTint="66"/>
          </w:tcPr>
          <w:p w14:paraId="5723F994" w14:textId="77777777" w:rsidR="003F4CFF" w:rsidRPr="00E3698F"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3384" w:type="pct"/>
            <w:shd w:val="clear" w:color="auto" w:fill="DEE6F6" w:themeFill="background2" w:themeFillTint="66"/>
          </w:tcPr>
          <w:p w14:paraId="1A2A8BBE" w14:textId="77777777" w:rsidR="003F4CFF" w:rsidRPr="00E3698F" w:rsidRDefault="003F4CFF" w:rsidP="003F4CFF">
            <w:pPr>
              <w:jc w:val="both"/>
              <w:rPr>
                <w:rFonts w:ascii="Times New Roman" w:hAnsi="Times New Roman" w:cs="Times New Roman"/>
                <w:sz w:val="24"/>
                <w:szCs w:val="24"/>
              </w:rPr>
            </w:pPr>
            <w:r>
              <w:rPr>
                <w:rFonts w:ascii="Times New Roman" w:hAnsi="Times New Roman" w:cs="Times New Roman"/>
                <w:sz w:val="24"/>
                <w:szCs w:val="24"/>
              </w:rPr>
              <w:t xml:space="preserve">Ярмарочная деятельность как механизм развития конкуренции на розничном рынке Новосибирской области </w:t>
            </w:r>
          </w:p>
        </w:tc>
      </w:tr>
      <w:tr w:rsidR="003F4CFF" w:rsidRPr="00E3698F" w14:paraId="295E62EB" w14:textId="77777777" w:rsidTr="00961841">
        <w:tc>
          <w:tcPr>
            <w:tcW w:w="431" w:type="pct"/>
            <w:vMerge/>
          </w:tcPr>
          <w:p w14:paraId="41635F7D" w14:textId="77777777" w:rsidR="003F4CFF" w:rsidRPr="00E3698F" w:rsidRDefault="003F4CFF" w:rsidP="003F4CFF">
            <w:pPr>
              <w:rPr>
                <w:rFonts w:ascii="Times New Roman" w:hAnsi="Times New Roman" w:cs="Times New Roman"/>
                <w:sz w:val="24"/>
                <w:szCs w:val="24"/>
              </w:rPr>
            </w:pPr>
          </w:p>
        </w:tc>
        <w:tc>
          <w:tcPr>
            <w:tcW w:w="1185" w:type="pct"/>
          </w:tcPr>
          <w:p w14:paraId="1C530BAA" w14:textId="77777777" w:rsidR="003F4CFF" w:rsidRPr="00E3698F"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Краткое описание успешной практики</w:t>
            </w:r>
          </w:p>
        </w:tc>
        <w:tc>
          <w:tcPr>
            <w:tcW w:w="3384" w:type="pct"/>
          </w:tcPr>
          <w:p w14:paraId="38F336A6" w14:textId="77777777" w:rsidR="003F4CFF" w:rsidRPr="00E53B8C" w:rsidRDefault="003F4CFF" w:rsidP="003F4CFF">
            <w:pPr>
              <w:pStyle w:val="afe"/>
              <w:jc w:val="both"/>
              <w:rPr>
                <w:rFonts w:ascii="Times New Roman" w:hAnsi="Times New Roman" w:cs="Times New Roman"/>
                <w:sz w:val="24"/>
                <w:szCs w:val="24"/>
              </w:rPr>
            </w:pPr>
            <w:r w:rsidRPr="00E53B8C">
              <w:rPr>
                <w:rFonts w:ascii="Times New Roman" w:hAnsi="Times New Roman" w:cs="Times New Roman"/>
                <w:sz w:val="24"/>
                <w:szCs w:val="24"/>
              </w:rPr>
              <w:t>Развитие ярмарочной торговли способствует развитию конкуренции, обеспечению сбалансированности внутреннего рынка, созданию условий для формирования разноформатной, комфортной для потребителя торговой инфраструктуры, расширению возможностей реализации продукции агропромышленного комплекса Новосибирской области, а также повышению узнаваемости и продвижению региональных брендов.</w:t>
            </w:r>
          </w:p>
          <w:p w14:paraId="6584597E" w14:textId="77777777" w:rsidR="003F4CFF" w:rsidRPr="00E53B8C" w:rsidRDefault="003F4CFF" w:rsidP="003F4CFF">
            <w:pPr>
              <w:pStyle w:val="afe"/>
              <w:jc w:val="both"/>
              <w:rPr>
                <w:rFonts w:ascii="Times New Roman" w:hAnsi="Times New Roman" w:cs="Times New Roman"/>
                <w:sz w:val="24"/>
                <w:szCs w:val="24"/>
              </w:rPr>
            </w:pPr>
            <w:r w:rsidRPr="00E53B8C">
              <w:rPr>
                <w:rFonts w:ascii="Times New Roman" w:hAnsi="Times New Roman" w:cs="Times New Roman"/>
                <w:sz w:val="24"/>
                <w:szCs w:val="24"/>
              </w:rPr>
              <w:t>Ярмарки проводятся в соответствии с Федеральным законом от 28.12.2009 № 381-ФЗ «Об основах государственного регулирования торговой деятельности в Российской Федерации» и соответствующим законодательством Новосибирской области. Постановлением Правительства Новосибирской области от 14.07.2011 № 303-п утвержден Порядок организации ярмарок на территории Новосибирской области и продажи товаров (выполнения работ, оказания услуг) на них.</w:t>
            </w:r>
          </w:p>
          <w:p w14:paraId="216A12CA" w14:textId="77777777" w:rsidR="003F4CFF" w:rsidRDefault="003F4CFF" w:rsidP="003F4CFF">
            <w:pPr>
              <w:pStyle w:val="afe"/>
              <w:jc w:val="both"/>
              <w:rPr>
                <w:rFonts w:ascii="Times New Roman" w:hAnsi="Times New Roman" w:cs="Times New Roman"/>
                <w:sz w:val="24"/>
                <w:szCs w:val="24"/>
              </w:rPr>
            </w:pPr>
            <w:r w:rsidRPr="00E53B8C">
              <w:rPr>
                <w:rFonts w:ascii="Times New Roman" w:hAnsi="Times New Roman" w:cs="Times New Roman"/>
                <w:sz w:val="24"/>
                <w:szCs w:val="24"/>
              </w:rPr>
              <w:t>В целях создания благоприятных условий для организации и проведения ярмарок на территории региона, учитывая потребность населения в торговых услугах и продовольственном обеспечении, органами местного самоуправления муниципальных образований Новосибирской области ежегодно утверждаются перечни мест проведения ярмарок на территориях соответствующих муниципальных образований Новосибирской области. Сводный перечень мест проведения ярмарок на территории Новосибирской области размещается на официальном сайте министерства промышленности, торговли и развития предпринимательства Новосибирской области в информационно-телекоммуникационной сети «Интернет».</w:t>
            </w:r>
          </w:p>
          <w:p w14:paraId="7D5F84F4" w14:textId="77777777" w:rsidR="003F4CFF" w:rsidRPr="00201B62" w:rsidRDefault="003F4CFF" w:rsidP="003F4CFF">
            <w:pPr>
              <w:pStyle w:val="afe"/>
              <w:jc w:val="both"/>
              <w:rPr>
                <w:rFonts w:ascii="Times New Roman" w:hAnsi="Times New Roman" w:cs="Times New Roman"/>
                <w:sz w:val="24"/>
                <w:szCs w:val="24"/>
              </w:rPr>
            </w:pPr>
            <w:r w:rsidRPr="00201B62">
              <w:rPr>
                <w:rFonts w:ascii="Times New Roman" w:hAnsi="Times New Roman" w:cs="Times New Roman"/>
                <w:sz w:val="24"/>
                <w:szCs w:val="24"/>
              </w:rPr>
              <w:t>Большое внимание в 2019 году уделялось реализации мероприятий по развитию многоформатной торговли, в том числе по открытию нестационарных и мобильных объектов торговли и организации ярмарок. Для участия в ярмарках максимально привлекаются сельхозпредприятия, предприятия пищевой и перерабатывающей промышленности, а также К(Ф)Х, садоводы и огородники.</w:t>
            </w:r>
          </w:p>
          <w:p w14:paraId="547C7FF9" w14:textId="77777777" w:rsidR="003F4CFF" w:rsidRPr="00201B62" w:rsidRDefault="003F4CFF" w:rsidP="003F4CFF">
            <w:pPr>
              <w:pStyle w:val="afe"/>
              <w:jc w:val="both"/>
              <w:rPr>
                <w:rFonts w:ascii="Times New Roman" w:hAnsi="Times New Roman" w:cs="Times New Roman"/>
                <w:sz w:val="24"/>
                <w:szCs w:val="24"/>
              </w:rPr>
            </w:pPr>
            <w:r w:rsidRPr="00201B62">
              <w:rPr>
                <w:rFonts w:ascii="Times New Roman" w:hAnsi="Times New Roman" w:cs="Times New Roman"/>
                <w:sz w:val="24"/>
                <w:szCs w:val="24"/>
              </w:rPr>
              <w:t xml:space="preserve">Всего в 2019 году на территории Новосибирской области проведено 2340 ярмарочных мероприятий, в том числе 11 областных оптово-розничных универсальных ярмарок в городах Искитиме, Барабинске, Карасуке, Куйбышеве, рабочих поселках Ордынском, Сузуне, Колывани, Маслянино, Краснообске, Чаны, Краснозерское. 1767 участников из 35 муниципальных районов и городских округов Новосибирской области представили жителям товары по оптовым ценам и ценам производителей. Торговые места и оборудование участникам ярмарок предоставлялись бесплатно. Всего на ярмарках реализовано товаров населению на сумму более 57 млн. рублей. </w:t>
            </w:r>
          </w:p>
          <w:p w14:paraId="47464CB2" w14:textId="77777777" w:rsidR="003F4CFF" w:rsidRPr="00201B62" w:rsidRDefault="003F4CFF" w:rsidP="003F4CFF">
            <w:pPr>
              <w:pStyle w:val="afe"/>
              <w:jc w:val="both"/>
              <w:rPr>
                <w:rFonts w:ascii="Times New Roman" w:hAnsi="Times New Roman" w:cs="Times New Roman"/>
                <w:sz w:val="24"/>
                <w:szCs w:val="24"/>
              </w:rPr>
            </w:pPr>
            <w:r w:rsidRPr="00201B62">
              <w:rPr>
                <w:rFonts w:ascii="Times New Roman" w:hAnsi="Times New Roman" w:cs="Times New Roman"/>
                <w:sz w:val="24"/>
                <w:szCs w:val="24"/>
              </w:rPr>
              <w:lastRenderedPageBreak/>
              <w:t>В г. Новосибирске в ежедневном режиме работают три социальные ярмарки (Областная социальная ярмарка и две городские социальные продовольственные ярмарки). На социальных ярмарках организовано более 120 торговых отделов для реализации жителям продуктов питания по ценам на 10-15% ниже средних розничных цен, сложившихся на территории Новосибирской области.</w:t>
            </w:r>
          </w:p>
          <w:p w14:paraId="6EF92F50" w14:textId="77777777" w:rsidR="003F4CFF" w:rsidRPr="00201B62" w:rsidRDefault="003F4CFF" w:rsidP="003F4CFF">
            <w:pPr>
              <w:pStyle w:val="afe"/>
              <w:jc w:val="both"/>
              <w:rPr>
                <w:rFonts w:ascii="Times New Roman" w:hAnsi="Times New Roman" w:cs="Times New Roman"/>
                <w:sz w:val="24"/>
                <w:szCs w:val="24"/>
              </w:rPr>
            </w:pPr>
            <w:r w:rsidRPr="00201B62">
              <w:rPr>
                <w:rFonts w:ascii="Times New Roman" w:hAnsi="Times New Roman" w:cs="Times New Roman"/>
                <w:sz w:val="24"/>
                <w:szCs w:val="24"/>
              </w:rPr>
              <w:t>По состоянию на 01.11.2019 на территории Новосибирской области функционирует 10 розничных универсальных рынков, получивших разрешение на право организации розничного рынка, в том числе в городе Новосибирске – 3, в районах области – 7.</w:t>
            </w:r>
          </w:p>
          <w:p w14:paraId="68990A6B" w14:textId="77777777" w:rsidR="003F4CFF" w:rsidRPr="00201B62" w:rsidRDefault="003F4CFF" w:rsidP="003F4CFF">
            <w:pPr>
              <w:pStyle w:val="afe"/>
              <w:jc w:val="both"/>
              <w:rPr>
                <w:rFonts w:ascii="Times New Roman" w:hAnsi="Times New Roman" w:cs="Times New Roman"/>
                <w:sz w:val="24"/>
                <w:szCs w:val="24"/>
              </w:rPr>
            </w:pPr>
            <w:r w:rsidRPr="00201B62">
              <w:rPr>
                <w:rFonts w:ascii="Times New Roman" w:hAnsi="Times New Roman" w:cs="Times New Roman"/>
                <w:sz w:val="24"/>
                <w:szCs w:val="24"/>
              </w:rPr>
              <w:t>В апреле 2019 года в МВК «Новосибирск Экспоцентр» состоялась специализированная выставка «HoReCa Siberia», в рамках которой была организована ярмарка товаропроизводителей Новосибирской области «Сделано у нас», где 40 региональных товаропроизводителей представили свою продукцию. Конкурсный формат выставки включал в себя Открытый чемпионат Сибири по кулинарии и Открытый чемпионат Сибири по пицце.</w:t>
            </w:r>
          </w:p>
          <w:p w14:paraId="52319C89" w14:textId="77777777" w:rsidR="003F4CFF" w:rsidRPr="00201B62" w:rsidRDefault="003F4CFF" w:rsidP="003F4CFF">
            <w:pPr>
              <w:pStyle w:val="afe"/>
              <w:jc w:val="both"/>
              <w:rPr>
                <w:rFonts w:ascii="Times New Roman" w:hAnsi="Times New Roman" w:cs="Times New Roman"/>
                <w:sz w:val="24"/>
                <w:szCs w:val="24"/>
              </w:rPr>
            </w:pPr>
            <w:r w:rsidRPr="00201B62">
              <w:rPr>
                <w:rFonts w:ascii="Times New Roman" w:hAnsi="Times New Roman" w:cs="Times New Roman"/>
                <w:sz w:val="24"/>
                <w:szCs w:val="24"/>
              </w:rPr>
              <w:t>Во всех номинациях конкурсной программы приняли участие около 250 участников, в том числе из других регионов России.</w:t>
            </w:r>
          </w:p>
          <w:p w14:paraId="544F22AA" w14:textId="77777777" w:rsidR="003F4CFF" w:rsidRPr="00201B62" w:rsidRDefault="003F4CFF" w:rsidP="003F4CFF">
            <w:pPr>
              <w:pStyle w:val="afe"/>
              <w:jc w:val="both"/>
              <w:rPr>
                <w:rFonts w:ascii="Times New Roman" w:hAnsi="Times New Roman" w:cs="Times New Roman"/>
                <w:sz w:val="24"/>
                <w:szCs w:val="24"/>
              </w:rPr>
            </w:pPr>
            <w:r w:rsidRPr="00201B62">
              <w:rPr>
                <w:rFonts w:ascii="Times New Roman" w:hAnsi="Times New Roman" w:cs="Times New Roman"/>
                <w:sz w:val="24"/>
                <w:szCs w:val="24"/>
              </w:rPr>
              <w:t xml:space="preserve">В 2019 году в рамках пилотного проекта поддержки местных товаропроизводителей «Сделано у нас» был организован цикл бесплатных семинаров «Поставщик. Новое в закупках» для субъектов малого и среднего предпринимательства. Семинары прошли в сентябре-октябре в 10 районах области (г. Искитим, г. Чулым, р.п. Ордынское, п.г.т. Сузун, г. Татарск, р.п. Чаны, г. Карасук, р.п. Краснозерское, г. Тогучин, г. Куйбышев) с привлечением товаропроизводителей из близлежащих районов. В организации семинара приняли участие представители АНО ИДПО «Госзаказ», Новосибирского отделения ПАО Сбербанк, региональные представители электронной площадки РТС-тендер в Новосибирской области. </w:t>
            </w:r>
          </w:p>
          <w:p w14:paraId="7AF1A700" w14:textId="77777777" w:rsidR="003F4CFF" w:rsidRPr="00201B62" w:rsidRDefault="003F4CFF" w:rsidP="003F4CFF">
            <w:pPr>
              <w:pStyle w:val="afe"/>
              <w:jc w:val="both"/>
              <w:rPr>
                <w:rFonts w:ascii="Times New Roman" w:hAnsi="Times New Roman" w:cs="Times New Roman"/>
                <w:sz w:val="24"/>
                <w:szCs w:val="24"/>
              </w:rPr>
            </w:pPr>
            <w:r w:rsidRPr="00201B62">
              <w:rPr>
                <w:rFonts w:ascii="Times New Roman" w:hAnsi="Times New Roman" w:cs="Times New Roman"/>
                <w:sz w:val="24"/>
                <w:szCs w:val="24"/>
              </w:rPr>
              <w:t>В семинаре участвовало 220 слушателей, которые по окончанию обучения получили навыки самостоятельного поиска интересующих закупок, подготовки заявок для участия в госзакупках и участия в реальных торгах.</w:t>
            </w:r>
          </w:p>
          <w:p w14:paraId="23A0A3A3" w14:textId="77777777" w:rsidR="003F4CFF" w:rsidRPr="00201B62" w:rsidRDefault="003F4CFF" w:rsidP="003F4CFF">
            <w:pPr>
              <w:pStyle w:val="afe"/>
              <w:jc w:val="both"/>
              <w:rPr>
                <w:rFonts w:ascii="Times New Roman" w:hAnsi="Times New Roman" w:cs="Times New Roman"/>
                <w:sz w:val="24"/>
                <w:szCs w:val="24"/>
              </w:rPr>
            </w:pPr>
            <w:r w:rsidRPr="00201B62">
              <w:rPr>
                <w:rFonts w:ascii="Times New Roman" w:hAnsi="Times New Roman" w:cs="Times New Roman"/>
                <w:sz w:val="24"/>
                <w:szCs w:val="24"/>
              </w:rPr>
              <w:t xml:space="preserve">Также в рамках проекта «Сделано у нас» в октябре 2019 года второй год подряд был реализован бесплатный образовательный проект для местных товаропроизводителей «Школа торговли». Мероприятие было организовано Новосибирским областным отделением Всероссийской общественной организацией малого и среднего предпринимательства «ОПОРА РОССИИ». </w:t>
            </w:r>
          </w:p>
          <w:p w14:paraId="64B268C6" w14:textId="77777777" w:rsidR="003F4CFF" w:rsidRPr="00201B62" w:rsidRDefault="003F4CFF" w:rsidP="003F4CFF">
            <w:pPr>
              <w:pStyle w:val="afe"/>
              <w:jc w:val="both"/>
              <w:rPr>
                <w:rFonts w:ascii="Times New Roman" w:hAnsi="Times New Roman" w:cs="Times New Roman"/>
                <w:sz w:val="24"/>
                <w:szCs w:val="24"/>
              </w:rPr>
            </w:pPr>
            <w:r w:rsidRPr="00201B62">
              <w:rPr>
                <w:rFonts w:ascii="Times New Roman" w:hAnsi="Times New Roman" w:cs="Times New Roman"/>
                <w:sz w:val="24"/>
                <w:szCs w:val="24"/>
              </w:rPr>
              <w:t xml:space="preserve">В 2019 году проект «Школа торговли» запустился в новом формате. В течение месяца обучение прошли более 150 человек. Для участников проведены семинары и мастер-классы </w:t>
            </w:r>
            <w:r w:rsidRPr="00201B62">
              <w:rPr>
                <w:rFonts w:ascii="Times New Roman" w:hAnsi="Times New Roman" w:cs="Times New Roman"/>
                <w:sz w:val="24"/>
                <w:szCs w:val="24"/>
              </w:rPr>
              <w:lastRenderedPageBreak/>
              <w:t>по темам, касающимся трендов на рынке FMCG, законодательных требований к потребительским товарам, испытаний продукции и сертификации, механизмов работы с федеральными и региональными торговыми сетями, продвижения и дизайна товара. В качестве экспертов выступили представители федеральных и региональных торговых сетей, власти, бизнеса и общественных организаций.</w:t>
            </w:r>
          </w:p>
          <w:p w14:paraId="2B6A557D" w14:textId="77777777" w:rsidR="003F4CFF" w:rsidRPr="003F27FF" w:rsidRDefault="003F4CFF" w:rsidP="003F4CFF">
            <w:pPr>
              <w:pStyle w:val="afe"/>
              <w:jc w:val="both"/>
              <w:rPr>
                <w:rFonts w:ascii="Times New Roman" w:hAnsi="Times New Roman" w:cs="Times New Roman"/>
                <w:sz w:val="24"/>
                <w:szCs w:val="24"/>
              </w:rPr>
            </w:pPr>
            <w:r w:rsidRPr="00201B62">
              <w:rPr>
                <w:rFonts w:ascii="Times New Roman" w:hAnsi="Times New Roman" w:cs="Times New Roman"/>
                <w:sz w:val="24"/>
                <w:szCs w:val="24"/>
              </w:rPr>
              <w:t>Сибирской Федерацией рестораторов и отельеров с участием Минпромторга НСО была организована вторая серия образовательных семинаров «Школа гастрономического бизнеса». Участниками семинаров стали более 100 собственников, руководителей и сотрудников предприятий общественного питания области. За время прохождения семинаров участники приобрели навыки и компетенции ведения бизнеса в сфере общественного питания, а также получили уникальную возможность презентовать собственный бизнес-проект перед потенциальными инвесторами. Программа обучения включала 10 модулей и охватила вопросы от получения разрешений и открытия заведения до управления, сервиса и продвижения.</w:t>
            </w:r>
          </w:p>
        </w:tc>
      </w:tr>
      <w:tr w:rsidR="003F4CFF" w:rsidRPr="00E3698F" w14:paraId="31170065" w14:textId="77777777" w:rsidTr="00961841">
        <w:tc>
          <w:tcPr>
            <w:tcW w:w="431" w:type="pct"/>
            <w:vMerge/>
          </w:tcPr>
          <w:p w14:paraId="2505A84A" w14:textId="77777777" w:rsidR="003F4CFF" w:rsidRPr="00E3698F" w:rsidRDefault="003F4CFF" w:rsidP="003F4CFF">
            <w:pPr>
              <w:rPr>
                <w:rFonts w:ascii="Times New Roman" w:hAnsi="Times New Roman" w:cs="Times New Roman"/>
                <w:sz w:val="24"/>
                <w:szCs w:val="24"/>
              </w:rPr>
            </w:pPr>
          </w:p>
        </w:tc>
        <w:tc>
          <w:tcPr>
            <w:tcW w:w="1185" w:type="pct"/>
          </w:tcPr>
          <w:p w14:paraId="6515ED55" w14:textId="77777777" w:rsidR="003F4CFF" w:rsidRPr="00E3698F"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Ресурсы, привлеченные для ее реализации</w:t>
            </w:r>
          </w:p>
        </w:tc>
        <w:tc>
          <w:tcPr>
            <w:tcW w:w="3384" w:type="pct"/>
          </w:tcPr>
          <w:p w14:paraId="153EB68A" w14:textId="77777777" w:rsidR="003F4CFF" w:rsidRPr="00E53B8C" w:rsidRDefault="003F4CFF" w:rsidP="003F4CFF">
            <w:pPr>
              <w:jc w:val="both"/>
              <w:rPr>
                <w:rFonts w:ascii="Times New Roman" w:hAnsi="Times New Roman" w:cs="Times New Roman"/>
                <w:sz w:val="24"/>
                <w:szCs w:val="24"/>
              </w:rPr>
            </w:pPr>
            <w:r w:rsidRPr="00E53B8C">
              <w:rPr>
                <w:rFonts w:ascii="Times New Roman" w:hAnsi="Times New Roman" w:cs="Times New Roman"/>
                <w:sz w:val="24"/>
                <w:szCs w:val="24"/>
              </w:rPr>
              <w:t>На территории Новосибирской области реализуется Ведомственная целевая программа «Развитие торговли на территории Новосибирской области на 2015 – 2019 годы»</w:t>
            </w:r>
            <w:r>
              <w:rPr>
                <w:rFonts w:ascii="Times New Roman" w:hAnsi="Times New Roman" w:cs="Times New Roman"/>
                <w:sz w:val="24"/>
                <w:szCs w:val="24"/>
              </w:rPr>
              <w:t xml:space="preserve">, </w:t>
            </w:r>
            <w:r w:rsidRPr="00E53B8C">
              <w:rPr>
                <w:rFonts w:ascii="Times New Roman" w:hAnsi="Times New Roman" w:cs="Times New Roman"/>
                <w:sz w:val="24"/>
                <w:szCs w:val="24"/>
              </w:rPr>
              <w:t>утвержденная приказом Минпром</w:t>
            </w:r>
            <w:r>
              <w:rPr>
                <w:rFonts w:ascii="Times New Roman" w:hAnsi="Times New Roman" w:cs="Times New Roman"/>
                <w:sz w:val="24"/>
                <w:szCs w:val="24"/>
              </w:rPr>
              <w:t xml:space="preserve">торга НСО от 17.12.2014 № 362. </w:t>
            </w:r>
            <w:r w:rsidRPr="00E53B8C">
              <w:rPr>
                <w:rFonts w:ascii="Times New Roman" w:hAnsi="Times New Roman" w:cs="Times New Roman"/>
                <w:sz w:val="24"/>
                <w:szCs w:val="24"/>
              </w:rPr>
              <w:t>Цель программы - создание условий для наиболее полного удовлетворения спроса населения на потребительские товары и услуги, в первую очередь отечественного производства, по доступным ценам в пределах территориальной доступности, повышение качества торгового обслуживания и обеспечение потребителей качественными и безопасными товарами.</w:t>
            </w:r>
          </w:p>
          <w:p w14:paraId="21ED8BC0" w14:textId="77777777" w:rsidR="003F4CFF" w:rsidRPr="00E3698F" w:rsidRDefault="003F4CFF" w:rsidP="003F4CFF">
            <w:pPr>
              <w:jc w:val="both"/>
              <w:rPr>
                <w:rFonts w:ascii="Times New Roman" w:hAnsi="Times New Roman" w:cs="Times New Roman"/>
                <w:sz w:val="24"/>
                <w:szCs w:val="24"/>
              </w:rPr>
            </w:pPr>
            <w:r w:rsidRPr="00E53B8C">
              <w:rPr>
                <w:rFonts w:ascii="Times New Roman" w:hAnsi="Times New Roman" w:cs="Times New Roman"/>
                <w:sz w:val="24"/>
                <w:szCs w:val="24"/>
              </w:rPr>
              <w:t xml:space="preserve">Одним из основных мероприятий программы, финансируемых из средств областного бюджета Новосибирской области, является организация и проведение выставок, ярмарок товаров и услуг с участием местных товаропроизводителей и субъектов малого и среднего предпринимательства. </w:t>
            </w:r>
          </w:p>
        </w:tc>
      </w:tr>
      <w:tr w:rsidR="003F4CFF" w:rsidRPr="00E3698F" w14:paraId="58AFFF45" w14:textId="77777777" w:rsidTr="00961841">
        <w:tc>
          <w:tcPr>
            <w:tcW w:w="431" w:type="pct"/>
            <w:vMerge/>
          </w:tcPr>
          <w:p w14:paraId="5A76ECA5" w14:textId="77777777" w:rsidR="003F4CFF" w:rsidRPr="00E3698F" w:rsidRDefault="003F4CFF" w:rsidP="003F4CFF">
            <w:pPr>
              <w:rPr>
                <w:rFonts w:ascii="Times New Roman" w:hAnsi="Times New Roman" w:cs="Times New Roman"/>
                <w:sz w:val="24"/>
                <w:szCs w:val="24"/>
              </w:rPr>
            </w:pPr>
          </w:p>
        </w:tc>
        <w:tc>
          <w:tcPr>
            <w:tcW w:w="1185" w:type="pct"/>
          </w:tcPr>
          <w:p w14:paraId="1F615A7F" w14:textId="77777777" w:rsidR="003F4CFF" w:rsidRPr="00E3698F"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Описание результата</w:t>
            </w:r>
          </w:p>
        </w:tc>
        <w:tc>
          <w:tcPr>
            <w:tcW w:w="3384" w:type="pct"/>
          </w:tcPr>
          <w:p w14:paraId="74D98AD5" w14:textId="77777777" w:rsidR="003F4CFF" w:rsidRPr="00E3698F" w:rsidRDefault="003F4CFF" w:rsidP="003F4CFF">
            <w:pPr>
              <w:jc w:val="both"/>
              <w:rPr>
                <w:rFonts w:ascii="Times New Roman" w:hAnsi="Times New Roman" w:cs="Times New Roman"/>
                <w:sz w:val="24"/>
                <w:szCs w:val="24"/>
              </w:rPr>
            </w:pPr>
            <w:r w:rsidRPr="00E53B8C">
              <w:rPr>
                <w:rFonts w:ascii="Times New Roman" w:hAnsi="Times New Roman" w:cs="Times New Roman"/>
                <w:sz w:val="24"/>
                <w:szCs w:val="24"/>
              </w:rPr>
              <w:t xml:space="preserve">По данным оперативного мониторинга фиксируется стабильное состояние потребительского рынка Новосибирской области, в части наличия ассортимента и изменения розничных цен на товары как в торговых сетях, так и на ярмарках и розничных рынках. </w:t>
            </w:r>
          </w:p>
        </w:tc>
      </w:tr>
      <w:tr w:rsidR="003F4CFF" w:rsidRPr="00E3698F" w14:paraId="60AB689B" w14:textId="77777777" w:rsidTr="00961841">
        <w:tc>
          <w:tcPr>
            <w:tcW w:w="431" w:type="pct"/>
            <w:vMerge/>
          </w:tcPr>
          <w:p w14:paraId="72E0D780" w14:textId="77777777" w:rsidR="003F4CFF" w:rsidRPr="00E3698F" w:rsidRDefault="003F4CFF" w:rsidP="003F4CFF">
            <w:pPr>
              <w:rPr>
                <w:rFonts w:ascii="Times New Roman" w:hAnsi="Times New Roman" w:cs="Times New Roman"/>
                <w:sz w:val="24"/>
                <w:szCs w:val="24"/>
              </w:rPr>
            </w:pPr>
          </w:p>
        </w:tc>
        <w:tc>
          <w:tcPr>
            <w:tcW w:w="1185" w:type="pct"/>
          </w:tcPr>
          <w:p w14:paraId="36B836BF" w14:textId="77777777" w:rsidR="003F4CFF" w:rsidRPr="00E3698F" w:rsidRDefault="003F4CFF" w:rsidP="003F4CFF">
            <w:pPr>
              <w:rPr>
                <w:rFonts w:ascii="Times New Roman" w:hAnsi="Times New Roman" w:cs="Times New Roman"/>
                <w:sz w:val="24"/>
                <w:szCs w:val="24"/>
              </w:rPr>
            </w:pPr>
            <w:r w:rsidRPr="00AB3DC7">
              <w:rPr>
                <w:rFonts w:ascii="Times New Roman" w:hAnsi="Times New Roman" w:cs="Times New Roman"/>
                <w:sz w:val="24"/>
                <w:szCs w:val="24"/>
              </w:rPr>
              <w:t>Значение количественного (качественного) показателя результата</w:t>
            </w:r>
          </w:p>
        </w:tc>
        <w:tc>
          <w:tcPr>
            <w:tcW w:w="3384" w:type="pct"/>
          </w:tcPr>
          <w:p w14:paraId="541910EE" w14:textId="77777777" w:rsidR="003F4CFF" w:rsidRPr="00E3698F" w:rsidRDefault="003F4CFF" w:rsidP="003F4CFF">
            <w:pPr>
              <w:jc w:val="both"/>
              <w:rPr>
                <w:rFonts w:ascii="Times New Roman" w:hAnsi="Times New Roman" w:cs="Times New Roman"/>
                <w:sz w:val="24"/>
                <w:szCs w:val="24"/>
              </w:rPr>
            </w:pPr>
            <w:r w:rsidRPr="00E53B8C">
              <w:rPr>
                <w:rFonts w:ascii="Times New Roman" w:hAnsi="Times New Roman" w:cs="Times New Roman"/>
                <w:sz w:val="24"/>
                <w:szCs w:val="24"/>
              </w:rPr>
              <w:t>На областных ярмарках цены на товары ниже на 15-30 % ниже средних розничных цен, сложившихся на территории Новосибирской области.</w:t>
            </w:r>
          </w:p>
        </w:tc>
      </w:tr>
    </w:tbl>
    <w:p w14:paraId="2AD8DC99" w14:textId="77777777" w:rsidR="009A18FC" w:rsidRDefault="009A18FC" w:rsidP="003F4CFF">
      <w:pPr>
        <w:pStyle w:val="aa"/>
        <w:spacing w:after="0"/>
        <w:outlineLvl w:val="0"/>
        <w:rPr>
          <w:rFonts w:ascii="Times New Roman" w:hAnsi="Times New Roman"/>
          <w:b/>
          <w:color w:val="C00000"/>
          <w:sz w:val="28"/>
          <w:szCs w:val="28"/>
        </w:rPr>
        <w:sectPr w:rsidR="009A18FC" w:rsidSect="00961841">
          <w:pgSz w:w="16838" w:h="11906" w:orient="landscape" w:code="9"/>
          <w:pgMar w:top="1418" w:right="1134" w:bottom="567" w:left="1134" w:header="709" w:footer="709" w:gutter="0"/>
          <w:cols w:space="708"/>
          <w:docGrid w:linePitch="360"/>
        </w:sectPr>
      </w:pPr>
      <w:bookmarkStart w:id="170" w:name="_Toc31983998"/>
      <w:bookmarkStart w:id="171" w:name="_Toc32240338"/>
      <w:bookmarkStart w:id="172" w:name="_Toc32421924"/>
    </w:p>
    <w:p w14:paraId="5C93AEB3" w14:textId="77777777" w:rsidR="003F4CFF" w:rsidRPr="00A83F60" w:rsidRDefault="003F4CFF" w:rsidP="003F4CFF">
      <w:pPr>
        <w:pStyle w:val="aa"/>
        <w:spacing w:after="0"/>
        <w:outlineLvl w:val="0"/>
        <w:rPr>
          <w:rFonts w:ascii="Times New Roman" w:hAnsi="Times New Roman"/>
          <w:b/>
          <w:sz w:val="28"/>
          <w:szCs w:val="28"/>
        </w:rPr>
      </w:pPr>
      <w:bookmarkStart w:id="173" w:name="_Toc34129203"/>
      <w:r w:rsidRPr="003B09FE">
        <w:rPr>
          <w:rFonts w:ascii="Times New Roman" w:hAnsi="Times New Roman"/>
          <w:b/>
          <w:color w:val="C00000"/>
          <w:sz w:val="28"/>
          <w:szCs w:val="28"/>
        </w:rPr>
        <w:lastRenderedPageBreak/>
        <w:t>Раздел 5. </w:t>
      </w:r>
      <w:r w:rsidRPr="00A83F60">
        <w:rPr>
          <w:rFonts w:ascii="Times New Roman" w:hAnsi="Times New Roman"/>
          <w:b/>
          <w:sz w:val="28"/>
          <w:szCs w:val="28"/>
        </w:rPr>
        <w:t>Сведения об эффекте, достигнутом при внедрении Стандарта</w:t>
      </w:r>
      <w:bookmarkEnd w:id="170"/>
      <w:bookmarkEnd w:id="171"/>
      <w:bookmarkEnd w:id="172"/>
      <w:bookmarkEnd w:id="173"/>
    </w:p>
    <w:p w14:paraId="28A1F00E" w14:textId="77777777" w:rsidR="003F4CFF" w:rsidRDefault="003F4CFF" w:rsidP="003F4CFF">
      <w:pPr>
        <w:rPr>
          <w:rFonts w:ascii="Times New Roman" w:hAnsi="Times New Roman" w:cs="Times New Roman"/>
          <w:sz w:val="24"/>
          <w:szCs w:val="24"/>
        </w:rPr>
      </w:pPr>
    </w:p>
    <w:p w14:paraId="6783198F"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В 2019 году областными исполнительными органами государственной власти Новосибирской области деятельность в сфере содействия развитию конкуренции осуществлялась согласно Стандарту развития конкуренции в субъектах Российской Федерации, утвержденного Распоряжением Правительства РФ от 17.04.2019 № 768-р (далее – Стандарт).</w:t>
      </w:r>
    </w:p>
    <w:p w14:paraId="2B785FF0"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Принят комплекс правовых актов по организации работы по содействию развитию конкуренции в Новосибирской области:</w:t>
      </w:r>
    </w:p>
    <w:p w14:paraId="44053D9F"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постановление Губернатора Новосибирской области от 22.07.2019 № 184 «О внедрении стандарта развития конкуренции в Новосибирской области»;</w:t>
      </w:r>
    </w:p>
    <w:p w14:paraId="1819E8E3"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постановление Правительства Новосибирской области от 22.07.2019 № 271-п «Об определении органа исполнительной власти Новосибирской области, уполномоченного содействовать развитию конкуренции»;</w:t>
      </w:r>
    </w:p>
    <w:p w14:paraId="35080410"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постановление Губернатора Новосибирской области от 20.12.2019 № 287 «Об утверждении перечня товарных рынков для содействия развитию конкуренции и плана мероприятий («дорожной карты») по содействию развитию конкуренции в Новосибирской области»;</w:t>
      </w:r>
    </w:p>
    <w:p w14:paraId="0F90AB1D"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постановление Губернатора Новосибирской области от 19.08.2019 № 213 «О формировании системы поощрений по результатам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w:t>
      </w:r>
    </w:p>
    <w:p w14:paraId="3C012E15" w14:textId="77777777" w:rsidR="003F4CFF" w:rsidRPr="00800E6E" w:rsidRDefault="003F4CFF" w:rsidP="003F4CFF">
      <w:pPr>
        <w:ind w:firstLine="567"/>
        <w:jc w:val="both"/>
        <w:rPr>
          <w:rFonts w:ascii="Times New Roman" w:eastAsia="Times New Roman" w:hAnsi="Times New Roman" w:cs="Times New Roman"/>
          <w:sz w:val="28"/>
          <w:szCs w:val="28"/>
        </w:rPr>
      </w:pPr>
      <w:r w:rsidRPr="00F421A7">
        <w:rPr>
          <w:rFonts w:ascii="Times New Roman" w:eastAsia="Times New Roman" w:hAnsi="Times New Roman" w:cs="Times New Roman"/>
          <w:sz w:val="28"/>
          <w:szCs w:val="28"/>
        </w:rPr>
        <w:t>приказ Минэкономразвития Новосибирской области от 27.06.2019 № 69 «О формировании рейтинга муниципальных районов и городских округов Новосибирской области в части их деятельности по содействию развитию конкуренции и обеспечению условий для благоприятного инвестиционного климата в Новосибирской области».</w:t>
      </w:r>
    </w:p>
    <w:p w14:paraId="1451BE76"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Заключены новые соглашения между министерством экономического развития Новосибирской области (уполномоченным органом) и администрациями муниципальных районов и городских округов Новосибирской области о внедрении Стандарта развития конкуренции в субъектах Российской Федерации (35 соглашений).</w:t>
      </w:r>
    </w:p>
    <w:p w14:paraId="1F047EC0"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Продолжена работа Совета по содействию развитию конкуренции в Новосибирской области. Проведено 4 заседания Совета, рассмотрено 10 вопросов.</w:t>
      </w:r>
    </w:p>
    <w:p w14:paraId="0A7F42FA"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 xml:space="preserve">Во всех областных исполнительных органах государственной власти Новосибирской области (30 органов власти) определены должностные лица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w:t>
      </w:r>
      <w:r w:rsidRPr="00800E6E">
        <w:rPr>
          <w:rFonts w:ascii="Times New Roman" w:eastAsia="Times New Roman" w:hAnsi="Times New Roman" w:cs="Times New Roman"/>
          <w:sz w:val="28"/>
          <w:szCs w:val="28"/>
        </w:rPr>
        <w:lastRenderedPageBreak/>
        <w:t>соответствующих обязанностей в должностные регламенты и положения о структурных подразделениях.</w:t>
      </w:r>
    </w:p>
    <w:p w14:paraId="4F391F46"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Организовано проведение 9 обучающих мероприятий для органов местного самоуправления по вопросам содействия развитию конкуренции.</w:t>
      </w:r>
    </w:p>
    <w:p w14:paraId="5D71B1F2"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Проведен мониторинг состояния и развития конкурентной среды на рынках товаров, работ и услуг Новосибирской области за 2019 год.</w:t>
      </w:r>
    </w:p>
    <w:p w14:paraId="6DC471DE"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 xml:space="preserve">Организация работы по содействию развитию конкуренции в Новосибирской области напрямую связана с социально-экономическим развитием региона. </w:t>
      </w:r>
    </w:p>
    <w:p w14:paraId="24515380" w14:textId="77777777" w:rsidR="003F4CFF" w:rsidRPr="00021C0D" w:rsidRDefault="003F4CFF" w:rsidP="003F4CFF">
      <w:pPr>
        <w:ind w:firstLine="567"/>
        <w:jc w:val="both"/>
        <w:rPr>
          <w:rFonts w:ascii="Times New Roman" w:eastAsia="Times New Roman" w:hAnsi="Times New Roman" w:cs="Times New Roman"/>
          <w:sz w:val="28"/>
          <w:szCs w:val="28"/>
        </w:rPr>
      </w:pPr>
      <w:r w:rsidRPr="00021C0D">
        <w:rPr>
          <w:rFonts w:ascii="Times New Roman" w:eastAsia="Times New Roman" w:hAnsi="Times New Roman" w:cs="Times New Roman"/>
          <w:sz w:val="28"/>
          <w:szCs w:val="28"/>
        </w:rPr>
        <w:t>В 2019 году социально-экономическое развитие Новосибирской области характеризуется следующими тенденциями. Валовой региональный продукт Новосибирской области по итогам 2019 года, по оценке, составил 1289,0 млрд. рублей, что на 2,9% выше уровня предыдущего года в сопоставимых ценах.</w:t>
      </w:r>
    </w:p>
    <w:p w14:paraId="5EFD2718" w14:textId="77777777" w:rsidR="003F4CFF" w:rsidRPr="00021C0D" w:rsidRDefault="003F4CFF" w:rsidP="003F4CFF">
      <w:pPr>
        <w:ind w:firstLine="567"/>
        <w:jc w:val="both"/>
        <w:rPr>
          <w:rFonts w:ascii="Times New Roman" w:eastAsia="Times New Roman" w:hAnsi="Times New Roman" w:cs="Times New Roman"/>
          <w:sz w:val="28"/>
          <w:szCs w:val="28"/>
        </w:rPr>
      </w:pPr>
      <w:r w:rsidRPr="00021C0D">
        <w:rPr>
          <w:rFonts w:ascii="Times New Roman" w:eastAsia="Times New Roman" w:hAnsi="Times New Roman" w:cs="Times New Roman"/>
          <w:sz w:val="28"/>
          <w:szCs w:val="28"/>
        </w:rPr>
        <w:t xml:space="preserve">Продолжился рост промышленного производства, индекс промышленного производства по итогам 11 месяцев 2019 года составил 102,1% в сопоставимых ценах к соответствующему периоду 2018 года. Драйверами роста выступают хозяйствующие субъекты, ведущие деятельность в следующих видах деятельности: добыча полезных ископаемых, производство кокса и нефтепродуктов, производство компьютеров, электронных и оптических изделий, производство химических веществ и химических продуктов, производство электрического оборудования, производство металлургическое. </w:t>
      </w:r>
    </w:p>
    <w:p w14:paraId="30D1BC81" w14:textId="77777777" w:rsidR="003F4CFF" w:rsidRPr="00021C0D" w:rsidRDefault="003F4CFF" w:rsidP="003F4CFF">
      <w:pPr>
        <w:ind w:firstLine="567"/>
        <w:jc w:val="both"/>
        <w:rPr>
          <w:rFonts w:ascii="Times New Roman" w:eastAsia="Times New Roman" w:hAnsi="Times New Roman" w:cs="Times New Roman"/>
          <w:sz w:val="28"/>
          <w:szCs w:val="28"/>
        </w:rPr>
      </w:pPr>
      <w:r w:rsidRPr="00021C0D">
        <w:rPr>
          <w:rFonts w:ascii="Times New Roman" w:eastAsia="Times New Roman" w:hAnsi="Times New Roman" w:cs="Times New Roman"/>
          <w:sz w:val="28"/>
          <w:szCs w:val="28"/>
        </w:rPr>
        <w:t>Увеличились объемы производства продукции сельского хозяйства</w:t>
      </w:r>
      <w:r w:rsidRPr="00800E6E">
        <w:rPr>
          <w:rFonts w:ascii="Times New Roman" w:eastAsia="Times New Roman" w:hAnsi="Times New Roman" w:cs="Times New Roman"/>
          <w:sz w:val="28"/>
          <w:szCs w:val="28"/>
        </w:rPr>
        <w:t xml:space="preserve"> и пищевой и перерабатывающей промышленности. </w:t>
      </w:r>
      <w:r w:rsidRPr="00021C0D">
        <w:rPr>
          <w:rFonts w:ascii="Times New Roman" w:eastAsia="Times New Roman" w:hAnsi="Times New Roman" w:cs="Times New Roman"/>
          <w:sz w:val="28"/>
          <w:szCs w:val="28"/>
        </w:rPr>
        <w:t>В 2019 году объем валовой продукции сельского хозяйства, произведенной в хозяйствах всех категорий, по оценке, составит 84,5 млрд. рублей, индекс объема производства оценивается в 102,2% к уровню 2018 года. Валовой сбор зерна в весе после доработки составил, по оценке, 2,43 млн. тонн (97,5% к уровню 2018 года) при средней урожайности 17,2 ц/га. По площади посева зерновых культур и валовому сбору зерна Новосибирская область занимает 3 место среди регионов Сибирского федерального округа.</w:t>
      </w:r>
    </w:p>
    <w:p w14:paraId="79397335" w14:textId="77777777" w:rsidR="003F4CFF" w:rsidRPr="00021C0D" w:rsidRDefault="003F4CFF" w:rsidP="003F4CFF">
      <w:pPr>
        <w:ind w:firstLine="567"/>
        <w:jc w:val="both"/>
        <w:rPr>
          <w:rFonts w:ascii="Times New Roman" w:eastAsia="Times New Roman" w:hAnsi="Times New Roman" w:cs="Times New Roman"/>
          <w:sz w:val="28"/>
          <w:szCs w:val="28"/>
        </w:rPr>
      </w:pPr>
      <w:r w:rsidRPr="00021C0D">
        <w:rPr>
          <w:rFonts w:ascii="Times New Roman" w:eastAsia="Times New Roman" w:hAnsi="Times New Roman" w:cs="Times New Roman"/>
          <w:sz w:val="28"/>
          <w:szCs w:val="28"/>
        </w:rPr>
        <w:t>По итогам 2019 года ожидается увеличение производства мясных полуфабрикатов на 7%, масла сливочного на 15,7%, молока и сливок сухих, сублимированных в 1,7 раза, сыров в 1,8 раза, хлеба и хлебобулочных изделий на 7-8%, минеральных вод на 18%.</w:t>
      </w:r>
    </w:p>
    <w:p w14:paraId="2C05A9FF" w14:textId="77777777" w:rsidR="003F4CFF" w:rsidRPr="00021C0D" w:rsidRDefault="003F4CFF" w:rsidP="003F4CFF">
      <w:pPr>
        <w:ind w:firstLine="567"/>
        <w:jc w:val="both"/>
        <w:rPr>
          <w:rFonts w:ascii="Times New Roman" w:eastAsia="Times New Roman" w:hAnsi="Times New Roman" w:cs="Times New Roman"/>
          <w:sz w:val="28"/>
          <w:szCs w:val="28"/>
        </w:rPr>
      </w:pPr>
      <w:r w:rsidRPr="00021C0D">
        <w:rPr>
          <w:rFonts w:ascii="Times New Roman" w:eastAsia="Times New Roman" w:hAnsi="Times New Roman" w:cs="Times New Roman"/>
          <w:sz w:val="28"/>
          <w:szCs w:val="28"/>
        </w:rPr>
        <w:t>Растет инвестиционная активность в регионе (по итогам 9 месяцев 2019 года индекс физического объема инвестиций в основной капитал составил 113,3% к соответствующему периоду 2018 года в сопоставимых ценах).</w:t>
      </w:r>
    </w:p>
    <w:p w14:paraId="70576B48" w14:textId="77777777" w:rsidR="003F4CFF" w:rsidRPr="00021C0D" w:rsidRDefault="003F4CFF" w:rsidP="003F4CFF">
      <w:pPr>
        <w:ind w:firstLine="567"/>
        <w:jc w:val="both"/>
        <w:rPr>
          <w:rFonts w:ascii="Times New Roman" w:eastAsia="Times New Roman" w:hAnsi="Times New Roman" w:cs="Times New Roman"/>
          <w:sz w:val="28"/>
          <w:szCs w:val="28"/>
        </w:rPr>
      </w:pPr>
      <w:r w:rsidRPr="00021C0D">
        <w:rPr>
          <w:rFonts w:ascii="Times New Roman" w:eastAsia="Times New Roman" w:hAnsi="Times New Roman" w:cs="Times New Roman"/>
          <w:sz w:val="28"/>
          <w:szCs w:val="28"/>
        </w:rPr>
        <w:t xml:space="preserve">Наиболее привлекательными для инвестирования отмечены следующие виды экономической деятельности: «Транспортировка и хранение», «Деятельность по операциям с недвижимым имуществом», «Обрабатывающие производства», «Деятельность в области информации и связи», «Образование». </w:t>
      </w:r>
    </w:p>
    <w:p w14:paraId="64BBAC94" w14:textId="77777777" w:rsidR="003F4CFF" w:rsidRPr="00021C0D" w:rsidRDefault="003F4CFF" w:rsidP="003F4CFF">
      <w:pPr>
        <w:ind w:firstLine="567"/>
        <w:jc w:val="both"/>
        <w:rPr>
          <w:rFonts w:ascii="Times New Roman" w:eastAsia="Times New Roman" w:hAnsi="Times New Roman" w:cs="Times New Roman"/>
          <w:sz w:val="28"/>
          <w:szCs w:val="28"/>
        </w:rPr>
      </w:pPr>
      <w:r w:rsidRPr="00021C0D">
        <w:rPr>
          <w:rFonts w:ascii="Times New Roman" w:eastAsia="Times New Roman" w:hAnsi="Times New Roman" w:cs="Times New Roman"/>
          <w:sz w:val="28"/>
          <w:szCs w:val="28"/>
        </w:rPr>
        <w:t>В 2019 году регион сохранил свои позиции в двадцатке лидеров, вновь заняв 19</w:t>
      </w:r>
      <w:r>
        <w:rPr>
          <w:rFonts w:ascii="Times New Roman" w:eastAsia="Times New Roman" w:hAnsi="Times New Roman" w:cs="Times New Roman"/>
          <w:sz w:val="28"/>
          <w:szCs w:val="28"/>
        </w:rPr>
        <w:t>-е</w:t>
      </w:r>
      <w:r w:rsidRPr="00021C0D">
        <w:rPr>
          <w:rFonts w:ascii="Times New Roman" w:eastAsia="Times New Roman" w:hAnsi="Times New Roman" w:cs="Times New Roman"/>
          <w:sz w:val="28"/>
          <w:szCs w:val="28"/>
        </w:rPr>
        <w:t xml:space="preserve"> место, улучшив при этом интегральный индекс на 11,7 баллов. Данный результат был достигнут за счет системной работы 43 организаций и ведомств федерального, регионального и муниципального уровней.</w:t>
      </w:r>
    </w:p>
    <w:p w14:paraId="0ED89AB0" w14:textId="77777777" w:rsidR="003F4CFF" w:rsidRDefault="003F4CFF" w:rsidP="003F4CFF">
      <w:pPr>
        <w:ind w:firstLine="567"/>
        <w:jc w:val="both"/>
        <w:rPr>
          <w:rFonts w:ascii="Times New Roman" w:eastAsia="Times New Roman" w:hAnsi="Times New Roman" w:cs="Times New Roman"/>
          <w:sz w:val="28"/>
          <w:szCs w:val="28"/>
        </w:rPr>
      </w:pPr>
      <w:r w:rsidRPr="00021C0D">
        <w:rPr>
          <w:rFonts w:ascii="Times New Roman" w:eastAsia="Times New Roman" w:hAnsi="Times New Roman" w:cs="Times New Roman"/>
          <w:sz w:val="28"/>
          <w:szCs w:val="28"/>
        </w:rPr>
        <w:lastRenderedPageBreak/>
        <w:t>Несмотря на позитивные изменения в привлечении инвестиций на территорию Новосибирской области, ситуация в сфере строительства все еще остается сложной. Следует отметить, что в 2019 году падение объема работ, выполненных по виду деятельности «Строительство», замедлилось (за</w:t>
      </w:r>
      <w:r w:rsidRPr="00800E6E">
        <w:rPr>
          <w:rFonts w:ascii="Times New Roman" w:eastAsia="Times New Roman" w:hAnsi="Times New Roman" w:cs="Times New Roman"/>
          <w:sz w:val="28"/>
          <w:szCs w:val="28"/>
        </w:rPr>
        <w:t> </w:t>
      </w:r>
      <w:r w:rsidRPr="00021C0D">
        <w:rPr>
          <w:rFonts w:ascii="Times New Roman" w:eastAsia="Times New Roman" w:hAnsi="Times New Roman" w:cs="Times New Roman"/>
          <w:sz w:val="28"/>
          <w:szCs w:val="28"/>
        </w:rPr>
        <w:t>11 месяцев 2019 года снижение составило 1,9% к уровню января-ноября 2018 года).</w:t>
      </w:r>
    </w:p>
    <w:p w14:paraId="26B2FB26"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Среди субъектов Российской Федерации по объемам жилищного строительства за январь – октябрь 2019 года Новосибирская область занимает 11-е место, введя на территории региона 2,1% от сданной в эксплуатацию общей площади жилья по России в целом.</w:t>
      </w:r>
    </w:p>
    <w:p w14:paraId="3B59B6E6"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Новосибирская область на протяжении последних лет уверенно лидирует среди регионов Сибирского федерального округа по масштабам жилищного строительства и является одним из передовых регионов России по объёму вводимого жилья.</w:t>
      </w:r>
    </w:p>
    <w:p w14:paraId="7BCA6414"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За 10 месяцев 2019 года в Сибирском федеральном округе Новосибирская область занимает 1-е место по объёму введенного жилья.</w:t>
      </w:r>
    </w:p>
    <w:p w14:paraId="1E6E3AE5"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В рамках реализации регионального проекта «Жильё» за январь – ноябрь 2019 года введено в эксплуатацию 1 223,7 тыс. кв. м жилья (100,2 % к аналогичному периоду 2018 года), или 16 888 квартир.</w:t>
      </w:r>
    </w:p>
    <w:p w14:paraId="05D61EC3"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 xml:space="preserve">В январе-сентябре 2019 года в Новосибирской области наблюдался рост заработной платы как в номинальном, так и в реальном выражении. При этом динамика роста по сравнению с аналогичным периодом предыдущего года замедлилась. Рост среднемесячной номинальной заработная платы в январе-сентябре 2019 года составил 106,3% (2017 г. – 107,8%, 2018 г. – 108,3%) и наблюдался во всех видах экономической деятельности. Индекс реальной заработной платы в январе-сентябре 2019 года составил 101,6% (2018 г. – 107,1%). </w:t>
      </w:r>
    </w:p>
    <w:p w14:paraId="0266E1D4"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 xml:space="preserve">Среднедушевые денежные доходы населения области за январь-сентябрь 2019 года сложились в размере 28 307 рублей, что на 4,7% выше, чем в январе-сентябре 2018 года. При этом динамика реальных располагаемых денежных доходов составила 99,5%. В структуре денежных доходов доходы от трудовой деятельности составляют 74,7%, социальные выплаты, включая пенсии, – 21,4%, доходы от собственности – 3,9%. Покупательная способность денежных доходов сложилась на уровне аналогичного периода предыдущего года – 2,5 раз к прожиточному минимуму. В расходах доля трат на потребительские нужды в общем объеме денежных расходов составила 75,4%, 12,8% – прочие расходы, 11,8% – </w:t>
      </w:r>
      <w:r>
        <w:rPr>
          <w:rFonts w:ascii="Times New Roman" w:eastAsia="Times New Roman" w:hAnsi="Times New Roman" w:cs="Times New Roman"/>
          <w:sz w:val="28"/>
          <w:szCs w:val="28"/>
        </w:rPr>
        <w:t>обязательные платежи и взносы.</w:t>
      </w:r>
    </w:p>
    <w:p w14:paraId="3FF24454" w14:textId="77777777" w:rsidR="003F4CFF" w:rsidRPr="00D45FDF" w:rsidRDefault="003F4CFF" w:rsidP="003F4CFF">
      <w:pPr>
        <w:ind w:firstLine="567"/>
        <w:jc w:val="both"/>
        <w:rPr>
          <w:rFonts w:ascii="Times New Roman" w:eastAsia="Times New Roman" w:hAnsi="Times New Roman" w:cs="Times New Roman"/>
          <w:sz w:val="28"/>
          <w:szCs w:val="28"/>
        </w:rPr>
      </w:pPr>
      <w:r w:rsidRPr="00D45FDF">
        <w:rPr>
          <w:rFonts w:ascii="Times New Roman" w:eastAsia="Times New Roman" w:hAnsi="Times New Roman" w:cs="Times New Roman"/>
          <w:sz w:val="28"/>
          <w:szCs w:val="28"/>
        </w:rPr>
        <w:t>В изменившихся с 2019 года условиях (повышение ставки по НДС на 2 п.п.) в Новосибирской области отмечается достаточно стабильный спрос на товары и услуги. Оборот розничной торговли за январь-</w:t>
      </w:r>
      <w:r w:rsidR="009E106C">
        <w:rPr>
          <w:rFonts w:ascii="Times New Roman" w:eastAsia="Times New Roman" w:hAnsi="Times New Roman" w:cs="Times New Roman"/>
          <w:sz w:val="28"/>
          <w:szCs w:val="28"/>
        </w:rPr>
        <w:t>ноябрь 2019 года составил 477,1 </w:t>
      </w:r>
      <w:r w:rsidRPr="00D45FDF">
        <w:rPr>
          <w:rFonts w:ascii="Times New Roman" w:eastAsia="Times New Roman" w:hAnsi="Times New Roman" w:cs="Times New Roman"/>
          <w:sz w:val="28"/>
          <w:szCs w:val="28"/>
        </w:rPr>
        <w:t>млрд. рублей, с индексом физического объема оборота в сопоставимых ценах к соответствующему периоду 2018 года – 102,1%. За 11 месяцев 2019 года оборот общественного питания вырос на 9,4% к соответствующему уровню 2018 года, объем платных услуг составил 153,1 млрд. рублей, что на 1,1% ниже соответствующего периода 2018 года.</w:t>
      </w:r>
    </w:p>
    <w:p w14:paraId="4C341AD7" w14:textId="77777777" w:rsidR="003F4CFF" w:rsidRDefault="003F4CFF" w:rsidP="003F4CFF">
      <w:pPr>
        <w:ind w:firstLine="567"/>
        <w:jc w:val="both"/>
        <w:rPr>
          <w:rFonts w:ascii="Times New Roman" w:eastAsia="Times New Roman" w:hAnsi="Times New Roman" w:cs="Times New Roman"/>
          <w:sz w:val="28"/>
          <w:szCs w:val="28"/>
        </w:rPr>
      </w:pPr>
      <w:r w:rsidRPr="00D45FDF">
        <w:rPr>
          <w:rFonts w:ascii="Times New Roman" w:eastAsia="Times New Roman" w:hAnsi="Times New Roman" w:cs="Times New Roman"/>
          <w:sz w:val="28"/>
          <w:szCs w:val="28"/>
        </w:rPr>
        <w:lastRenderedPageBreak/>
        <w:t>Динамика основных демографических</w:t>
      </w:r>
      <w:r w:rsidRPr="00D14D1B">
        <w:rPr>
          <w:rFonts w:ascii="Times New Roman" w:eastAsia="Times New Roman" w:hAnsi="Times New Roman" w:cs="Times New Roman"/>
          <w:sz w:val="28"/>
          <w:szCs w:val="28"/>
        </w:rPr>
        <w:t xml:space="preserve"> показателей Новосибирской области характеризовалась естественной убылью населения, снижением показателей рождаемости, смертности и ростом миграционного и общего прироста населения. </w:t>
      </w:r>
    </w:p>
    <w:p w14:paraId="05F69029" w14:textId="77777777" w:rsidR="003F4CFF" w:rsidRDefault="003F4CFF" w:rsidP="003F4CFF">
      <w:pPr>
        <w:ind w:firstLine="567"/>
        <w:jc w:val="both"/>
        <w:rPr>
          <w:rFonts w:ascii="Times New Roman" w:eastAsia="Times New Roman" w:hAnsi="Times New Roman" w:cs="Times New Roman"/>
          <w:sz w:val="28"/>
          <w:szCs w:val="28"/>
        </w:rPr>
      </w:pPr>
      <w:r w:rsidRPr="00D14D1B">
        <w:rPr>
          <w:rFonts w:ascii="Times New Roman" w:eastAsia="Times New Roman" w:hAnsi="Times New Roman" w:cs="Times New Roman"/>
          <w:sz w:val="28"/>
          <w:szCs w:val="28"/>
        </w:rPr>
        <w:t>В январе-сентябре 2019 года в области зарегистрировано 22</w:t>
      </w:r>
      <w:r>
        <w:rPr>
          <w:rFonts w:ascii="Times New Roman" w:eastAsia="Times New Roman" w:hAnsi="Times New Roman" w:cs="Times New Roman"/>
          <w:sz w:val="28"/>
          <w:szCs w:val="28"/>
        </w:rPr>
        <w:t xml:space="preserve"> </w:t>
      </w:r>
      <w:r w:rsidRPr="00D14D1B">
        <w:rPr>
          <w:rFonts w:ascii="Times New Roman" w:eastAsia="Times New Roman" w:hAnsi="Times New Roman" w:cs="Times New Roman"/>
          <w:sz w:val="28"/>
          <w:szCs w:val="28"/>
        </w:rPr>
        <w:t xml:space="preserve">723 рождения детей, что на 1909 человек меньше по сравнению с январем-сентябрем 2018 года. При этом коэффициент рождаемости снизился с 11,8 промилле (родившихся на 1000 человек населения) до 10,9. Снизилась смертность населения. По сравнению с анализируемым периодом </w:t>
      </w:r>
      <w:r>
        <w:rPr>
          <w:rFonts w:ascii="Times New Roman" w:eastAsia="Times New Roman" w:hAnsi="Times New Roman" w:cs="Times New Roman"/>
          <w:sz w:val="28"/>
          <w:szCs w:val="28"/>
        </w:rPr>
        <w:t>2018</w:t>
      </w:r>
      <w:r w:rsidRPr="00D14D1B">
        <w:rPr>
          <w:rFonts w:ascii="Times New Roman" w:eastAsia="Times New Roman" w:hAnsi="Times New Roman" w:cs="Times New Roman"/>
          <w:sz w:val="28"/>
          <w:szCs w:val="28"/>
        </w:rPr>
        <w:t xml:space="preserve"> года численность умерших уменьшилась на 311 человек и составила 26</w:t>
      </w:r>
      <w:r w:rsidR="006D3D11">
        <w:rPr>
          <w:rFonts w:ascii="Times New Roman" w:eastAsia="Times New Roman" w:hAnsi="Times New Roman" w:cs="Times New Roman"/>
          <w:sz w:val="28"/>
          <w:szCs w:val="28"/>
        </w:rPr>
        <w:t xml:space="preserve"> </w:t>
      </w:r>
      <w:r w:rsidRPr="00D14D1B">
        <w:rPr>
          <w:rFonts w:ascii="Times New Roman" w:eastAsia="Times New Roman" w:hAnsi="Times New Roman" w:cs="Times New Roman"/>
          <w:sz w:val="28"/>
          <w:szCs w:val="28"/>
        </w:rPr>
        <w:t xml:space="preserve">948 человек, при этом коэффициент смертности уменьшился с 13,1 промилле (умерших на 1000 человек населения) до 12,9. Численность умерших превысила численность родившихся на 4225 человек – в 1,6 раза выше, чем в аналогичном периоде 2018 года, что свидетельствует об усилении процесса естественной убыли населения. </w:t>
      </w:r>
    </w:p>
    <w:p w14:paraId="5F053781" w14:textId="77777777" w:rsidR="003F4CFF" w:rsidRDefault="003F4CFF" w:rsidP="003F4CFF">
      <w:pPr>
        <w:ind w:firstLine="567"/>
        <w:jc w:val="both"/>
        <w:rPr>
          <w:rFonts w:ascii="Times New Roman" w:eastAsia="Times New Roman" w:hAnsi="Times New Roman" w:cs="Times New Roman"/>
          <w:sz w:val="28"/>
          <w:szCs w:val="28"/>
        </w:rPr>
      </w:pPr>
      <w:r w:rsidRPr="00D14D1B">
        <w:rPr>
          <w:rFonts w:ascii="Times New Roman" w:eastAsia="Times New Roman" w:hAnsi="Times New Roman" w:cs="Times New Roman"/>
          <w:sz w:val="28"/>
          <w:szCs w:val="28"/>
        </w:rPr>
        <w:t>К факторам, влияющим на общую численность населения</w:t>
      </w:r>
      <w:r>
        <w:rPr>
          <w:rFonts w:ascii="Times New Roman" w:eastAsia="Times New Roman" w:hAnsi="Times New Roman" w:cs="Times New Roman"/>
          <w:sz w:val="28"/>
          <w:szCs w:val="28"/>
        </w:rPr>
        <w:t>,</w:t>
      </w:r>
      <w:r w:rsidRPr="00D14D1B">
        <w:rPr>
          <w:rFonts w:ascii="Times New Roman" w:eastAsia="Times New Roman" w:hAnsi="Times New Roman" w:cs="Times New Roman"/>
          <w:sz w:val="28"/>
          <w:szCs w:val="28"/>
        </w:rPr>
        <w:t xml:space="preserve"> также относятся миграционные процессы. В январе-сентябре 2019 года сальдо миграции увеличилось в 2,3 раза – это произошло в основном за счет увеличения миграционного обмена населением с регионами России. В результате общий миграционный прирост по области составил 7078 человек, что позволяет компенсировать общий объем естественной убыли, обеспечивая рост общей численности населения области. </w:t>
      </w:r>
    </w:p>
    <w:p w14:paraId="662F3C0F" w14:textId="77777777" w:rsidR="003F4CFF" w:rsidRDefault="003F4CFF" w:rsidP="003F4CFF">
      <w:pPr>
        <w:ind w:firstLine="567"/>
        <w:jc w:val="both"/>
        <w:rPr>
          <w:rFonts w:ascii="Times New Roman" w:eastAsia="Times New Roman" w:hAnsi="Times New Roman" w:cs="Times New Roman"/>
          <w:sz w:val="28"/>
          <w:szCs w:val="28"/>
        </w:rPr>
      </w:pPr>
      <w:r w:rsidRPr="00D14D1B">
        <w:rPr>
          <w:rFonts w:ascii="Times New Roman" w:eastAsia="Times New Roman" w:hAnsi="Times New Roman" w:cs="Times New Roman"/>
          <w:sz w:val="28"/>
          <w:szCs w:val="28"/>
        </w:rPr>
        <w:t>На 1 октября численность населения Новосиб</w:t>
      </w:r>
      <w:r w:rsidR="00645C46">
        <w:rPr>
          <w:rFonts w:ascii="Times New Roman" w:eastAsia="Times New Roman" w:hAnsi="Times New Roman" w:cs="Times New Roman"/>
          <w:sz w:val="28"/>
          <w:szCs w:val="28"/>
        </w:rPr>
        <w:t>ирской области составила 2796,1 </w:t>
      </w:r>
      <w:r w:rsidRPr="00D14D1B">
        <w:rPr>
          <w:rFonts w:ascii="Times New Roman" w:eastAsia="Times New Roman" w:hAnsi="Times New Roman" w:cs="Times New Roman"/>
          <w:sz w:val="28"/>
          <w:szCs w:val="28"/>
        </w:rPr>
        <w:t xml:space="preserve">тыс. человек, что на 2,8 тыс. человек больше по сравнению с численностью на 1 января 2019 года. </w:t>
      </w:r>
    </w:p>
    <w:p w14:paraId="3D1FF061" w14:textId="77777777" w:rsidR="003F4CFF" w:rsidRPr="00021C0D" w:rsidRDefault="003F4CFF" w:rsidP="003F4CFF">
      <w:pPr>
        <w:ind w:firstLine="567"/>
        <w:jc w:val="both"/>
        <w:rPr>
          <w:rFonts w:ascii="Times New Roman" w:eastAsia="Times New Roman" w:hAnsi="Times New Roman" w:cs="Times New Roman"/>
          <w:sz w:val="28"/>
          <w:szCs w:val="28"/>
        </w:rPr>
      </w:pPr>
      <w:r w:rsidRPr="00D14D1B">
        <w:rPr>
          <w:rFonts w:ascii="Times New Roman" w:eastAsia="Times New Roman" w:hAnsi="Times New Roman" w:cs="Times New Roman"/>
          <w:sz w:val="28"/>
          <w:szCs w:val="28"/>
        </w:rPr>
        <w:t xml:space="preserve">Влияние демографических факторов на рынок труда, связанных с особенностями формирования численности населения (естественной убылью, снижением в его составе трудоспособного населения, ростом численности лиц пенсионного возраста), привело к </w:t>
      </w:r>
      <w:r>
        <w:rPr>
          <w:rFonts w:ascii="Times New Roman" w:eastAsia="Times New Roman" w:hAnsi="Times New Roman" w:cs="Times New Roman"/>
          <w:sz w:val="28"/>
          <w:szCs w:val="28"/>
        </w:rPr>
        <w:t xml:space="preserve">некоторому </w:t>
      </w:r>
      <w:r w:rsidRPr="00D14D1B">
        <w:rPr>
          <w:rFonts w:ascii="Times New Roman" w:eastAsia="Times New Roman" w:hAnsi="Times New Roman" w:cs="Times New Roman"/>
          <w:sz w:val="28"/>
          <w:szCs w:val="28"/>
        </w:rPr>
        <w:t>снижению трудового потенциала в регионе. Численность рабочей силы в Новосибирской области в III квартале 2019 года составила 1424,1 тыс. человек, что на 7,4 тыс. человек меньше, чем в том же периоде 2018 года. Уровень участия в рабочей силе составил 62,1% (по Сибирскому федеральному округу – 61,6%). В составе рабочей силы численность занятого населения снизилась на 0,6 тыс. человек, уровень занятости составил 58,2% (по СФО – 57,2%). Уровень официальной безработицы составил 0,9% (по СФО – 1,1%). Важным показателем рынка труда является среднесписочная численность работников организаций. В</w:t>
      </w:r>
      <w:r>
        <w:rPr>
          <w:rFonts w:ascii="Times New Roman" w:eastAsia="Times New Roman" w:hAnsi="Times New Roman" w:cs="Times New Roman"/>
          <w:sz w:val="28"/>
          <w:szCs w:val="28"/>
        </w:rPr>
        <w:t> </w:t>
      </w:r>
      <w:r w:rsidRPr="00D14D1B">
        <w:rPr>
          <w:rFonts w:ascii="Times New Roman" w:eastAsia="Times New Roman" w:hAnsi="Times New Roman" w:cs="Times New Roman"/>
          <w:sz w:val="28"/>
          <w:szCs w:val="28"/>
        </w:rPr>
        <w:t xml:space="preserve">январе-сентябре 2019 года среднесписочная численность работников предприятий и организаций Новосибирской области увеличилась на 1,6% и </w:t>
      </w:r>
      <w:r w:rsidRPr="00D45FDF">
        <w:rPr>
          <w:rFonts w:ascii="Times New Roman" w:eastAsia="Times New Roman" w:hAnsi="Times New Roman" w:cs="Times New Roman"/>
          <w:sz w:val="28"/>
          <w:szCs w:val="28"/>
        </w:rPr>
        <w:t>составила 933,5 тыс. человек.</w:t>
      </w:r>
    </w:p>
    <w:p w14:paraId="0D55866B" w14:textId="77777777" w:rsidR="003F4CFF" w:rsidRPr="00021C0D" w:rsidRDefault="003F4CFF" w:rsidP="002858B1">
      <w:pPr>
        <w:ind w:firstLine="567"/>
        <w:jc w:val="both"/>
        <w:rPr>
          <w:rFonts w:ascii="Times New Roman" w:eastAsia="Times New Roman" w:hAnsi="Times New Roman" w:cs="Times New Roman"/>
          <w:sz w:val="28"/>
          <w:szCs w:val="28"/>
        </w:rPr>
      </w:pPr>
      <w:r w:rsidRPr="00021C0D">
        <w:rPr>
          <w:rFonts w:ascii="Times New Roman" w:eastAsia="Times New Roman" w:hAnsi="Times New Roman" w:cs="Times New Roman"/>
          <w:sz w:val="28"/>
          <w:szCs w:val="28"/>
        </w:rPr>
        <w:t xml:space="preserve">В 2019 году в целях формирования системы стратегического планирования Новосибирской области в рамках реализации Федерального закона от 28.06.2014 № 172-ФЗ «О стратегическом планировании в Российской Федерации» принята </w:t>
      </w:r>
      <w:r>
        <w:rPr>
          <w:rFonts w:ascii="Times New Roman" w:eastAsia="Times New Roman" w:hAnsi="Times New Roman" w:cs="Times New Roman"/>
          <w:sz w:val="28"/>
          <w:szCs w:val="28"/>
        </w:rPr>
        <w:t>с</w:t>
      </w:r>
      <w:r w:rsidRPr="00021C0D">
        <w:rPr>
          <w:rFonts w:ascii="Times New Roman" w:eastAsia="Times New Roman" w:hAnsi="Times New Roman" w:cs="Times New Roman"/>
          <w:sz w:val="28"/>
          <w:szCs w:val="28"/>
        </w:rPr>
        <w:t>тратегия социально-экономического развития Новосибирской области на период до 2030 года (утверждена постановлением Правительства Новосибирск</w:t>
      </w:r>
      <w:r>
        <w:rPr>
          <w:rFonts w:ascii="Times New Roman" w:eastAsia="Times New Roman" w:hAnsi="Times New Roman" w:cs="Times New Roman"/>
          <w:sz w:val="28"/>
          <w:szCs w:val="28"/>
        </w:rPr>
        <w:t>ой области от 19.03.2019 №105-п</w:t>
      </w:r>
      <w:r w:rsidRPr="00021C0D">
        <w:rPr>
          <w:rFonts w:ascii="Times New Roman" w:eastAsia="Times New Roman" w:hAnsi="Times New Roman" w:cs="Times New Roman"/>
          <w:sz w:val="28"/>
          <w:szCs w:val="28"/>
        </w:rPr>
        <w:t>) и разработан план мероприятий по ее реализации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(утвержден постановлением Правительства Новосибирской области от 31.12.2019 № 514-п)</w:t>
      </w:r>
      <w:r w:rsidRPr="00021C0D">
        <w:rPr>
          <w:rFonts w:ascii="Times New Roman" w:eastAsia="Times New Roman" w:hAnsi="Times New Roman" w:cs="Times New Roman"/>
          <w:sz w:val="28"/>
          <w:szCs w:val="28"/>
        </w:rPr>
        <w:t>.</w:t>
      </w:r>
    </w:p>
    <w:p w14:paraId="25126DCC" w14:textId="77777777" w:rsidR="003F4CFF" w:rsidRPr="00021C0D" w:rsidRDefault="003F4CFF" w:rsidP="002858B1">
      <w:pPr>
        <w:ind w:firstLine="567"/>
        <w:jc w:val="both"/>
        <w:rPr>
          <w:rFonts w:ascii="Times New Roman" w:eastAsia="Times New Roman" w:hAnsi="Times New Roman" w:cs="Times New Roman"/>
          <w:sz w:val="28"/>
          <w:szCs w:val="28"/>
        </w:rPr>
      </w:pPr>
      <w:r w:rsidRPr="00021C0D">
        <w:rPr>
          <w:rFonts w:ascii="Times New Roman" w:eastAsia="Times New Roman" w:hAnsi="Times New Roman" w:cs="Times New Roman"/>
          <w:sz w:val="28"/>
          <w:szCs w:val="28"/>
        </w:rPr>
        <w:t>В течение</w:t>
      </w:r>
      <w:r w:rsidR="006D3D11">
        <w:rPr>
          <w:rFonts w:ascii="Times New Roman" w:eastAsia="Times New Roman" w:hAnsi="Times New Roman" w:cs="Times New Roman"/>
          <w:sz w:val="28"/>
          <w:szCs w:val="28"/>
        </w:rPr>
        <w:t xml:space="preserve"> отчетного</w:t>
      </w:r>
      <w:r w:rsidRPr="00021C0D">
        <w:rPr>
          <w:rFonts w:ascii="Times New Roman" w:eastAsia="Times New Roman" w:hAnsi="Times New Roman" w:cs="Times New Roman"/>
          <w:sz w:val="28"/>
          <w:szCs w:val="28"/>
        </w:rPr>
        <w:t xml:space="preserve"> года были реализованы мероприятия 31 государственной программы Новосибирской области и 5 ведомственных целевых программ Новосибирской области, направленных на развитие экономики и социальной сферы.</w:t>
      </w:r>
    </w:p>
    <w:p w14:paraId="4F0AE40E" w14:textId="77777777" w:rsidR="003F4CFF"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Основные показатели социально-экономического развития Новосибирской области за 2019 год представлены в таблице 3</w:t>
      </w:r>
      <w:r w:rsidR="006D3D11">
        <w:rPr>
          <w:rFonts w:ascii="Times New Roman" w:eastAsia="Times New Roman" w:hAnsi="Times New Roman" w:cs="Times New Roman"/>
          <w:sz w:val="28"/>
          <w:szCs w:val="28"/>
        </w:rPr>
        <w:t>6</w:t>
      </w:r>
      <w:r w:rsidRPr="00800E6E">
        <w:rPr>
          <w:rFonts w:ascii="Times New Roman" w:eastAsia="Times New Roman" w:hAnsi="Times New Roman" w:cs="Times New Roman"/>
          <w:sz w:val="28"/>
          <w:szCs w:val="28"/>
        </w:rPr>
        <w:t xml:space="preserve">. </w:t>
      </w:r>
    </w:p>
    <w:p w14:paraId="6FDBC8B8" w14:textId="77777777" w:rsidR="00512FD0" w:rsidRDefault="00512FD0" w:rsidP="00512FD0">
      <w:pPr>
        <w:rPr>
          <w:rFonts w:ascii="Times New Roman" w:eastAsia="Times New Roman" w:hAnsi="Times New Roman"/>
          <w:sz w:val="28"/>
          <w:szCs w:val="28"/>
        </w:rPr>
      </w:pPr>
    </w:p>
    <w:p w14:paraId="5DB040AA" w14:textId="77777777" w:rsidR="00512FD0" w:rsidRPr="00065DCF" w:rsidRDefault="00512FD0" w:rsidP="00512FD0">
      <w:pPr>
        <w:jc w:val="both"/>
        <w:rPr>
          <w:rFonts w:ascii="Times New Roman" w:eastAsia="Times New Roman" w:hAnsi="Times New Roman"/>
          <w:sz w:val="24"/>
          <w:szCs w:val="24"/>
        </w:rPr>
      </w:pPr>
      <w:r w:rsidRPr="00800E6E">
        <w:rPr>
          <w:rFonts w:ascii="Times New Roman" w:eastAsia="Times New Roman" w:hAnsi="Times New Roman"/>
          <w:sz w:val="28"/>
          <w:szCs w:val="28"/>
        </w:rPr>
        <w:t>Таблица 3</w:t>
      </w:r>
      <w:r w:rsidR="006D3D11">
        <w:rPr>
          <w:rFonts w:ascii="Times New Roman" w:eastAsia="Times New Roman" w:hAnsi="Times New Roman"/>
          <w:sz w:val="28"/>
          <w:szCs w:val="28"/>
        </w:rPr>
        <w:t>6</w:t>
      </w:r>
      <w:r w:rsidRPr="00800E6E">
        <w:rPr>
          <w:rFonts w:ascii="Times New Roman" w:eastAsia="Times New Roman" w:hAnsi="Times New Roman"/>
          <w:sz w:val="28"/>
          <w:szCs w:val="28"/>
        </w:rPr>
        <w:t> – Основные показатели социально-экономического развития Новосибирской области за 2019 год</w:t>
      </w:r>
    </w:p>
    <w:tbl>
      <w:tblPr>
        <w:tblStyle w:val="100"/>
        <w:tblW w:w="5000" w:type="pct"/>
        <w:tblLook w:val="0600" w:firstRow="0" w:lastRow="0" w:firstColumn="0" w:lastColumn="0" w:noHBand="1" w:noVBand="1"/>
      </w:tblPr>
      <w:tblGrid>
        <w:gridCol w:w="1258"/>
        <w:gridCol w:w="3586"/>
        <w:gridCol w:w="3059"/>
        <w:gridCol w:w="2008"/>
      </w:tblGrid>
      <w:tr w:rsidR="00065DCF" w:rsidRPr="00065DCF" w14:paraId="5F1F5DD0" w14:textId="77777777" w:rsidTr="00775D86">
        <w:trPr>
          <w:trHeight w:val="396"/>
        </w:trPr>
        <w:tc>
          <w:tcPr>
            <w:tcW w:w="635" w:type="pct"/>
            <w:hideMark/>
          </w:tcPr>
          <w:p w14:paraId="4DADA37B" w14:textId="77777777" w:rsidR="00512FD0" w:rsidRDefault="00512FD0" w:rsidP="00065DCF">
            <w:pP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14:paraId="19658AD7"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п/п</w:t>
            </w:r>
          </w:p>
        </w:tc>
        <w:tc>
          <w:tcPr>
            <w:tcW w:w="1809" w:type="pct"/>
            <w:hideMark/>
          </w:tcPr>
          <w:p w14:paraId="678C15D2"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Наименование показателя</w:t>
            </w:r>
          </w:p>
        </w:tc>
        <w:tc>
          <w:tcPr>
            <w:tcW w:w="1543" w:type="pct"/>
            <w:hideMark/>
          </w:tcPr>
          <w:p w14:paraId="042E1094"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Единица измерения</w:t>
            </w:r>
          </w:p>
        </w:tc>
        <w:tc>
          <w:tcPr>
            <w:tcW w:w="1013" w:type="pct"/>
            <w:hideMark/>
          </w:tcPr>
          <w:p w14:paraId="763EB7D5"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 xml:space="preserve">2019 год </w:t>
            </w:r>
          </w:p>
        </w:tc>
      </w:tr>
      <w:tr w:rsidR="00065DCF" w:rsidRPr="00065DCF" w14:paraId="018E73A2" w14:textId="77777777" w:rsidTr="00775D86">
        <w:trPr>
          <w:trHeight w:val="20"/>
        </w:trPr>
        <w:tc>
          <w:tcPr>
            <w:tcW w:w="635" w:type="pct"/>
            <w:hideMark/>
          </w:tcPr>
          <w:p w14:paraId="515EE315"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1</w:t>
            </w:r>
          </w:p>
        </w:tc>
        <w:tc>
          <w:tcPr>
            <w:tcW w:w="1809" w:type="pct"/>
            <w:hideMark/>
          </w:tcPr>
          <w:p w14:paraId="403A7365"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Индекс инвестиций в основной капитал (по итогам 9 месяцев)</w:t>
            </w:r>
          </w:p>
        </w:tc>
        <w:tc>
          <w:tcPr>
            <w:tcW w:w="1543" w:type="pct"/>
            <w:hideMark/>
          </w:tcPr>
          <w:p w14:paraId="1D69D092"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в % к предыдущему году</w:t>
            </w:r>
          </w:p>
        </w:tc>
        <w:tc>
          <w:tcPr>
            <w:tcW w:w="1013" w:type="pct"/>
            <w:hideMark/>
          </w:tcPr>
          <w:p w14:paraId="7F733392"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113,3</w:t>
            </w:r>
          </w:p>
        </w:tc>
      </w:tr>
      <w:tr w:rsidR="00065DCF" w:rsidRPr="00065DCF" w14:paraId="6651D8D2" w14:textId="77777777" w:rsidTr="00775D86">
        <w:trPr>
          <w:trHeight w:val="20"/>
        </w:trPr>
        <w:tc>
          <w:tcPr>
            <w:tcW w:w="635" w:type="pct"/>
            <w:hideMark/>
          </w:tcPr>
          <w:p w14:paraId="50F6D09D"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2</w:t>
            </w:r>
          </w:p>
        </w:tc>
        <w:tc>
          <w:tcPr>
            <w:tcW w:w="1809" w:type="pct"/>
            <w:hideMark/>
          </w:tcPr>
          <w:p w14:paraId="27ADEACF"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Валовой региональный продукт (оценка)</w:t>
            </w:r>
          </w:p>
        </w:tc>
        <w:tc>
          <w:tcPr>
            <w:tcW w:w="1543" w:type="pct"/>
            <w:hideMark/>
          </w:tcPr>
          <w:p w14:paraId="5615C8FC"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млрд. рублей</w:t>
            </w:r>
          </w:p>
        </w:tc>
        <w:tc>
          <w:tcPr>
            <w:tcW w:w="1013" w:type="pct"/>
            <w:hideMark/>
          </w:tcPr>
          <w:p w14:paraId="1CCC57D2"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1289</w:t>
            </w:r>
          </w:p>
        </w:tc>
      </w:tr>
      <w:tr w:rsidR="00065DCF" w:rsidRPr="00065DCF" w14:paraId="07159891" w14:textId="77777777" w:rsidTr="00775D86">
        <w:trPr>
          <w:trHeight w:val="20"/>
        </w:trPr>
        <w:tc>
          <w:tcPr>
            <w:tcW w:w="635" w:type="pct"/>
            <w:hideMark/>
          </w:tcPr>
          <w:p w14:paraId="6CF7DFB4"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3</w:t>
            </w:r>
          </w:p>
        </w:tc>
        <w:tc>
          <w:tcPr>
            <w:tcW w:w="1809" w:type="pct"/>
            <w:hideMark/>
          </w:tcPr>
          <w:p w14:paraId="7C4E0069"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Индекс физического объема валового регионального продукта (оценка)</w:t>
            </w:r>
          </w:p>
        </w:tc>
        <w:tc>
          <w:tcPr>
            <w:tcW w:w="1543" w:type="pct"/>
            <w:hideMark/>
          </w:tcPr>
          <w:p w14:paraId="5772BE72"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в % к предыдущему году</w:t>
            </w:r>
          </w:p>
        </w:tc>
        <w:tc>
          <w:tcPr>
            <w:tcW w:w="1013" w:type="pct"/>
            <w:hideMark/>
          </w:tcPr>
          <w:p w14:paraId="6800F075"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102,9</w:t>
            </w:r>
          </w:p>
        </w:tc>
      </w:tr>
      <w:tr w:rsidR="00065DCF" w:rsidRPr="00065DCF" w14:paraId="0CC7A195" w14:textId="77777777" w:rsidTr="00775D86">
        <w:trPr>
          <w:trHeight w:val="20"/>
        </w:trPr>
        <w:tc>
          <w:tcPr>
            <w:tcW w:w="635" w:type="pct"/>
            <w:vMerge w:val="restart"/>
            <w:hideMark/>
          </w:tcPr>
          <w:p w14:paraId="628AA0E8"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4</w:t>
            </w:r>
          </w:p>
        </w:tc>
        <w:tc>
          <w:tcPr>
            <w:tcW w:w="1809" w:type="pct"/>
            <w:hideMark/>
          </w:tcPr>
          <w:p w14:paraId="7B4BC0E4"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Индекс промышленного производства</w:t>
            </w:r>
          </w:p>
        </w:tc>
        <w:tc>
          <w:tcPr>
            <w:tcW w:w="1543" w:type="pct"/>
            <w:vMerge w:val="restart"/>
            <w:hideMark/>
          </w:tcPr>
          <w:p w14:paraId="2433D827"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в % к предыдущему году</w:t>
            </w:r>
          </w:p>
        </w:tc>
        <w:tc>
          <w:tcPr>
            <w:tcW w:w="1013" w:type="pct"/>
            <w:vMerge w:val="restart"/>
            <w:hideMark/>
          </w:tcPr>
          <w:p w14:paraId="73F8043E"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102,4</w:t>
            </w:r>
          </w:p>
        </w:tc>
      </w:tr>
      <w:tr w:rsidR="00065DCF" w:rsidRPr="00065DCF" w14:paraId="48A22355" w14:textId="77777777" w:rsidTr="00775D86">
        <w:trPr>
          <w:trHeight w:val="20"/>
        </w:trPr>
        <w:tc>
          <w:tcPr>
            <w:tcW w:w="635" w:type="pct"/>
            <w:vMerge/>
            <w:hideMark/>
          </w:tcPr>
          <w:p w14:paraId="618E89B3" w14:textId="77777777" w:rsidR="00065DCF" w:rsidRPr="00065DCF" w:rsidRDefault="00065DCF" w:rsidP="00065DCF">
            <w:pPr>
              <w:jc w:val="left"/>
              <w:rPr>
                <w:rFonts w:ascii="Times New Roman" w:eastAsia="Times New Roman" w:hAnsi="Times New Roman"/>
                <w:sz w:val="24"/>
                <w:szCs w:val="24"/>
                <w:lang w:eastAsia="ru-RU"/>
              </w:rPr>
            </w:pPr>
          </w:p>
        </w:tc>
        <w:tc>
          <w:tcPr>
            <w:tcW w:w="1809" w:type="pct"/>
            <w:hideMark/>
          </w:tcPr>
          <w:p w14:paraId="34457730"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(по итогам 12 месяцев)</w:t>
            </w:r>
          </w:p>
        </w:tc>
        <w:tc>
          <w:tcPr>
            <w:tcW w:w="1543" w:type="pct"/>
            <w:vMerge/>
            <w:hideMark/>
          </w:tcPr>
          <w:p w14:paraId="67FA3A23" w14:textId="77777777" w:rsidR="00065DCF" w:rsidRPr="00065DCF" w:rsidRDefault="00065DCF" w:rsidP="00065DCF">
            <w:pPr>
              <w:jc w:val="left"/>
              <w:rPr>
                <w:rFonts w:ascii="Times New Roman" w:eastAsia="Times New Roman" w:hAnsi="Times New Roman"/>
                <w:sz w:val="24"/>
                <w:szCs w:val="24"/>
                <w:lang w:eastAsia="ru-RU"/>
              </w:rPr>
            </w:pPr>
          </w:p>
        </w:tc>
        <w:tc>
          <w:tcPr>
            <w:tcW w:w="1013" w:type="pct"/>
            <w:vMerge/>
            <w:hideMark/>
          </w:tcPr>
          <w:p w14:paraId="0595386B" w14:textId="77777777" w:rsidR="00065DCF" w:rsidRPr="00065DCF" w:rsidRDefault="00065DCF" w:rsidP="00065DCF">
            <w:pPr>
              <w:jc w:val="left"/>
              <w:rPr>
                <w:rFonts w:ascii="Times New Roman" w:eastAsia="Times New Roman" w:hAnsi="Times New Roman"/>
                <w:sz w:val="24"/>
                <w:szCs w:val="24"/>
                <w:lang w:eastAsia="ru-RU"/>
              </w:rPr>
            </w:pPr>
          </w:p>
        </w:tc>
      </w:tr>
      <w:tr w:rsidR="00065DCF" w:rsidRPr="00065DCF" w14:paraId="1FBC6CB1" w14:textId="77777777" w:rsidTr="00775D86">
        <w:trPr>
          <w:trHeight w:val="20"/>
        </w:trPr>
        <w:tc>
          <w:tcPr>
            <w:tcW w:w="635" w:type="pct"/>
            <w:hideMark/>
          </w:tcPr>
          <w:p w14:paraId="0F325224"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5</w:t>
            </w:r>
          </w:p>
        </w:tc>
        <w:tc>
          <w:tcPr>
            <w:tcW w:w="1809" w:type="pct"/>
            <w:hideMark/>
          </w:tcPr>
          <w:p w14:paraId="1885F5E3"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Индекс производства продукции сельского хозяйства (оценка)</w:t>
            </w:r>
          </w:p>
        </w:tc>
        <w:tc>
          <w:tcPr>
            <w:tcW w:w="1543" w:type="pct"/>
            <w:hideMark/>
          </w:tcPr>
          <w:p w14:paraId="6636D1E4"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в % к предыдущему году</w:t>
            </w:r>
          </w:p>
        </w:tc>
        <w:tc>
          <w:tcPr>
            <w:tcW w:w="1013" w:type="pct"/>
            <w:hideMark/>
          </w:tcPr>
          <w:p w14:paraId="601EFC28"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102,2</w:t>
            </w:r>
          </w:p>
        </w:tc>
      </w:tr>
      <w:tr w:rsidR="00065DCF" w:rsidRPr="00065DCF" w14:paraId="5463A791" w14:textId="77777777" w:rsidTr="00775D86">
        <w:trPr>
          <w:trHeight w:val="20"/>
        </w:trPr>
        <w:tc>
          <w:tcPr>
            <w:tcW w:w="635" w:type="pct"/>
            <w:vMerge w:val="restart"/>
            <w:hideMark/>
          </w:tcPr>
          <w:p w14:paraId="1AA273D5"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6</w:t>
            </w:r>
          </w:p>
        </w:tc>
        <w:tc>
          <w:tcPr>
            <w:tcW w:w="1809" w:type="pct"/>
            <w:hideMark/>
          </w:tcPr>
          <w:p w14:paraId="65426853"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Индекс реальной заработной платы</w:t>
            </w:r>
          </w:p>
        </w:tc>
        <w:tc>
          <w:tcPr>
            <w:tcW w:w="1543" w:type="pct"/>
            <w:vMerge w:val="restart"/>
            <w:hideMark/>
          </w:tcPr>
          <w:p w14:paraId="3FA92FF7"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в % к предыдущему году</w:t>
            </w:r>
          </w:p>
        </w:tc>
        <w:tc>
          <w:tcPr>
            <w:tcW w:w="1013" w:type="pct"/>
            <w:vMerge w:val="restart"/>
            <w:hideMark/>
          </w:tcPr>
          <w:p w14:paraId="58A1DB37"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102</w:t>
            </w:r>
          </w:p>
        </w:tc>
      </w:tr>
      <w:tr w:rsidR="00065DCF" w:rsidRPr="00065DCF" w14:paraId="34DA3A7C" w14:textId="77777777" w:rsidTr="00775D86">
        <w:trPr>
          <w:trHeight w:val="20"/>
        </w:trPr>
        <w:tc>
          <w:tcPr>
            <w:tcW w:w="635" w:type="pct"/>
            <w:vMerge/>
            <w:hideMark/>
          </w:tcPr>
          <w:p w14:paraId="0E2056AC" w14:textId="77777777" w:rsidR="00065DCF" w:rsidRPr="00065DCF" w:rsidRDefault="00065DCF" w:rsidP="00065DCF">
            <w:pPr>
              <w:jc w:val="left"/>
              <w:rPr>
                <w:rFonts w:ascii="Times New Roman" w:eastAsia="Times New Roman" w:hAnsi="Times New Roman"/>
                <w:sz w:val="24"/>
                <w:szCs w:val="24"/>
                <w:lang w:eastAsia="ru-RU"/>
              </w:rPr>
            </w:pPr>
          </w:p>
        </w:tc>
        <w:tc>
          <w:tcPr>
            <w:tcW w:w="1809" w:type="pct"/>
            <w:hideMark/>
          </w:tcPr>
          <w:p w14:paraId="09A9B4AB"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(по итогам 10 месяцев)</w:t>
            </w:r>
          </w:p>
        </w:tc>
        <w:tc>
          <w:tcPr>
            <w:tcW w:w="1543" w:type="pct"/>
            <w:vMerge/>
            <w:hideMark/>
          </w:tcPr>
          <w:p w14:paraId="4E84AFBB" w14:textId="77777777" w:rsidR="00065DCF" w:rsidRPr="00065DCF" w:rsidRDefault="00065DCF" w:rsidP="00065DCF">
            <w:pPr>
              <w:jc w:val="left"/>
              <w:rPr>
                <w:rFonts w:ascii="Times New Roman" w:eastAsia="Times New Roman" w:hAnsi="Times New Roman"/>
                <w:sz w:val="24"/>
                <w:szCs w:val="24"/>
                <w:lang w:eastAsia="ru-RU"/>
              </w:rPr>
            </w:pPr>
          </w:p>
        </w:tc>
        <w:tc>
          <w:tcPr>
            <w:tcW w:w="1013" w:type="pct"/>
            <w:vMerge/>
            <w:hideMark/>
          </w:tcPr>
          <w:p w14:paraId="535667D5" w14:textId="77777777" w:rsidR="00065DCF" w:rsidRPr="00065DCF" w:rsidRDefault="00065DCF" w:rsidP="00065DCF">
            <w:pPr>
              <w:jc w:val="left"/>
              <w:rPr>
                <w:rFonts w:ascii="Times New Roman" w:eastAsia="Times New Roman" w:hAnsi="Times New Roman"/>
                <w:sz w:val="24"/>
                <w:szCs w:val="24"/>
                <w:lang w:eastAsia="ru-RU"/>
              </w:rPr>
            </w:pPr>
          </w:p>
        </w:tc>
      </w:tr>
      <w:tr w:rsidR="00065DCF" w:rsidRPr="00065DCF" w14:paraId="438D956B" w14:textId="77777777" w:rsidTr="00775D86">
        <w:trPr>
          <w:trHeight w:val="20"/>
        </w:trPr>
        <w:tc>
          <w:tcPr>
            <w:tcW w:w="635" w:type="pct"/>
            <w:vMerge w:val="restart"/>
            <w:hideMark/>
          </w:tcPr>
          <w:p w14:paraId="3302744D"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7</w:t>
            </w:r>
          </w:p>
        </w:tc>
        <w:tc>
          <w:tcPr>
            <w:tcW w:w="1809" w:type="pct"/>
            <w:hideMark/>
          </w:tcPr>
          <w:p w14:paraId="00346BDE"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 xml:space="preserve">Численность населения </w:t>
            </w:r>
          </w:p>
        </w:tc>
        <w:tc>
          <w:tcPr>
            <w:tcW w:w="1543" w:type="pct"/>
            <w:hideMark/>
          </w:tcPr>
          <w:p w14:paraId="761AD878"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тыс. человек</w:t>
            </w:r>
          </w:p>
        </w:tc>
        <w:tc>
          <w:tcPr>
            <w:tcW w:w="1013" w:type="pct"/>
            <w:hideMark/>
          </w:tcPr>
          <w:p w14:paraId="7EEF75F8"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2797,6</w:t>
            </w:r>
          </w:p>
        </w:tc>
      </w:tr>
      <w:tr w:rsidR="00065DCF" w:rsidRPr="00065DCF" w14:paraId="1CF6C0ED" w14:textId="77777777" w:rsidTr="00775D86">
        <w:trPr>
          <w:trHeight w:val="20"/>
        </w:trPr>
        <w:tc>
          <w:tcPr>
            <w:tcW w:w="635" w:type="pct"/>
            <w:vMerge/>
            <w:hideMark/>
          </w:tcPr>
          <w:p w14:paraId="29A9FA1F" w14:textId="77777777" w:rsidR="00065DCF" w:rsidRPr="00065DCF" w:rsidRDefault="00065DCF" w:rsidP="00065DCF">
            <w:pPr>
              <w:jc w:val="left"/>
              <w:rPr>
                <w:rFonts w:ascii="Times New Roman" w:eastAsia="Times New Roman" w:hAnsi="Times New Roman"/>
                <w:sz w:val="24"/>
                <w:szCs w:val="24"/>
                <w:lang w:eastAsia="ru-RU"/>
              </w:rPr>
            </w:pPr>
          </w:p>
        </w:tc>
        <w:tc>
          <w:tcPr>
            <w:tcW w:w="1809" w:type="pct"/>
            <w:hideMark/>
          </w:tcPr>
          <w:p w14:paraId="78ED3F57"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на 01.11.2019</w:t>
            </w:r>
          </w:p>
        </w:tc>
        <w:tc>
          <w:tcPr>
            <w:tcW w:w="1543" w:type="pct"/>
            <w:hideMark/>
          </w:tcPr>
          <w:p w14:paraId="40A3E2C5"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в % к 01.01.2019</w:t>
            </w:r>
          </w:p>
        </w:tc>
        <w:tc>
          <w:tcPr>
            <w:tcW w:w="1013" w:type="pct"/>
            <w:hideMark/>
          </w:tcPr>
          <w:p w14:paraId="6A3F6446"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100,2</w:t>
            </w:r>
          </w:p>
        </w:tc>
      </w:tr>
      <w:tr w:rsidR="00065DCF" w:rsidRPr="00065DCF" w14:paraId="7CD6B7D7" w14:textId="77777777" w:rsidTr="00775D86">
        <w:trPr>
          <w:trHeight w:val="322"/>
        </w:trPr>
        <w:tc>
          <w:tcPr>
            <w:tcW w:w="635" w:type="pct"/>
            <w:vMerge w:val="restart"/>
            <w:hideMark/>
          </w:tcPr>
          <w:p w14:paraId="4154025D"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8</w:t>
            </w:r>
          </w:p>
        </w:tc>
        <w:tc>
          <w:tcPr>
            <w:tcW w:w="1809" w:type="pct"/>
            <w:vMerge w:val="restart"/>
            <w:hideMark/>
          </w:tcPr>
          <w:p w14:paraId="4EEB8173"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Индекс потребительских цен, среднегодовой</w:t>
            </w:r>
          </w:p>
        </w:tc>
        <w:tc>
          <w:tcPr>
            <w:tcW w:w="1543" w:type="pct"/>
            <w:vMerge w:val="restart"/>
            <w:hideMark/>
          </w:tcPr>
          <w:p w14:paraId="3BD2068C"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в % к 2018 году</w:t>
            </w:r>
          </w:p>
        </w:tc>
        <w:tc>
          <w:tcPr>
            <w:tcW w:w="1013" w:type="pct"/>
            <w:vMerge w:val="restart"/>
            <w:hideMark/>
          </w:tcPr>
          <w:p w14:paraId="035206AC"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104,3</w:t>
            </w:r>
          </w:p>
        </w:tc>
      </w:tr>
      <w:tr w:rsidR="00065DCF" w:rsidRPr="00065DCF" w14:paraId="1F22025E" w14:textId="77777777" w:rsidTr="00775D86">
        <w:trPr>
          <w:trHeight w:val="437"/>
        </w:trPr>
        <w:tc>
          <w:tcPr>
            <w:tcW w:w="635" w:type="pct"/>
            <w:vMerge/>
            <w:hideMark/>
          </w:tcPr>
          <w:p w14:paraId="5457BEA0" w14:textId="77777777" w:rsidR="00065DCF" w:rsidRPr="00065DCF" w:rsidRDefault="00065DCF" w:rsidP="00065DCF">
            <w:pPr>
              <w:jc w:val="left"/>
              <w:rPr>
                <w:rFonts w:ascii="Times New Roman" w:eastAsia="Times New Roman" w:hAnsi="Times New Roman"/>
                <w:sz w:val="24"/>
                <w:szCs w:val="24"/>
                <w:lang w:eastAsia="ru-RU"/>
              </w:rPr>
            </w:pPr>
          </w:p>
        </w:tc>
        <w:tc>
          <w:tcPr>
            <w:tcW w:w="1809" w:type="pct"/>
            <w:vMerge/>
            <w:hideMark/>
          </w:tcPr>
          <w:p w14:paraId="4538D2EC" w14:textId="77777777" w:rsidR="00065DCF" w:rsidRPr="00065DCF" w:rsidRDefault="00065DCF" w:rsidP="00065DCF">
            <w:pPr>
              <w:jc w:val="left"/>
              <w:rPr>
                <w:rFonts w:ascii="Times New Roman" w:eastAsia="Times New Roman" w:hAnsi="Times New Roman"/>
                <w:sz w:val="24"/>
                <w:szCs w:val="24"/>
                <w:lang w:eastAsia="ru-RU"/>
              </w:rPr>
            </w:pPr>
          </w:p>
        </w:tc>
        <w:tc>
          <w:tcPr>
            <w:tcW w:w="1543" w:type="pct"/>
            <w:vMerge/>
            <w:hideMark/>
          </w:tcPr>
          <w:p w14:paraId="3000768F" w14:textId="77777777" w:rsidR="00065DCF" w:rsidRPr="00065DCF" w:rsidRDefault="00065DCF" w:rsidP="00065DCF">
            <w:pPr>
              <w:jc w:val="left"/>
              <w:rPr>
                <w:rFonts w:ascii="Times New Roman" w:eastAsia="Times New Roman" w:hAnsi="Times New Roman"/>
                <w:sz w:val="24"/>
                <w:szCs w:val="24"/>
                <w:lang w:eastAsia="ru-RU"/>
              </w:rPr>
            </w:pPr>
          </w:p>
        </w:tc>
        <w:tc>
          <w:tcPr>
            <w:tcW w:w="1013" w:type="pct"/>
            <w:vMerge/>
            <w:hideMark/>
          </w:tcPr>
          <w:p w14:paraId="1CD12916" w14:textId="77777777" w:rsidR="00065DCF" w:rsidRPr="00065DCF" w:rsidRDefault="00065DCF" w:rsidP="00065DCF">
            <w:pPr>
              <w:jc w:val="left"/>
              <w:rPr>
                <w:rFonts w:ascii="Times New Roman" w:eastAsia="Times New Roman" w:hAnsi="Times New Roman"/>
                <w:sz w:val="24"/>
                <w:szCs w:val="24"/>
                <w:lang w:eastAsia="ru-RU"/>
              </w:rPr>
            </w:pPr>
          </w:p>
        </w:tc>
      </w:tr>
      <w:tr w:rsidR="00065DCF" w:rsidRPr="00065DCF" w14:paraId="2C79BFB7" w14:textId="77777777" w:rsidTr="00775D86">
        <w:trPr>
          <w:trHeight w:val="20"/>
        </w:trPr>
        <w:tc>
          <w:tcPr>
            <w:tcW w:w="635" w:type="pct"/>
            <w:vMerge w:val="restart"/>
            <w:hideMark/>
          </w:tcPr>
          <w:p w14:paraId="76C18DA9"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9</w:t>
            </w:r>
          </w:p>
        </w:tc>
        <w:tc>
          <w:tcPr>
            <w:tcW w:w="1809" w:type="pct"/>
            <w:hideMark/>
          </w:tcPr>
          <w:p w14:paraId="7A649177"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Заработная плата</w:t>
            </w:r>
          </w:p>
        </w:tc>
        <w:tc>
          <w:tcPr>
            <w:tcW w:w="1543" w:type="pct"/>
            <w:hideMark/>
          </w:tcPr>
          <w:p w14:paraId="7F2D72D8"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рубль</w:t>
            </w:r>
          </w:p>
        </w:tc>
        <w:tc>
          <w:tcPr>
            <w:tcW w:w="1013" w:type="pct"/>
            <w:hideMark/>
          </w:tcPr>
          <w:p w14:paraId="0D9BC8F9"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37279</w:t>
            </w:r>
          </w:p>
        </w:tc>
      </w:tr>
      <w:tr w:rsidR="00065DCF" w:rsidRPr="00065DCF" w14:paraId="192AA492" w14:textId="77777777" w:rsidTr="00775D86">
        <w:trPr>
          <w:trHeight w:val="20"/>
        </w:trPr>
        <w:tc>
          <w:tcPr>
            <w:tcW w:w="635" w:type="pct"/>
            <w:vMerge/>
            <w:hideMark/>
          </w:tcPr>
          <w:p w14:paraId="55BC9F5A" w14:textId="77777777" w:rsidR="00065DCF" w:rsidRPr="00065DCF" w:rsidRDefault="00065DCF" w:rsidP="00065DCF">
            <w:pPr>
              <w:jc w:val="left"/>
              <w:rPr>
                <w:rFonts w:ascii="Times New Roman" w:eastAsia="Times New Roman" w:hAnsi="Times New Roman"/>
                <w:sz w:val="24"/>
                <w:szCs w:val="24"/>
                <w:lang w:eastAsia="ru-RU"/>
              </w:rPr>
            </w:pPr>
          </w:p>
        </w:tc>
        <w:tc>
          <w:tcPr>
            <w:tcW w:w="1809" w:type="pct"/>
            <w:hideMark/>
          </w:tcPr>
          <w:p w14:paraId="403A31A9"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(по итогам 10 месяцев)</w:t>
            </w:r>
          </w:p>
        </w:tc>
        <w:tc>
          <w:tcPr>
            <w:tcW w:w="1543" w:type="pct"/>
            <w:hideMark/>
          </w:tcPr>
          <w:p w14:paraId="139004CD"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январь-октябрь в %</w:t>
            </w:r>
          </w:p>
        </w:tc>
        <w:tc>
          <w:tcPr>
            <w:tcW w:w="1013" w:type="pct"/>
            <w:vMerge w:val="restart"/>
            <w:hideMark/>
          </w:tcPr>
          <w:p w14:paraId="1714EF3D"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106,6</w:t>
            </w:r>
          </w:p>
        </w:tc>
      </w:tr>
      <w:tr w:rsidR="00065DCF" w:rsidRPr="00065DCF" w14:paraId="749A767B" w14:textId="77777777" w:rsidTr="00775D86">
        <w:trPr>
          <w:trHeight w:val="1020"/>
        </w:trPr>
        <w:tc>
          <w:tcPr>
            <w:tcW w:w="635" w:type="pct"/>
            <w:vMerge/>
            <w:hideMark/>
          </w:tcPr>
          <w:p w14:paraId="13F82B5D" w14:textId="77777777" w:rsidR="00065DCF" w:rsidRPr="00065DCF" w:rsidRDefault="00065DCF" w:rsidP="00065DCF">
            <w:pPr>
              <w:jc w:val="left"/>
              <w:rPr>
                <w:rFonts w:ascii="Times New Roman" w:eastAsia="Times New Roman" w:hAnsi="Times New Roman"/>
                <w:sz w:val="28"/>
                <w:szCs w:val="28"/>
                <w:lang w:eastAsia="ru-RU"/>
              </w:rPr>
            </w:pPr>
          </w:p>
        </w:tc>
        <w:tc>
          <w:tcPr>
            <w:tcW w:w="1809" w:type="pct"/>
            <w:hideMark/>
          </w:tcPr>
          <w:p w14:paraId="32A45CB6" w14:textId="77777777" w:rsidR="00065DCF" w:rsidRPr="00065DCF" w:rsidRDefault="00065DCF" w:rsidP="00065DCF">
            <w:pPr>
              <w:jc w:val="left"/>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 </w:t>
            </w:r>
          </w:p>
        </w:tc>
        <w:tc>
          <w:tcPr>
            <w:tcW w:w="1543" w:type="pct"/>
            <w:hideMark/>
          </w:tcPr>
          <w:p w14:paraId="6685885C" w14:textId="77777777" w:rsidR="00065DCF" w:rsidRPr="00065DCF" w:rsidRDefault="00065DCF" w:rsidP="00065DCF">
            <w:pPr>
              <w:rPr>
                <w:rFonts w:ascii="Times New Roman" w:eastAsia="Times New Roman" w:hAnsi="Times New Roman"/>
                <w:sz w:val="24"/>
                <w:szCs w:val="24"/>
                <w:lang w:eastAsia="ru-RU"/>
              </w:rPr>
            </w:pPr>
            <w:r w:rsidRPr="00065DCF">
              <w:rPr>
                <w:rFonts w:ascii="Times New Roman" w:eastAsia="Times New Roman" w:hAnsi="Times New Roman"/>
                <w:sz w:val="24"/>
                <w:szCs w:val="24"/>
                <w:lang w:eastAsia="ru-RU"/>
              </w:rPr>
              <w:t>к аналогичному периоду предыдущего года</w:t>
            </w:r>
          </w:p>
        </w:tc>
        <w:tc>
          <w:tcPr>
            <w:tcW w:w="1013" w:type="pct"/>
            <w:vMerge/>
            <w:hideMark/>
          </w:tcPr>
          <w:p w14:paraId="2BCD0DE3" w14:textId="77777777" w:rsidR="00065DCF" w:rsidRPr="00065DCF" w:rsidRDefault="00065DCF" w:rsidP="00065DCF">
            <w:pPr>
              <w:jc w:val="left"/>
              <w:rPr>
                <w:rFonts w:ascii="Tahoma" w:eastAsia="Times New Roman" w:hAnsi="Tahoma" w:cs="Tahoma"/>
                <w:color w:val="404040"/>
                <w:sz w:val="16"/>
                <w:szCs w:val="16"/>
              </w:rPr>
            </w:pPr>
          </w:p>
        </w:tc>
      </w:tr>
    </w:tbl>
    <w:p w14:paraId="64C055A7" w14:textId="77777777" w:rsidR="002858B1" w:rsidRDefault="002858B1" w:rsidP="003F4CFF">
      <w:pPr>
        <w:adjustRightInd w:val="0"/>
        <w:ind w:right="857" w:firstLine="567"/>
        <w:jc w:val="both"/>
        <w:rPr>
          <w:rFonts w:ascii="Times New Roman" w:hAnsi="Times New Roman"/>
          <w:sz w:val="28"/>
          <w:szCs w:val="28"/>
        </w:rPr>
      </w:pPr>
    </w:p>
    <w:p w14:paraId="41A2C301" w14:textId="77777777" w:rsidR="003F4CFF" w:rsidRPr="00800E6E" w:rsidRDefault="003F4CFF" w:rsidP="009E106C">
      <w:pPr>
        <w:ind w:right="-1"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Основной эффект, достигнутый при внедрении Стандарта:</w:t>
      </w:r>
    </w:p>
    <w:p w14:paraId="1C1FE750" w14:textId="77777777" w:rsidR="003F4CFF" w:rsidRPr="00800E6E" w:rsidRDefault="003F4CFF" w:rsidP="009E106C">
      <w:pPr>
        <w:ind w:right="-1"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1. Повышение удовлетворенности потребителей за счет расширения ассортимента товаров, работ, услуг, повышения их качества и снижения цен.</w:t>
      </w:r>
    </w:p>
    <w:p w14:paraId="0EF9BBC3" w14:textId="77777777" w:rsidR="003F4CFF" w:rsidRPr="00800E6E" w:rsidRDefault="003F4CFF" w:rsidP="009E106C">
      <w:pPr>
        <w:ind w:right="-1"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 xml:space="preserve">2. 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государственным и муниципальным услугам, необходимым для ведения предпринимательской деятельности на территории Новосибирской области, стимулирования </w:t>
      </w:r>
      <w:r w:rsidRPr="00800E6E">
        <w:rPr>
          <w:rFonts w:ascii="Times New Roman" w:eastAsia="Times New Roman" w:hAnsi="Times New Roman" w:cs="Times New Roman"/>
          <w:sz w:val="28"/>
          <w:szCs w:val="28"/>
        </w:rPr>
        <w:lastRenderedPageBreak/>
        <w:t>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14:paraId="1DA4D732" w14:textId="77777777" w:rsidR="003F4CFF" w:rsidRDefault="003F4CFF" w:rsidP="009E106C">
      <w:pPr>
        <w:ind w:right="-1"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3. Стабильный рост и развитие многоукладной экономики Новосибирской области,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57E06B36" w14:textId="77777777" w:rsidR="00961841" w:rsidRDefault="00961841" w:rsidP="003F4CFF">
      <w:pPr>
        <w:ind w:firstLine="567"/>
        <w:jc w:val="both"/>
        <w:rPr>
          <w:rFonts w:ascii="Times New Roman" w:eastAsia="Times New Roman" w:hAnsi="Times New Roman" w:cs="Times New Roman"/>
          <w:sz w:val="28"/>
          <w:szCs w:val="28"/>
        </w:rPr>
        <w:sectPr w:rsidR="00961841" w:rsidSect="009A18FC">
          <w:pgSz w:w="11906" w:h="16838" w:code="9"/>
          <w:pgMar w:top="1134" w:right="567" w:bottom="1134" w:left="1418" w:header="708" w:footer="708" w:gutter="0"/>
          <w:cols w:space="708"/>
          <w:docGrid w:linePitch="360"/>
        </w:sectPr>
      </w:pPr>
    </w:p>
    <w:p w14:paraId="577DCC7C" w14:textId="77777777" w:rsidR="003F4CFF" w:rsidRDefault="003F4CFF" w:rsidP="003F4CFF">
      <w:pPr>
        <w:ind w:firstLine="567"/>
        <w:jc w:val="both"/>
        <w:rPr>
          <w:rFonts w:ascii="Times New Roman" w:eastAsia="Times New Roman" w:hAnsi="Times New Roman" w:cs="Times New Roman"/>
          <w:sz w:val="28"/>
          <w:szCs w:val="28"/>
        </w:rPr>
      </w:pPr>
    </w:p>
    <w:p w14:paraId="101A9109" w14:textId="77777777" w:rsidR="003F4CFF" w:rsidRPr="00854831" w:rsidRDefault="003F4CFF" w:rsidP="003F4CFF">
      <w:pPr>
        <w:pStyle w:val="aa"/>
        <w:spacing w:after="0"/>
        <w:outlineLvl w:val="0"/>
        <w:rPr>
          <w:rFonts w:ascii="Times New Roman" w:hAnsi="Times New Roman"/>
          <w:b/>
          <w:color w:val="C00000"/>
          <w:sz w:val="28"/>
          <w:szCs w:val="28"/>
        </w:rPr>
      </w:pPr>
      <w:bookmarkStart w:id="174" w:name="_Toc31984004"/>
      <w:bookmarkStart w:id="175" w:name="_Toc32240344"/>
      <w:bookmarkStart w:id="176" w:name="_Toc32421930"/>
      <w:bookmarkStart w:id="177" w:name="_Toc34129204"/>
      <w:r w:rsidRPr="00FB32BA">
        <w:rPr>
          <w:rFonts w:ascii="Times New Roman" w:hAnsi="Times New Roman"/>
          <w:b/>
          <w:color w:val="C00000"/>
          <w:sz w:val="28"/>
          <w:szCs w:val="28"/>
        </w:rPr>
        <w:t>Раздел 6.</w:t>
      </w:r>
      <w:r w:rsidRPr="00800E6E">
        <w:rPr>
          <w:rFonts w:ascii="Times New Roman" w:hAnsi="Times New Roman"/>
          <w:b/>
          <w:color w:val="C00000"/>
          <w:sz w:val="28"/>
          <w:szCs w:val="28"/>
        </w:rPr>
        <w:t xml:space="preserve"> </w:t>
      </w:r>
      <w:r w:rsidRPr="00854831">
        <w:rPr>
          <w:rFonts w:ascii="Times New Roman" w:hAnsi="Times New Roman"/>
          <w:b/>
          <w:color w:val="C00000"/>
          <w:sz w:val="28"/>
          <w:szCs w:val="28"/>
        </w:rPr>
        <w:t>Дополнительные комментарии со стороны субъекта Российской Федерации («обратная связь»)</w:t>
      </w:r>
      <w:bookmarkEnd w:id="174"/>
      <w:bookmarkEnd w:id="175"/>
      <w:bookmarkEnd w:id="176"/>
      <w:bookmarkEnd w:id="177"/>
    </w:p>
    <w:p w14:paraId="663AAD88" w14:textId="77777777" w:rsidR="00775D86" w:rsidRPr="00775D86" w:rsidRDefault="00775D86" w:rsidP="00775D86">
      <w:pPr>
        <w:rPr>
          <w:rFonts w:ascii="Times New Roman" w:hAnsi="Times New Roman" w:cs="Times New Roman"/>
          <w:sz w:val="28"/>
          <w:szCs w:val="28"/>
        </w:rPr>
      </w:pPr>
      <w:bookmarkStart w:id="178" w:name="_Toc32240345"/>
      <w:bookmarkStart w:id="179" w:name="_Toc32421931"/>
    </w:p>
    <w:p w14:paraId="74201B23" w14:textId="77777777" w:rsidR="003F4CFF" w:rsidRPr="009A675B" w:rsidRDefault="003F4CFF" w:rsidP="003F4CFF">
      <w:pPr>
        <w:pStyle w:val="ac"/>
        <w:ind w:firstLine="567"/>
        <w:jc w:val="both"/>
        <w:outlineLvl w:val="1"/>
        <w:rPr>
          <w:rFonts w:ascii="Times New Roman" w:hAnsi="Times New Roman"/>
          <w:b/>
        </w:rPr>
      </w:pPr>
      <w:bookmarkStart w:id="180" w:name="_Toc34129205"/>
      <w:r w:rsidRPr="009A675B">
        <w:rPr>
          <w:rFonts w:ascii="Times New Roman" w:hAnsi="Times New Roman"/>
          <w:b/>
        </w:rPr>
        <w:t>О внесении изменений в Стандарт развит</w:t>
      </w:r>
      <w:r w:rsidR="00775D86">
        <w:rPr>
          <w:rFonts w:ascii="Times New Roman" w:hAnsi="Times New Roman"/>
          <w:b/>
        </w:rPr>
        <w:t>ия конкуренции в части изменения</w:t>
      </w:r>
      <w:r w:rsidRPr="009A675B">
        <w:rPr>
          <w:rFonts w:ascii="Times New Roman" w:hAnsi="Times New Roman"/>
          <w:b/>
        </w:rPr>
        <w:t xml:space="preserve"> наименования товарного рынка, входящего в перечень товарных рынков для содействия развитию конкуренции</w:t>
      </w:r>
      <w:bookmarkEnd w:id="178"/>
      <w:bookmarkEnd w:id="179"/>
      <w:bookmarkEnd w:id="180"/>
    </w:p>
    <w:p w14:paraId="0EBDFAAA" w14:textId="77777777" w:rsidR="003F4CFF" w:rsidRDefault="003F4CFF" w:rsidP="003F4CFF">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перечень</w:t>
      </w:r>
      <w:r w:rsidRPr="00D6787F">
        <w:rPr>
          <w:rFonts w:ascii="Times New Roman" w:eastAsia="Times New Roman" w:hAnsi="Times New Roman" w:cs="Times New Roman"/>
          <w:sz w:val="28"/>
          <w:szCs w:val="28"/>
        </w:rPr>
        <w:t xml:space="preserve"> товарных рынков для содействия развитию конкуренции в субъекте Российской Федерации (приложение к Стандарту развития конкуренции в субъектах Российской Федерации, утвержденному распоряжением Правительства Российской Федерации от 17.04.2019 № 768-р), </w:t>
      </w:r>
      <w:r>
        <w:rPr>
          <w:rFonts w:ascii="Times New Roman" w:eastAsia="Times New Roman" w:hAnsi="Times New Roman" w:cs="Times New Roman"/>
          <w:sz w:val="28"/>
          <w:szCs w:val="28"/>
        </w:rPr>
        <w:t>включен</w:t>
      </w:r>
      <w:r w:rsidRPr="00D6787F">
        <w:rPr>
          <w:rFonts w:ascii="Times New Roman" w:eastAsia="Times New Roman" w:hAnsi="Times New Roman" w:cs="Times New Roman"/>
          <w:sz w:val="28"/>
          <w:szCs w:val="28"/>
        </w:rPr>
        <w:t xml:space="preserve"> </w:t>
      </w:r>
      <w:r w:rsidRPr="00D454DF">
        <w:rPr>
          <w:rFonts w:ascii="Times New Roman" w:eastAsia="Times New Roman" w:hAnsi="Times New Roman" w:cs="Times New Roman"/>
          <w:sz w:val="28"/>
          <w:szCs w:val="28"/>
        </w:rPr>
        <w:t>рынок дорожной деятельности (за исключением проектирования).</w:t>
      </w:r>
    </w:p>
    <w:p w14:paraId="2946036E" w14:textId="77777777" w:rsidR="003F4CFF" w:rsidRPr="004A2B42" w:rsidRDefault="003F4CFF" w:rsidP="003F4CFF">
      <w:pPr>
        <w:ind w:firstLine="567"/>
        <w:jc w:val="both"/>
        <w:rPr>
          <w:rFonts w:ascii="Times New Roman" w:eastAsia="Times New Roman" w:hAnsi="Times New Roman" w:cs="Times New Roman"/>
          <w:sz w:val="28"/>
          <w:szCs w:val="28"/>
        </w:rPr>
      </w:pPr>
      <w:r w:rsidRPr="004A2B42">
        <w:rPr>
          <w:rFonts w:ascii="Times New Roman" w:eastAsia="Times New Roman" w:hAnsi="Times New Roman" w:cs="Times New Roman"/>
          <w:sz w:val="28"/>
          <w:szCs w:val="28"/>
        </w:rPr>
        <w:t>М</w:t>
      </w:r>
      <w:r w:rsidRPr="00800E6E">
        <w:rPr>
          <w:rFonts w:ascii="Times New Roman" w:eastAsia="Times New Roman" w:hAnsi="Times New Roman" w:cs="Times New Roman"/>
          <w:sz w:val="28"/>
          <w:szCs w:val="28"/>
        </w:rPr>
        <w:t xml:space="preserve">етодики расчета ключевых показателей развития конкуренции, предусмотренных приложением к </w:t>
      </w:r>
      <w:hyperlink r:id="rId255" w:history="1">
        <w:r w:rsidRPr="00800E6E">
          <w:rPr>
            <w:rFonts w:ascii="Times New Roman" w:eastAsia="Times New Roman" w:hAnsi="Times New Roman" w:cs="Times New Roman"/>
            <w:sz w:val="28"/>
            <w:szCs w:val="28"/>
          </w:rPr>
          <w:t>стандарту</w:t>
        </w:r>
      </w:hyperlink>
      <w:r w:rsidRPr="004A2B42">
        <w:rPr>
          <w:rFonts w:ascii="Times New Roman" w:eastAsia="Times New Roman" w:hAnsi="Times New Roman" w:cs="Times New Roman"/>
          <w:sz w:val="28"/>
          <w:szCs w:val="28"/>
        </w:rPr>
        <w:t xml:space="preserve"> </w:t>
      </w:r>
      <w:r w:rsidRPr="00800E6E">
        <w:rPr>
          <w:rFonts w:ascii="Times New Roman" w:eastAsia="Times New Roman" w:hAnsi="Times New Roman" w:cs="Times New Roman"/>
          <w:sz w:val="28"/>
          <w:szCs w:val="28"/>
        </w:rPr>
        <w:t>утверждены Приказом ФАС России от 29.08.2018 № 1232/18</w:t>
      </w:r>
      <w:r w:rsidRPr="004A2B42">
        <w:rPr>
          <w:rFonts w:ascii="Times New Roman" w:eastAsia="Times New Roman" w:hAnsi="Times New Roman" w:cs="Times New Roman"/>
          <w:sz w:val="28"/>
          <w:szCs w:val="28"/>
        </w:rPr>
        <w:t xml:space="preserve"> </w:t>
      </w:r>
      <w:r w:rsidRPr="00800E6E">
        <w:rPr>
          <w:rFonts w:ascii="Times New Roman" w:eastAsia="Times New Roman" w:hAnsi="Times New Roman" w:cs="Times New Roman"/>
          <w:sz w:val="28"/>
          <w:szCs w:val="28"/>
        </w:rPr>
        <w:t xml:space="preserve">«Об утверждении Методик по расчету ключевых показателей развития конкуренции в отраслях экономики в субъектах Российской Федерации» (далее – Методика). </w:t>
      </w:r>
    </w:p>
    <w:p w14:paraId="7DFE6B39"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При расчете ключевого показателя развития конкуренции на рынке дорожной деятельности (за исключением проектирования) в субъектах Российской Федерации органам исполнительной власти субъектов Российской Федерации при осуществлении сбора информации об объеме товарного рынка и долей хозяйствующих субъектов на рассматриваемом товарном рынке необходимо использовать следующий метод определения ключевого показателя по объему рынка в стоимостном выражении общего объема (доли) выручки по виду деятельности «Строительство автомобильных дорог и автомагистралей» (ОКВЭД2 </w:t>
      </w:r>
      <w:hyperlink r:id="rId256" w:history="1">
        <w:r w:rsidRPr="00800E6E">
          <w:rPr>
            <w:rFonts w:ascii="Times New Roman" w:eastAsia="Times New Roman" w:hAnsi="Times New Roman" w:cs="Times New Roman"/>
            <w:sz w:val="28"/>
            <w:szCs w:val="28"/>
          </w:rPr>
          <w:t>42.11</w:t>
        </w:r>
      </w:hyperlink>
      <w:r w:rsidRPr="00800E6E">
        <w:rPr>
          <w:rFonts w:ascii="Times New Roman" w:eastAsia="Times New Roman" w:hAnsi="Times New Roman" w:cs="Times New Roman"/>
          <w:sz w:val="28"/>
          <w:szCs w:val="28"/>
        </w:rPr>
        <w:t>) и «Строительство мостов и тоннелей» (ОКВЭД2 </w:t>
      </w:r>
      <w:hyperlink r:id="rId257" w:history="1">
        <w:r w:rsidRPr="00800E6E">
          <w:rPr>
            <w:rFonts w:ascii="Times New Roman" w:eastAsia="Times New Roman" w:hAnsi="Times New Roman" w:cs="Times New Roman"/>
            <w:sz w:val="28"/>
            <w:szCs w:val="28"/>
          </w:rPr>
          <w:t>42.13</w:t>
        </w:r>
      </w:hyperlink>
      <w:r w:rsidRPr="00800E6E">
        <w:rPr>
          <w:rFonts w:ascii="Times New Roman" w:eastAsia="Times New Roman" w:hAnsi="Times New Roman" w:cs="Times New Roman"/>
          <w:sz w:val="28"/>
          <w:szCs w:val="28"/>
        </w:rPr>
        <w:t>) всех хозяйствующих субъектов на товарном рынке с распределением на выручку хозяйствующих субъектов по виду деятельности «Строительство автомобильных дорог и автомагистралей» (ОКВЭД2 </w:t>
      </w:r>
      <w:hyperlink r:id="rId258" w:history="1">
        <w:r w:rsidRPr="00800E6E">
          <w:rPr>
            <w:rFonts w:ascii="Times New Roman" w:eastAsia="Times New Roman" w:hAnsi="Times New Roman" w:cs="Times New Roman"/>
            <w:sz w:val="28"/>
            <w:szCs w:val="28"/>
          </w:rPr>
          <w:t>42.11</w:t>
        </w:r>
      </w:hyperlink>
      <w:r w:rsidRPr="00800E6E">
        <w:rPr>
          <w:rFonts w:ascii="Times New Roman" w:eastAsia="Times New Roman" w:hAnsi="Times New Roman" w:cs="Times New Roman"/>
          <w:sz w:val="28"/>
          <w:szCs w:val="28"/>
        </w:rPr>
        <w:t>) и «Строительство мостов и тоннелей» (ОКВЭД2 </w:t>
      </w:r>
      <w:hyperlink r:id="rId259" w:history="1">
        <w:r w:rsidRPr="00800E6E">
          <w:rPr>
            <w:rFonts w:ascii="Times New Roman" w:eastAsia="Times New Roman" w:hAnsi="Times New Roman" w:cs="Times New Roman"/>
            <w:sz w:val="28"/>
            <w:szCs w:val="28"/>
          </w:rPr>
          <w:t>42.13</w:t>
        </w:r>
      </w:hyperlink>
      <w:r w:rsidRPr="00800E6E">
        <w:rPr>
          <w:rFonts w:ascii="Times New Roman" w:eastAsia="Times New Roman" w:hAnsi="Times New Roman" w:cs="Times New Roman"/>
          <w:sz w:val="28"/>
          <w:szCs w:val="28"/>
        </w:rPr>
        <w:t>) частного сектора и выручку по виду деятельности «Строительство автомобильных дорог и автомагистралей» (ОКВЭД2 </w:t>
      </w:r>
      <w:hyperlink r:id="rId260" w:history="1">
        <w:r w:rsidRPr="00800E6E">
          <w:rPr>
            <w:rFonts w:ascii="Times New Roman" w:eastAsia="Times New Roman" w:hAnsi="Times New Roman" w:cs="Times New Roman"/>
            <w:sz w:val="28"/>
            <w:szCs w:val="28"/>
          </w:rPr>
          <w:t>42.11</w:t>
        </w:r>
      </w:hyperlink>
      <w:r w:rsidRPr="00800E6E">
        <w:rPr>
          <w:rFonts w:ascii="Times New Roman" w:eastAsia="Times New Roman" w:hAnsi="Times New Roman" w:cs="Times New Roman"/>
          <w:sz w:val="28"/>
          <w:szCs w:val="28"/>
        </w:rPr>
        <w:t>) и «Строительство мостов и тоннелей» (ОКВЭД2 </w:t>
      </w:r>
      <w:hyperlink r:id="rId261" w:history="1">
        <w:r w:rsidRPr="00800E6E">
          <w:rPr>
            <w:rFonts w:ascii="Times New Roman" w:eastAsia="Times New Roman" w:hAnsi="Times New Roman" w:cs="Times New Roman"/>
            <w:sz w:val="28"/>
            <w:szCs w:val="28"/>
          </w:rPr>
          <w:t>42.13</w:t>
        </w:r>
      </w:hyperlink>
      <w:r w:rsidRPr="00800E6E">
        <w:rPr>
          <w:rFonts w:ascii="Times New Roman" w:eastAsia="Times New Roman" w:hAnsi="Times New Roman" w:cs="Times New Roman"/>
          <w:sz w:val="28"/>
          <w:szCs w:val="28"/>
        </w:rPr>
        <w:t>) хозяйствующих субъектов с государственным или муниципальным участием, а именно объему (доле) выручки общей величине стоимостного оборота рынка.</w:t>
      </w:r>
    </w:p>
    <w:p w14:paraId="246468DD" w14:textId="77777777" w:rsidR="003F4CFF" w:rsidRPr="00800E6E"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t xml:space="preserve">В соответствии со </w:t>
      </w:r>
      <w:hyperlink r:id="rId262" w:history="1">
        <w:r w:rsidRPr="00800E6E">
          <w:rPr>
            <w:rFonts w:ascii="Times New Roman" w:eastAsia="Times New Roman" w:hAnsi="Times New Roman" w:cs="Times New Roman"/>
            <w:sz w:val="28"/>
            <w:szCs w:val="28"/>
          </w:rPr>
          <w:t>статьей 3</w:t>
        </w:r>
      </w:hyperlink>
      <w:r w:rsidRPr="00800E6E">
        <w:rPr>
          <w:rFonts w:ascii="Times New Roman" w:eastAsia="Times New Roman" w:hAnsi="Times New Roman" w:cs="Times New Roman"/>
          <w:sz w:val="28"/>
          <w:szCs w:val="28"/>
        </w:rPr>
        <w:t xml:space="preserve">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(далее – Закон № 257-ФЗ) к дорожной деятельности относится деятельность по проектированию, строительству, реконструкции, капитальному ремонту, ремонту и содержанию автомобильных дорог.</w:t>
      </w:r>
    </w:p>
    <w:p w14:paraId="3B17A334" w14:textId="77777777" w:rsidR="003F4CFF" w:rsidRDefault="003F4CFF" w:rsidP="003F4CFF">
      <w:pPr>
        <w:ind w:firstLine="567"/>
        <w:jc w:val="both"/>
        <w:rPr>
          <w:rFonts w:ascii="Times New Roman" w:eastAsia="Times New Roman" w:hAnsi="Times New Roman" w:cs="Times New Roman"/>
          <w:sz w:val="28"/>
          <w:szCs w:val="28"/>
        </w:rPr>
      </w:pPr>
      <w:r w:rsidRPr="00800E6E">
        <w:rPr>
          <w:rFonts w:ascii="Times New Roman" w:eastAsia="Times New Roman" w:hAnsi="Times New Roman" w:cs="Times New Roman"/>
          <w:sz w:val="28"/>
          <w:szCs w:val="28"/>
        </w:rPr>
        <w:lastRenderedPageBreak/>
        <w:t xml:space="preserve">Согласно федеральному законодательству </w:t>
      </w:r>
      <w:r w:rsidRPr="00D6787F">
        <w:rPr>
          <w:rFonts w:ascii="Times New Roman" w:eastAsia="Times New Roman" w:hAnsi="Times New Roman" w:cs="Times New Roman"/>
          <w:sz w:val="28"/>
          <w:szCs w:val="28"/>
        </w:rPr>
        <w:t>дорожная деятельность, кроме строительства и реконструкции, включает в себя также капитальный ремонт, ремонт и содержание автомобильных дорог.</w:t>
      </w:r>
    </w:p>
    <w:p w14:paraId="14DCCF38" w14:textId="77777777" w:rsidR="003F4CFF" w:rsidRDefault="003F4CFF" w:rsidP="00A02DE4">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Соответственно, возникает несоответствие между наименованием рынка и методикой расчета ключевого показателя.</w:t>
      </w:r>
    </w:p>
    <w:p w14:paraId="76065C33" w14:textId="77777777" w:rsidR="00645C46" w:rsidRPr="00645C46" w:rsidRDefault="00E034E4" w:rsidP="00645C46">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4CFF">
        <w:rPr>
          <w:rFonts w:ascii="Times New Roman" w:eastAsia="Times New Roman" w:hAnsi="Times New Roman" w:cs="Times New Roman"/>
          <w:sz w:val="28"/>
          <w:szCs w:val="28"/>
        </w:rPr>
        <w:t xml:space="preserve">На основании вышеизложенного целесообразно внести </w:t>
      </w:r>
      <w:r w:rsidR="003F4CFF" w:rsidRPr="009C22C5">
        <w:rPr>
          <w:rFonts w:ascii="Times New Roman" w:eastAsia="Times New Roman" w:hAnsi="Times New Roman" w:cs="Times New Roman"/>
          <w:sz w:val="28"/>
          <w:szCs w:val="28"/>
        </w:rPr>
        <w:t>изменения в Стандарт развития конкуренции,</w:t>
      </w:r>
      <w:r w:rsidR="003F4CFF">
        <w:rPr>
          <w:rFonts w:ascii="Times New Roman" w:eastAsia="Times New Roman" w:hAnsi="Times New Roman" w:cs="Times New Roman"/>
          <w:sz w:val="28"/>
          <w:szCs w:val="28"/>
        </w:rPr>
        <w:t xml:space="preserve"> заменив наименование товарного рынка «дорожная деятельность (</w:t>
      </w:r>
      <w:r w:rsidR="003F4CFF" w:rsidRPr="00D454DF">
        <w:rPr>
          <w:rFonts w:ascii="Times New Roman" w:eastAsia="Times New Roman" w:hAnsi="Times New Roman" w:cs="Times New Roman"/>
          <w:sz w:val="28"/>
          <w:szCs w:val="28"/>
        </w:rPr>
        <w:t>за исключением проектирования)</w:t>
      </w:r>
      <w:r w:rsidR="003F4CFF">
        <w:rPr>
          <w:rFonts w:ascii="Times New Roman" w:eastAsia="Times New Roman" w:hAnsi="Times New Roman" w:cs="Times New Roman"/>
          <w:sz w:val="28"/>
          <w:szCs w:val="28"/>
        </w:rPr>
        <w:t>» на «дорожное</w:t>
      </w:r>
      <w:r w:rsidR="00A02DE4">
        <w:rPr>
          <w:rFonts w:ascii="Times New Roman" w:eastAsia="Times New Roman" w:hAnsi="Times New Roman" w:cs="Times New Roman"/>
          <w:sz w:val="28"/>
          <w:szCs w:val="28"/>
        </w:rPr>
        <w:t xml:space="preserve"> строительство». </w:t>
      </w:r>
    </w:p>
    <w:p w14:paraId="6D0C0DF4" w14:textId="77777777" w:rsidR="00775D86" w:rsidRDefault="00775D86" w:rsidP="00775D86">
      <w:pPr>
        <w:pStyle w:val="ac"/>
        <w:ind w:firstLine="567"/>
        <w:jc w:val="both"/>
        <w:outlineLvl w:val="1"/>
        <w:rPr>
          <w:rFonts w:ascii="Times New Roman" w:hAnsi="Times New Roman"/>
          <w:b/>
        </w:rPr>
      </w:pPr>
      <w:bookmarkStart w:id="181" w:name="_Toc34129206"/>
      <w:r w:rsidRPr="009A675B">
        <w:rPr>
          <w:rFonts w:ascii="Times New Roman" w:hAnsi="Times New Roman"/>
          <w:b/>
        </w:rPr>
        <w:t>О внесении изменений в Стандарт развит</w:t>
      </w:r>
      <w:r w:rsidR="006A7603">
        <w:rPr>
          <w:rFonts w:ascii="Times New Roman" w:hAnsi="Times New Roman"/>
          <w:b/>
        </w:rPr>
        <w:t>ия конкуренции в части изменения</w:t>
      </w:r>
      <w:r w:rsidRPr="009A675B">
        <w:rPr>
          <w:rFonts w:ascii="Times New Roman" w:hAnsi="Times New Roman"/>
          <w:b/>
        </w:rPr>
        <w:t xml:space="preserve"> </w:t>
      </w:r>
      <w:r w:rsidR="006A7603">
        <w:rPr>
          <w:rFonts w:ascii="Times New Roman" w:hAnsi="Times New Roman"/>
          <w:b/>
        </w:rPr>
        <w:t>минимального значения</w:t>
      </w:r>
      <w:r w:rsidR="006A7603" w:rsidRPr="006A7603">
        <w:rPr>
          <w:rFonts w:ascii="Times New Roman" w:hAnsi="Times New Roman"/>
          <w:b/>
        </w:rPr>
        <w:t xml:space="preserve"> ключевого показателя в 2022 году</w:t>
      </w:r>
      <w:r w:rsidR="006A7603">
        <w:rPr>
          <w:rFonts w:ascii="Times New Roman" w:hAnsi="Times New Roman"/>
          <w:b/>
        </w:rPr>
        <w:t xml:space="preserve"> по товарному рынку «Рынок услуг общего образования»</w:t>
      </w:r>
      <w:bookmarkEnd w:id="181"/>
    </w:p>
    <w:p w14:paraId="02804C8B" w14:textId="77777777" w:rsidR="00561A14" w:rsidRPr="00F90B6B" w:rsidRDefault="00561A14" w:rsidP="00561A14">
      <w:pPr>
        <w:autoSpaceDE w:val="0"/>
        <w:autoSpaceDN w:val="0"/>
        <w:adjustRightInd w:val="0"/>
        <w:ind w:firstLine="567"/>
        <w:jc w:val="both"/>
        <w:rPr>
          <w:rFonts w:ascii="Times New Roman" w:eastAsia="Times New Roman" w:hAnsi="Times New Roman" w:cs="Times New Roman"/>
          <w:sz w:val="28"/>
          <w:szCs w:val="28"/>
        </w:rPr>
      </w:pPr>
      <w:r w:rsidRPr="003D2922">
        <w:rPr>
          <w:rFonts w:ascii="Times New Roman" w:hAnsi="Times New Roman" w:cs="Times New Roman"/>
          <w:sz w:val="28"/>
          <w:szCs w:val="28"/>
        </w:rPr>
        <w:t>В соответствии с Федеральным законом от 29.12.2012 № 273-ФЗ</w:t>
      </w:r>
      <w:r w:rsidRPr="003D2922">
        <w:rPr>
          <w:rFonts w:ascii="Times New Roman" w:eastAsia="Times New Roman" w:hAnsi="Times New Roman" w:cs="Times New Roman"/>
          <w:sz w:val="28"/>
          <w:szCs w:val="28"/>
        </w:rPr>
        <w:t xml:space="preserve"> «</w:t>
      </w:r>
      <w:r w:rsidRPr="003D2922">
        <w:rPr>
          <w:rFonts w:ascii="Times New Roman" w:hAnsi="Times New Roman" w:cs="Times New Roman"/>
          <w:sz w:val="28"/>
          <w:szCs w:val="28"/>
        </w:rPr>
        <w:t>Об образовании в Российской Федерации» начальное общее образование, основное общее образование, среднее общее образование являются обязательными уровнями образования. При выборе общеобразовательной организации родители отдают предпочтение муниципальным (областным) общеобразовательным</w:t>
      </w:r>
      <w:r w:rsidRPr="00F90B6B">
        <w:rPr>
          <w:rFonts w:ascii="Times New Roman" w:hAnsi="Times New Roman" w:cs="Times New Roman"/>
          <w:sz w:val="28"/>
          <w:szCs w:val="28"/>
        </w:rPr>
        <w:t xml:space="preserve"> организациям.</w:t>
      </w:r>
    </w:p>
    <w:p w14:paraId="0F053090" w14:textId="77777777" w:rsidR="00561A14" w:rsidRDefault="00561A14" w:rsidP="00561A14">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961841" w:rsidRPr="00F90B6B">
        <w:rPr>
          <w:rFonts w:ascii="Times New Roman" w:eastAsia="Times New Roman" w:hAnsi="Times New Roman" w:cs="Times New Roman"/>
          <w:sz w:val="28"/>
          <w:szCs w:val="28"/>
        </w:rPr>
        <w:t>азвитие негосударственного сектора напрямую зависит от готовности населения</w:t>
      </w:r>
      <w:r>
        <w:rPr>
          <w:rFonts w:ascii="Times New Roman" w:eastAsia="Times New Roman" w:hAnsi="Times New Roman" w:cs="Times New Roman"/>
          <w:sz w:val="28"/>
          <w:szCs w:val="28"/>
        </w:rPr>
        <w:t xml:space="preserve"> к финансовым вложениям в </w:t>
      </w:r>
      <w:r w:rsidR="00961841" w:rsidRPr="00F90B6B">
        <w:rPr>
          <w:rFonts w:ascii="Times New Roman" w:eastAsia="Times New Roman" w:hAnsi="Times New Roman" w:cs="Times New Roman"/>
          <w:sz w:val="28"/>
          <w:szCs w:val="28"/>
        </w:rPr>
        <w:t>образование.</w:t>
      </w:r>
    </w:p>
    <w:p w14:paraId="5524C367" w14:textId="77777777" w:rsidR="00561A14" w:rsidRDefault="00561A14" w:rsidP="00561A14">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Стандартом развития конкуренции в Российской Федерации по рынку общего образования установлен следующий ключевой показатель</w:t>
      </w:r>
      <w:r w:rsidR="002E4082">
        <w:rPr>
          <w:rFonts w:ascii="Times New Roman" w:eastAsia="Times New Roman" w:hAnsi="Times New Roman" w:cs="Times New Roman"/>
          <w:sz w:val="28"/>
          <w:szCs w:val="28"/>
        </w:rPr>
        <w:t xml:space="preserve"> «</w:t>
      </w:r>
      <w:r w:rsidR="002E4082" w:rsidRPr="002E4082">
        <w:rPr>
          <w:rFonts w:ascii="Times New Roman" w:eastAsia="Times New Roman" w:hAnsi="Times New Roman" w:cs="Times New Roman"/>
          <w:sz w:val="28"/>
          <w:szCs w:val="28"/>
        </w:rPr>
        <w:t>доля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процентов</w:t>
      </w:r>
      <w:r w:rsidR="002E4082">
        <w:rPr>
          <w:rFonts w:ascii="Times New Roman" w:eastAsia="Times New Roman" w:hAnsi="Times New Roman" w:cs="Times New Roman"/>
          <w:sz w:val="28"/>
          <w:szCs w:val="28"/>
        </w:rPr>
        <w:t>»</w:t>
      </w:r>
      <w:r w:rsidR="006B682B">
        <w:rPr>
          <w:rFonts w:ascii="Times New Roman" w:eastAsia="Times New Roman" w:hAnsi="Times New Roman" w:cs="Times New Roman"/>
          <w:sz w:val="28"/>
          <w:szCs w:val="28"/>
        </w:rPr>
        <w:t>, м</w:t>
      </w:r>
      <w:r w:rsidR="002E4082">
        <w:rPr>
          <w:rFonts w:ascii="Times New Roman" w:eastAsia="Times New Roman" w:hAnsi="Times New Roman" w:cs="Times New Roman"/>
          <w:sz w:val="28"/>
          <w:szCs w:val="28"/>
        </w:rPr>
        <w:t>инимальное значение этого показателя</w:t>
      </w:r>
      <w:r w:rsidR="006B682B">
        <w:rPr>
          <w:rFonts w:ascii="Times New Roman" w:eastAsia="Times New Roman" w:hAnsi="Times New Roman" w:cs="Times New Roman"/>
          <w:sz w:val="28"/>
          <w:szCs w:val="28"/>
        </w:rPr>
        <w:t xml:space="preserve"> в 2020 году</w:t>
      </w:r>
      <w:r w:rsidR="002E4082">
        <w:rPr>
          <w:rFonts w:ascii="Times New Roman" w:eastAsia="Times New Roman" w:hAnsi="Times New Roman" w:cs="Times New Roman"/>
          <w:sz w:val="28"/>
          <w:szCs w:val="28"/>
        </w:rPr>
        <w:t xml:space="preserve">: </w:t>
      </w:r>
      <w:r w:rsidR="002E4082" w:rsidRPr="002E4082">
        <w:rPr>
          <w:rFonts w:ascii="Times New Roman" w:eastAsia="Times New Roman" w:hAnsi="Times New Roman" w:cs="Times New Roman"/>
          <w:sz w:val="28"/>
          <w:szCs w:val="28"/>
        </w:rPr>
        <w:t>1, но не менее 1 частной организации</w:t>
      </w:r>
      <w:r w:rsidR="004E33E8">
        <w:rPr>
          <w:rFonts w:ascii="Times New Roman" w:eastAsia="Times New Roman" w:hAnsi="Times New Roman" w:cs="Times New Roman"/>
          <w:sz w:val="28"/>
          <w:szCs w:val="28"/>
        </w:rPr>
        <w:t>:</w:t>
      </w:r>
    </w:p>
    <w:p w14:paraId="7E693502" w14:textId="77777777" w:rsidR="004E33E8" w:rsidRDefault="004E33E8" w:rsidP="00561A14">
      <w:pPr>
        <w:autoSpaceDE w:val="0"/>
        <w:autoSpaceDN w:val="0"/>
        <w:adjustRightInd w:val="0"/>
        <w:ind w:firstLine="567"/>
        <w:jc w:val="both"/>
        <w:rPr>
          <w:rFonts w:ascii="Times New Roman" w:eastAsia="Times New Roman" w:hAnsi="Times New Roman" w:cs="Times New Roman"/>
          <w:sz w:val="28"/>
          <w:szCs w:val="28"/>
        </w:rPr>
      </w:pPr>
    </w:p>
    <w:tbl>
      <w:tblPr>
        <w:tblStyle w:val="100"/>
        <w:tblW w:w="5000" w:type="pct"/>
        <w:tblLook w:val="0000" w:firstRow="0" w:lastRow="0" w:firstColumn="0" w:lastColumn="0" w:noHBand="0" w:noVBand="0"/>
      </w:tblPr>
      <w:tblGrid>
        <w:gridCol w:w="2493"/>
        <w:gridCol w:w="5251"/>
        <w:gridCol w:w="2167"/>
      </w:tblGrid>
      <w:tr w:rsidR="004E33E8" w:rsidRPr="006A7603" w14:paraId="212DFF65" w14:textId="77777777" w:rsidTr="00071BEC">
        <w:trPr>
          <w:trHeight w:val="20"/>
        </w:trPr>
        <w:tc>
          <w:tcPr>
            <w:tcW w:w="1258" w:type="pct"/>
          </w:tcPr>
          <w:p w14:paraId="252391D4" w14:textId="77777777" w:rsidR="004E33E8" w:rsidRPr="00071BEC" w:rsidRDefault="00071BEC" w:rsidP="00071BEC">
            <w:pPr>
              <w:autoSpaceDE w:val="0"/>
              <w:autoSpaceDN w:val="0"/>
              <w:adjustRightInd w:val="0"/>
              <w:rPr>
                <w:rFonts w:ascii="Times New Roman" w:eastAsia="Times New Roman" w:hAnsi="Times New Roman"/>
                <w:sz w:val="24"/>
                <w:szCs w:val="24"/>
              </w:rPr>
            </w:pPr>
            <w:r w:rsidRPr="00071BEC">
              <w:rPr>
                <w:rFonts w:ascii="Times New Roman" w:eastAsia="Times New Roman" w:hAnsi="Times New Roman"/>
                <w:sz w:val="24"/>
                <w:szCs w:val="24"/>
              </w:rPr>
              <w:t>Наименование</w:t>
            </w:r>
            <w:r w:rsidR="004E33E8" w:rsidRPr="00071BEC">
              <w:rPr>
                <w:rFonts w:ascii="Times New Roman" w:eastAsia="Times New Roman" w:hAnsi="Times New Roman"/>
                <w:sz w:val="24"/>
                <w:szCs w:val="24"/>
              </w:rPr>
              <w:t xml:space="preserve"> товарного рынка</w:t>
            </w:r>
          </w:p>
        </w:tc>
        <w:tc>
          <w:tcPr>
            <w:tcW w:w="2649" w:type="pct"/>
          </w:tcPr>
          <w:p w14:paraId="609E2E7B" w14:textId="77777777" w:rsidR="004E33E8" w:rsidRPr="00071BEC" w:rsidRDefault="004E33E8" w:rsidP="00071BEC">
            <w:pPr>
              <w:autoSpaceDE w:val="0"/>
              <w:autoSpaceDN w:val="0"/>
              <w:adjustRightInd w:val="0"/>
              <w:rPr>
                <w:rFonts w:ascii="Times New Roman" w:eastAsia="Times New Roman" w:hAnsi="Times New Roman"/>
                <w:sz w:val="24"/>
                <w:szCs w:val="24"/>
              </w:rPr>
            </w:pPr>
            <w:r w:rsidRPr="00071BEC">
              <w:rPr>
                <w:rFonts w:ascii="Times New Roman" w:eastAsia="Times New Roman" w:hAnsi="Times New Roman"/>
                <w:sz w:val="24"/>
                <w:szCs w:val="24"/>
              </w:rPr>
              <w:t>Наименование товарного рынка</w:t>
            </w:r>
          </w:p>
          <w:p w14:paraId="2F6A14ED" w14:textId="77777777" w:rsidR="004E33E8" w:rsidRPr="00071BEC" w:rsidRDefault="004E33E8" w:rsidP="00071BEC">
            <w:pPr>
              <w:autoSpaceDE w:val="0"/>
              <w:autoSpaceDN w:val="0"/>
              <w:adjustRightInd w:val="0"/>
              <w:rPr>
                <w:rFonts w:ascii="Times New Roman" w:eastAsia="Times New Roman" w:hAnsi="Times New Roman"/>
                <w:sz w:val="24"/>
                <w:szCs w:val="24"/>
              </w:rPr>
            </w:pPr>
            <w:r w:rsidRPr="00071BEC">
              <w:rPr>
                <w:rFonts w:ascii="Times New Roman" w:eastAsia="Times New Roman" w:hAnsi="Times New Roman"/>
                <w:sz w:val="24"/>
                <w:szCs w:val="24"/>
              </w:rPr>
              <w:t>Наименование ключевого показателя</w:t>
            </w:r>
          </w:p>
        </w:tc>
        <w:tc>
          <w:tcPr>
            <w:tcW w:w="1093" w:type="pct"/>
          </w:tcPr>
          <w:p w14:paraId="13B1A5B0" w14:textId="77777777" w:rsidR="004E33E8" w:rsidRPr="00071BEC" w:rsidRDefault="004E33E8" w:rsidP="00071BEC">
            <w:pPr>
              <w:autoSpaceDE w:val="0"/>
              <w:autoSpaceDN w:val="0"/>
              <w:adjustRightInd w:val="0"/>
              <w:rPr>
                <w:rFonts w:ascii="Times New Roman" w:eastAsia="Times New Roman" w:hAnsi="Times New Roman"/>
                <w:sz w:val="24"/>
                <w:szCs w:val="24"/>
              </w:rPr>
            </w:pPr>
            <w:r w:rsidRPr="00071BEC">
              <w:rPr>
                <w:rFonts w:ascii="Times New Roman" w:eastAsia="Times New Roman" w:hAnsi="Times New Roman"/>
                <w:sz w:val="24"/>
                <w:szCs w:val="24"/>
              </w:rPr>
              <w:t>Минимальное значение ключевого показателя в 2022 году</w:t>
            </w:r>
          </w:p>
        </w:tc>
      </w:tr>
      <w:tr w:rsidR="004E33E8" w:rsidRPr="006A7603" w14:paraId="30D9F142" w14:textId="77777777" w:rsidTr="00071BEC">
        <w:trPr>
          <w:trHeight w:val="20"/>
        </w:trPr>
        <w:tc>
          <w:tcPr>
            <w:tcW w:w="1258" w:type="pct"/>
          </w:tcPr>
          <w:p w14:paraId="7CAB90D7" w14:textId="77777777" w:rsidR="004E33E8" w:rsidRPr="00071BEC" w:rsidRDefault="004E33E8" w:rsidP="00071BEC">
            <w:pPr>
              <w:autoSpaceDE w:val="0"/>
              <w:autoSpaceDN w:val="0"/>
              <w:adjustRightInd w:val="0"/>
              <w:rPr>
                <w:rFonts w:ascii="Times New Roman" w:eastAsia="Times New Roman" w:hAnsi="Times New Roman"/>
                <w:sz w:val="24"/>
                <w:szCs w:val="24"/>
              </w:rPr>
            </w:pPr>
            <w:r w:rsidRPr="00071BEC">
              <w:rPr>
                <w:rFonts w:ascii="Times New Roman" w:eastAsia="Times New Roman" w:hAnsi="Times New Roman"/>
                <w:sz w:val="24"/>
                <w:szCs w:val="24"/>
              </w:rPr>
              <w:t>Рынок услуг общего образования</w:t>
            </w:r>
          </w:p>
        </w:tc>
        <w:tc>
          <w:tcPr>
            <w:tcW w:w="2649" w:type="pct"/>
          </w:tcPr>
          <w:p w14:paraId="5CE08F6D" w14:textId="77777777" w:rsidR="004E33E8" w:rsidRPr="00071BEC" w:rsidRDefault="004E33E8" w:rsidP="00071BEC">
            <w:pPr>
              <w:autoSpaceDE w:val="0"/>
              <w:autoSpaceDN w:val="0"/>
              <w:adjustRightInd w:val="0"/>
              <w:rPr>
                <w:rFonts w:ascii="Times New Roman" w:eastAsia="Times New Roman" w:hAnsi="Times New Roman"/>
                <w:sz w:val="24"/>
                <w:szCs w:val="24"/>
              </w:rPr>
            </w:pPr>
            <w:r w:rsidRPr="00071BEC">
              <w:rPr>
                <w:rFonts w:ascii="Times New Roman" w:eastAsia="Times New Roman" w:hAnsi="Times New Roman"/>
                <w:sz w:val="24"/>
                <w:szCs w:val="24"/>
              </w:rPr>
              <w:t>доля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процентов</w:t>
            </w:r>
          </w:p>
        </w:tc>
        <w:tc>
          <w:tcPr>
            <w:tcW w:w="1093" w:type="pct"/>
          </w:tcPr>
          <w:p w14:paraId="2DEB243D" w14:textId="77777777" w:rsidR="004E33E8" w:rsidRPr="00071BEC" w:rsidRDefault="005E2F20" w:rsidP="00071BE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 но не менее 1 </w:t>
            </w:r>
            <w:r w:rsidR="004E33E8" w:rsidRPr="00071BEC">
              <w:rPr>
                <w:rFonts w:ascii="Times New Roman" w:eastAsia="Times New Roman" w:hAnsi="Times New Roman"/>
                <w:sz w:val="24"/>
                <w:szCs w:val="24"/>
              </w:rPr>
              <w:t>частной организации</w:t>
            </w:r>
          </w:p>
        </w:tc>
      </w:tr>
    </w:tbl>
    <w:p w14:paraId="34093430" w14:textId="77777777" w:rsidR="002E4082" w:rsidRDefault="002E4082" w:rsidP="004A2CDE">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настоящее время в Н</w:t>
      </w:r>
      <w:r w:rsidR="00752923">
        <w:rPr>
          <w:rFonts w:ascii="Times New Roman" w:eastAsia="Times New Roman" w:hAnsi="Times New Roman" w:cs="Times New Roman"/>
          <w:sz w:val="28"/>
          <w:szCs w:val="28"/>
        </w:rPr>
        <w:t>овосибирской области создано 17 </w:t>
      </w:r>
      <w:r>
        <w:rPr>
          <w:rFonts w:ascii="Times New Roman" w:eastAsia="Times New Roman" w:hAnsi="Times New Roman" w:cs="Times New Roman"/>
          <w:sz w:val="28"/>
          <w:szCs w:val="28"/>
        </w:rPr>
        <w:t>негосударственных общеобразовательных организаций</w:t>
      </w:r>
      <w:r w:rsidR="004E33E8">
        <w:rPr>
          <w:rFonts w:ascii="Times New Roman" w:eastAsia="Times New Roman" w:hAnsi="Times New Roman" w:cs="Times New Roman"/>
          <w:sz w:val="28"/>
          <w:szCs w:val="28"/>
        </w:rPr>
        <w:t xml:space="preserve">, населению региона обеспечена </w:t>
      </w:r>
      <w:r w:rsidR="004E33E8" w:rsidRPr="00F90B6B">
        <w:rPr>
          <w:rFonts w:ascii="Times New Roman" w:eastAsia="Times New Roman" w:hAnsi="Times New Roman" w:cs="Times New Roman"/>
          <w:sz w:val="28"/>
          <w:szCs w:val="28"/>
        </w:rPr>
        <w:t xml:space="preserve">возможность </w:t>
      </w:r>
      <w:r w:rsidR="004E33E8">
        <w:rPr>
          <w:rFonts w:ascii="Times New Roman" w:eastAsia="Times New Roman" w:hAnsi="Times New Roman" w:cs="Times New Roman"/>
          <w:sz w:val="28"/>
          <w:szCs w:val="28"/>
        </w:rPr>
        <w:t>получения общего образования в </w:t>
      </w:r>
      <w:r w:rsidR="004E33E8" w:rsidRPr="00F90B6B">
        <w:rPr>
          <w:rFonts w:ascii="Times New Roman" w:eastAsia="Times New Roman" w:hAnsi="Times New Roman" w:cs="Times New Roman"/>
          <w:sz w:val="28"/>
          <w:szCs w:val="28"/>
        </w:rPr>
        <w:t>частной организации</w:t>
      </w:r>
      <w:r w:rsidR="004E33E8">
        <w:rPr>
          <w:rFonts w:ascii="Times New Roman" w:eastAsia="Times New Roman" w:hAnsi="Times New Roman" w:cs="Times New Roman"/>
          <w:sz w:val="28"/>
          <w:szCs w:val="28"/>
        </w:rPr>
        <w:t xml:space="preserve">. </w:t>
      </w:r>
      <w:r w:rsidR="006B682B">
        <w:rPr>
          <w:rFonts w:ascii="Times New Roman" w:eastAsia="Times New Roman" w:hAnsi="Times New Roman" w:cs="Times New Roman"/>
          <w:sz w:val="28"/>
          <w:szCs w:val="28"/>
        </w:rPr>
        <w:t xml:space="preserve">В 2019 году в </w:t>
      </w:r>
      <w:r w:rsidR="004E33E8">
        <w:rPr>
          <w:rFonts w:ascii="Times New Roman" w:eastAsia="Times New Roman" w:hAnsi="Times New Roman" w:cs="Times New Roman"/>
          <w:sz w:val="28"/>
          <w:szCs w:val="28"/>
        </w:rPr>
        <w:t>негосударственных общеобразовательных организациях</w:t>
      </w:r>
      <w:r w:rsidR="004A2CDE">
        <w:rPr>
          <w:rFonts w:ascii="Times New Roman" w:eastAsia="Times New Roman" w:hAnsi="Times New Roman" w:cs="Times New Roman"/>
          <w:sz w:val="28"/>
          <w:szCs w:val="28"/>
        </w:rPr>
        <w:t xml:space="preserve"> обуча</w:t>
      </w:r>
      <w:r w:rsidR="006B682B">
        <w:rPr>
          <w:rFonts w:ascii="Times New Roman" w:eastAsia="Times New Roman" w:hAnsi="Times New Roman" w:cs="Times New Roman"/>
          <w:sz w:val="28"/>
          <w:szCs w:val="28"/>
        </w:rPr>
        <w:t>лось</w:t>
      </w:r>
      <w:r w:rsidR="004A2CDE">
        <w:rPr>
          <w:rFonts w:ascii="Times New Roman" w:eastAsia="Times New Roman" w:hAnsi="Times New Roman" w:cs="Times New Roman"/>
          <w:sz w:val="28"/>
          <w:szCs w:val="28"/>
        </w:rPr>
        <w:t xml:space="preserve"> 1 870 чел., что составляет 0,5%. Достигнуть </w:t>
      </w:r>
      <w:r w:rsidR="00DF0819">
        <w:rPr>
          <w:rFonts w:ascii="Times New Roman" w:eastAsia="Times New Roman" w:hAnsi="Times New Roman" w:cs="Times New Roman"/>
          <w:sz w:val="28"/>
          <w:szCs w:val="28"/>
        </w:rPr>
        <w:t xml:space="preserve">значение </w:t>
      </w:r>
      <w:r w:rsidR="004774A7">
        <w:rPr>
          <w:rFonts w:ascii="Times New Roman" w:eastAsia="Times New Roman" w:hAnsi="Times New Roman" w:cs="Times New Roman"/>
          <w:sz w:val="28"/>
          <w:szCs w:val="28"/>
        </w:rPr>
        <w:t xml:space="preserve">показателя в </w:t>
      </w:r>
      <w:r w:rsidR="004A2CDE">
        <w:rPr>
          <w:rFonts w:ascii="Times New Roman" w:eastAsia="Times New Roman" w:hAnsi="Times New Roman" w:cs="Times New Roman"/>
          <w:sz w:val="28"/>
          <w:szCs w:val="28"/>
        </w:rPr>
        <w:t>1% не представляется возможным.</w:t>
      </w:r>
    </w:p>
    <w:p w14:paraId="6023ECA7" w14:textId="77777777" w:rsidR="0065348F" w:rsidRDefault="006B682B" w:rsidP="004A2CDE">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Аналогичная</w:t>
      </w:r>
      <w:r w:rsidR="0065348F">
        <w:rPr>
          <w:rFonts w:ascii="Times New Roman" w:eastAsia="Times New Roman" w:hAnsi="Times New Roman" w:cs="Times New Roman"/>
          <w:sz w:val="28"/>
          <w:szCs w:val="28"/>
        </w:rPr>
        <w:t xml:space="preserve"> ситуация складывается по многим субъектам Российской Федерации.</w:t>
      </w:r>
    </w:p>
    <w:p w14:paraId="5D3AACFD" w14:textId="77777777" w:rsidR="0065348F" w:rsidRDefault="004E33E8" w:rsidP="0065348F">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основании вышеизложенного предлагаем пересмотреть </w:t>
      </w:r>
      <w:r w:rsidR="0065348F">
        <w:rPr>
          <w:rFonts w:ascii="Times New Roman" w:eastAsia="Times New Roman" w:hAnsi="Times New Roman" w:cs="Times New Roman"/>
          <w:sz w:val="28"/>
          <w:szCs w:val="28"/>
        </w:rPr>
        <w:t>значение ключевого показателя, указав следующее м</w:t>
      </w:r>
      <w:r w:rsidR="0065348F" w:rsidRPr="0065348F">
        <w:rPr>
          <w:rFonts w:ascii="Times New Roman" w:eastAsia="Times New Roman" w:hAnsi="Times New Roman" w:cs="Times New Roman"/>
          <w:sz w:val="28"/>
          <w:szCs w:val="28"/>
        </w:rPr>
        <w:t>инимальное значение ключевого показателя в 2022 году</w:t>
      </w:r>
      <w:r w:rsidR="0065348F">
        <w:rPr>
          <w:rFonts w:ascii="Times New Roman" w:eastAsia="Times New Roman" w:hAnsi="Times New Roman" w:cs="Times New Roman"/>
          <w:sz w:val="28"/>
          <w:szCs w:val="28"/>
        </w:rPr>
        <w:t> – «0,5, но не менее 1 частной организации»</w:t>
      </w:r>
      <w:r w:rsidR="006B682B">
        <w:rPr>
          <w:rFonts w:ascii="Times New Roman" w:eastAsia="Times New Roman" w:hAnsi="Times New Roman" w:cs="Times New Roman"/>
          <w:sz w:val="28"/>
          <w:szCs w:val="28"/>
        </w:rPr>
        <w:t>.</w:t>
      </w:r>
    </w:p>
    <w:p w14:paraId="2F0B5C73" w14:textId="77777777" w:rsidR="007A6A31" w:rsidRDefault="005A1A84" w:rsidP="007A6A31">
      <w:pPr>
        <w:autoSpaceDE w:val="0"/>
        <w:autoSpaceDN w:val="0"/>
        <w:adjustRightInd w:val="0"/>
        <w:ind w:firstLine="567"/>
        <w:jc w:val="both"/>
        <w:rPr>
          <w:rFonts w:ascii="Times New Roman" w:hAnsi="Times New Roman"/>
          <w:b/>
          <w:color w:val="002060" w:themeColor="text2"/>
          <w:sz w:val="28"/>
          <w:szCs w:val="28"/>
        </w:rPr>
      </w:pPr>
      <w:r w:rsidRPr="007A6A31">
        <w:rPr>
          <w:rFonts w:ascii="Times New Roman" w:hAnsi="Times New Roman"/>
          <w:b/>
          <w:color w:val="002060" w:themeColor="text2"/>
          <w:sz w:val="28"/>
          <w:szCs w:val="28"/>
        </w:rPr>
        <w:t xml:space="preserve">О разработке единой методики проведения мониторинга </w:t>
      </w:r>
      <w:r w:rsidR="007A6A31" w:rsidRPr="007A6A31">
        <w:rPr>
          <w:rFonts w:ascii="Times New Roman" w:hAnsi="Times New Roman"/>
          <w:b/>
          <w:color w:val="002060" w:themeColor="text2"/>
          <w:sz w:val="28"/>
          <w:szCs w:val="28"/>
        </w:rPr>
        <w:t>состояния и развития конкуренции на товарных рынках субъекта Российской Федерации</w:t>
      </w:r>
    </w:p>
    <w:p w14:paraId="61E668E3" w14:textId="77777777" w:rsidR="00DF0819" w:rsidRPr="00DF0819" w:rsidRDefault="00DF0819" w:rsidP="00DF0819">
      <w:pPr>
        <w:ind w:firstLine="709"/>
        <w:jc w:val="both"/>
        <w:rPr>
          <w:rFonts w:ascii="Times New Roman" w:eastAsia="Times New Roman" w:hAnsi="Times New Roman" w:cs="Times New Roman"/>
          <w:sz w:val="28"/>
          <w:szCs w:val="28"/>
        </w:rPr>
      </w:pPr>
      <w:r w:rsidRPr="00DF0819">
        <w:rPr>
          <w:rFonts w:ascii="Times New Roman" w:eastAsia="Times New Roman" w:hAnsi="Times New Roman" w:cs="Times New Roman"/>
          <w:sz w:val="28"/>
          <w:szCs w:val="28"/>
        </w:rPr>
        <w:t xml:space="preserve">Учитывая опыт организации и проведения ежегодного мониторинга состояния и развития </w:t>
      </w:r>
      <w:r>
        <w:rPr>
          <w:rFonts w:ascii="Times New Roman" w:eastAsia="Times New Roman" w:hAnsi="Times New Roman" w:cs="Times New Roman"/>
          <w:sz w:val="28"/>
          <w:szCs w:val="28"/>
        </w:rPr>
        <w:t>конкуренции на товарных рынках субъекта Российской Федерации,</w:t>
      </w:r>
      <w:r w:rsidRPr="00DF0819">
        <w:rPr>
          <w:rFonts w:ascii="Times New Roman" w:eastAsia="Times New Roman" w:hAnsi="Times New Roman" w:cs="Times New Roman"/>
          <w:sz w:val="28"/>
          <w:szCs w:val="28"/>
        </w:rPr>
        <w:t xml:space="preserve"> считаем необходимым выработку единых методических подходов к проведению мони</w:t>
      </w:r>
      <w:r>
        <w:rPr>
          <w:rFonts w:ascii="Times New Roman" w:eastAsia="Times New Roman" w:hAnsi="Times New Roman" w:cs="Times New Roman"/>
          <w:sz w:val="28"/>
          <w:szCs w:val="28"/>
        </w:rPr>
        <w:t>торинга для всех субъектов Росс</w:t>
      </w:r>
      <w:r w:rsidRPr="00DF0819">
        <w:rPr>
          <w:rFonts w:ascii="Times New Roman" w:eastAsia="Times New Roman" w:hAnsi="Times New Roman" w:cs="Times New Roman"/>
          <w:sz w:val="28"/>
          <w:szCs w:val="28"/>
        </w:rPr>
        <w:t>и</w:t>
      </w:r>
      <w:r>
        <w:rPr>
          <w:rFonts w:ascii="Times New Roman" w:eastAsia="Times New Roman" w:hAnsi="Times New Roman" w:cs="Times New Roman"/>
          <w:sz w:val="28"/>
          <w:szCs w:val="28"/>
        </w:rPr>
        <w:t>й</w:t>
      </w:r>
      <w:r w:rsidRPr="00DF0819">
        <w:rPr>
          <w:rFonts w:ascii="Times New Roman" w:eastAsia="Times New Roman" w:hAnsi="Times New Roman" w:cs="Times New Roman"/>
          <w:sz w:val="28"/>
          <w:szCs w:val="28"/>
        </w:rPr>
        <w:t>ской Федерации.</w:t>
      </w:r>
      <w:r>
        <w:rPr>
          <w:rFonts w:ascii="Times New Roman" w:eastAsia="Times New Roman" w:hAnsi="Times New Roman" w:cs="Times New Roman"/>
          <w:sz w:val="28"/>
          <w:szCs w:val="28"/>
        </w:rPr>
        <w:t xml:space="preserve"> Единая методика проведения м</w:t>
      </w:r>
      <w:r w:rsidRPr="00DF0819">
        <w:rPr>
          <w:rFonts w:ascii="Times New Roman" w:eastAsia="Times New Roman" w:hAnsi="Times New Roman" w:cs="Times New Roman"/>
          <w:sz w:val="28"/>
          <w:szCs w:val="28"/>
        </w:rPr>
        <w:t>ониторинга позволит объективно сравнить состояние конкурентной среды в субъектах Российской Федерации.</w:t>
      </w:r>
      <w:r>
        <w:rPr>
          <w:rFonts w:ascii="Times New Roman" w:eastAsia="Times New Roman" w:hAnsi="Times New Roman" w:cs="Times New Roman"/>
          <w:sz w:val="28"/>
          <w:szCs w:val="28"/>
        </w:rPr>
        <w:t xml:space="preserve"> Также целесообразно пересмотреть объем и содержание мониторинга.</w:t>
      </w:r>
    </w:p>
    <w:p w14:paraId="5F52C6BF" w14:textId="77777777" w:rsidR="00A90087" w:rsidRPr="00A90087" w:rsidRDefault="00F42884" w:rsidP="00A90087">
      <w:pPr>
        <w:pStyle w:val="ac"/>
        <w:ind w:firstLine="567"/>
        <w:jc w:val="both"/>
        <w:outlineLvl w:val="1"/>
        <w:rPr>
          <w:rFonts w:ascii="Times New Roman" w:hAnsi="Times New Roman"/>
          <w:b/>
        </w:rPr>
      </w:pPr>
      <w:bookmarkStart w:id="182" w:name="_Toc34129207"/>
      <w:r w:rsidRPr="00A90087">
        <w:rPr>
          <w:rFonts w:ascii="Times New Roman" w:hAnsi="Times New Roman"/>
          <w:b/>
        </w:rPr>
        <w:t xml:space="preserve">О пересмотре </w:t>
      </w:r>
      <w:r w:rsidR="00A90087" w:rsidRPr="00A90087">
        <w:rPr>
          <w:rFonts w:ascii="Times New Roman" w:hAnsi="Times New Roman"/>
          <w:b/>
        </w:rPr>
        <w:t>Методики оценки эффективности деятельности органов исполнительной власти субъектов Российской Федерации по внедрению стандарта развития конкуренции в субъектах Российской Федерации</w:t>
      </w:r>
      <w:bookmarkEnd w:id="182"/>
    </w:p>
    <w:p w14:paraId="059F7803" w14:textId="77777777" w:rsidR="007A6A31" w:rsidRDefault="007A6A31" w:rsidP="007A6A31">
      <w:pPr>
        <w:autoSpaceDE w:val="0"/>
        <w:autoSpaceDN w:val="0"/>
        <w:adjustRightInd w:val="0"/>
        <w:ind w:firstLine="709"/>
        <w:jc w:val="both"/>
        <w:rPr>
          <w:rFonts w:ascii="Times New Roman" w:eastAsia="Times New Roman" w:hAnsi="Times New Roman" w:cs="Times New Roman"/>
          <w:sz w:val="28"/>
          <w:szCs w:val="28"/>
        </w:rPr>
      </w:pPr>
      <w:r w:rsidRPr="007A6A31">
        <w:rPr>
          <w:rFonts w:ascii="Times New Roman" w:eastAsia="Times New Roman" w:hAnsi="Times New Roman" w:cs="Times New Roman"/>
          <w:sz w:val="28"/>
          <w:szCs w:val="28"/>
        </w:rPr>
        <w:t xml:space="preserve">При сравнительной оценке регионов по уровню реализации Стандарта развития конкуренции в методике оценки предлагаем конкретизировать содержание раздела «Мнение Межведомственной рабочей группы». </w:t>
      </w:r>
      <w:r>
        <w:rPr>
          <w:rFonts w:ascii="Times New Roman" w:eastAsia="Times New Roman" w:hAnsi="Times New Roman" w:cs="Times New Roman"/>
          <w:sz w:val="28"/>
          <w:szCs w:val="28"/>
        </w:rPr>
        <w:t>При отсутствии</w:t>
      </w:r>
      <w:r w:rsidRPr="007A6A31">
        <w:rPr>
          <w:rFonts w:ascii="Times New Roman" w:eastAsia="Times New Roman" w:hAnsi="Times New Roman" w:cs="Times New Roman"/>
          <w:sz w:val="28"/>
          <w:szCs w:val="28"/>
        </w:rPr>
        <w:t xml:space="preserve"> четких критериев данная оценка носит субъект</w:t>
      </w:r>
      <w:r>
        <w:rPr>
          <w:rFonts w:ascii="Times New Roman" w:eastAsia="Times New Roman" w:hAnsi="Times New Roman" w:cs="Times New Roman"/>
          <w:sz w:val="28"/>
          <w:szCs w:val="28"/>
        </w:rPr>
        <w:t>ивный характер, предлагаем искл</w:t>
      </w:r>
      <w:r w:rsidRPr="007A6A31">
        <w:rPr>
          <w:rFonts w:ascii="Times New Roman" w:eastAsia="Times New Roman" w:hAnsi="Times New Roman" w:cs="Times New Roman"/>
          <w:sz w:val="28"/>
          <w:szCs w:val="28"/>
        </w:rPr>
        <w:t xml:space="preserve">ючить </w:t>
      </w:r>
      <w:r>
        <w:rPr>
          <w:rFonts w:ascii="Times New Roman" w:eastAsia="Times New Roman" w:hAnsi="Times New Roman" w:cs="Times New Roman"/>
          <w:sz w:val="28"/>
          <w:szCs w:val="28"/>
        </w:rPr>
        <w:t xml:space="preserve">данную оценку </w:t>
      </w:r>
      <w:r w:rsidRPr="007A6A31">
        <w:rPr>
          <w:rFonts w:ascii="Times New Roman" w:eastAsia="Times New Roman" w:hAnsi="Times New Roman" w:cs="Times New Roman"/>
          <w:sz w:val="28"/>
          <w:szCs w:val="28"/>
        </w:rPr>
        <w:t>из методики либо минимизировать ее значение.</w:t>
      </w:r>
    </w:p>
    <w:p w14:paraId="51CBD0C6" w14:textId="3D9A4684" w:rsidR="005A1A84" w:rsidRPr="00E034E4" w:rsidRDefault="007A6A31" w:rsidP="00DF0819">
      <w:pPr>
        <w:ind w:firstLine="567"/>
        <w:jc w:val="both"/>
        <w:rPr>
          <w:rFonts w:ascii="Times New Roman" w:hAnsi="Times New Roman"/>
          <w:b/>
          <w:color w:val="002060" w:themeColor="text2"/>
          <w:sz w:val="28"/>
          <w:szCs w:val="28"/>
        </w:rPr>
      </w:pPr>
      <w:r w:rsidRPr="00E034E4">
        <w:rPr>
          <w:rFonts w:ascii="Times New Roman" w:hAnsi="Times New Roman"/>
          <w:b/>
          <w:color w:val="002060" w:themeColor="text2"/>
          <w:sz w:val="28"/>
          <w:szCs w:val="28"/>
        </w:rPr>
        <w:t>О в</w:t>
      </w:r>
      <w:r w:rsidR="002E06E6" w:rsidRPr="00E034E4">
        <w:rPr>
          <w:rFonts w:ascii="Times New Roman" w:hAnsi="Times New Roman"/>
          <w:b/>
          <w:color w:val="002060" w:themeColor="text2"/>
          <w:sz w:val="28"/>
          <w:szCs w:val="28"/>
        </w:rPr>
        <w:t>ключ</w:t>
      </w:r>
      <w:r w:rsidRPr="00E034E4">
        <w:rPr>
          <w:rFonts w:ascii="Times New Roman" w:hAnsi="Times New Roman"/>
          <w:b/>
          <w:color w:val="002060" w:themeColor="text2"/>
          <w:sz w:val="28"/>
          <w:szCs w:val="28"/>
        </w:rPr>
        <w:t>ении</w:t>
      </w:r>
      <w:r w:rsidR="002E06E6" w:rsidRPr="00E034E4">
        <w:rPr>
          <w:rFonts w:ascii="Times New Roman" w:hAnsi="Times New Roman"/>
          <w:b/>
          <w:color w:val="002060" w:themeColor="text2"/>
          <w:sz w:val="28"/>
          <w:szCs w:val="28"/>
        </w:rPr>
        <w:t xml:space="preserve"> в состав </w:t>
      </w:r>
      <w:r w:rsidR="00DF0819" w:rsidRPr="00E034E4">
        <w:rPr>
          <w:rFonts w:ascii="Times New Roman" w:hAnsi="Times New Roman"/>
          <w:b/>
          <w:color w:val="002060" w:themeColor="text2"/>
          <w:sz w:val="28"/>
          <w:szCs w:val="28"/>
        </w:rPr>
        <w:t>Межведомственной рабочей группы</w:t>
      </w:r>
      <w:r w:rsidR="002E06E6" w:rsidRPr="00E034E4">
        <w:rPr>
          <w:rFonts w:ascii="Times New Roman" w:hAnsi="Times New Roman"/>
          <w:b/>
          <w:color w:val="002060" w:themeColor="text2"/>
          <w:sz w:val="28"/>
          <w:szCs w:val="28"/>
        </w:rPr>
        <w:t xml:space="preserve"> представителей от субъектов </w:t>
      </w:r>
      <w:r w:rsidR="00DF0819" w:rsidRPr="00E034E4">
        <w:rPr>
          <w:rFonts w:ascii="Times New Roman" w:hAnsi="Times New Roman"/>
          <w:b/>
          <w:color w:val="002060" w:themeColor="text2"/>
          <w:sz w:val="28"/>
          <w:szCs w:val="28"/>
        </w:rPr>
        <w:t>Российской Федерации</w:t>
      </w:r>
    </w:p>
    <w:p w14:paraId="131512ED" w14:textId="77777777" w:rsidR="00124415" w:rsidRDefault="00AC770D" w:rsidP="00B562E2">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настоящее время </w:t>
      </w:r>
      <w:r w:rsidR="0056251D">
        <w:rPr>
          <w:rFonts w:ascii="Times New Roman" w:eastAsia="Times New Roman" w:hAnsi="Times New Roman" w:cs="Times New Roman"/>
          <w:sz w:val="28"/>
          <w:szCs w:val="28"/>
        </w:rPr>
        <w:t>состав Межведомственной</w:t>
      </w:r>
      <w:r w:rsidRPr="00AC770D">
        <w:rPr>
          <w:rFonts w:ascii="Times New Roman" w:eastAsia="Times New Roman" w:hAnsi="Times New Roman" w:cs="Times New Roman"/>
          <w:sz w:val="28"/>
          <w:szCs w:val="28"/>
        </w:rPr>
        <w:t xml:space="preserve"> рабочей группы</w:t>
      </w:r>
      <w:r>
        <w:rPr>
          <w:rFonts w:ascii="Times New Roman" w:eastAsia="Times New Roman" w:hAnsi="Times New Roman" w:cs="Times New Roman"/>
          <w:sz w:val="28"/>
          <w:szCs w:val="28"/>
        </w:rPr>
        <w:t xml:space="preserve"> по </w:t>
      </w:r>
      <w:r w:rsidR="00B562E2">
        <w:rPr>
          <w:rFonts w:ascii="Times New Roman" w:eastAsia="Times New Roman" w:hAnsi="Times New Roman" w:cs="Times New Roman"/>
          <w:sz w:val="28"/>
          <w:szCs w:val="28"/>
        </w:rPr>
        <w:t xml:space="preserve">вопросам реализации положений </w:t>
      </w:r>
      <w:r w:rsidR="0056251D">
        <w:rPr>
          <w:rFonts w:ascii="Times New Roman" w:eastAsia="Times New Roman" w:hAnsi="Times New Roman" w:cs="Times New Roman"/>
          <w:sz w:val="28"/>
          <w:szCs w:val="28"/>
        </w:rPr>
        <w:t xml:space="preserve">Стандарта </w:t>
      </w:r>
      <w:r w:rsidR="00B562E2">
        <w:rPr>
          <w:rFonts w:ascii="Times New Roman" w:eastAsia="Times New Roman" w:hAnsi="Times New Roman" w:cs="Times New Roman"/>
          <w:sz w:val="28"/>
          <w:szCs w:val="28"/>
        </w:rPr>
        <w:t>(далее – Межведомственная рабочая группа)</w:t>
      </w:r>
      <w:r>
        <w:rPr>
          <w:rFonts w:ascii="Times New Roman" w:eastAsia="Times New Roman" w:hAnsi="Times New Roman" w:cs="Times New Roman"/>
          <w:sz w:val="28"/>
          <w:szCs w:val="28"/>
        </w:rPr>
        <w:t xml:space="preserve"> включает</w:t>
      </w:r>
      <w:r w:rsidR="00124415">
        <w:rPr>
          <w:rFonts w:ascii="Times New Roman" w:eastAsia="Times New Roman" w:hAnsi="Times New Roman" w:cs="Times New Roman"/>
          <w:sz w:val="28"/>
          <w:szCs w:val="28"/>
        </w:rPr>
        <w:t xml:space="preserve"> в себя</w:t>
      </w:r>
      <w:r>
        <w:rPr>
          <w:rFonts w:ascii="Times New Roman" w:eastAsia="Times New Roman" w:hAnsi="Times New Roman" w:cs="Times New Roman"/>
          <w:sz w:val="28"/>
          <w:szCs w:val="28"/>
        </w:rPr>
        <w:t xml:space="preserve"> только представителей ФАС России и </w:t>
      </w:r>
      <w:r w:rsidR="0056251D">
        <w:rPr>
          <w:rFonts w:ascii="Times New Roman" w:eastAsia="Times New Roman" w:hAnsi="Times New Roman" w:cs="Times New Roman"/>
          <w:sz w:val="28"/>
          <w:szCs w:val="28"/>
        </w:rPr>
        <w:t>Минэкономразвития</w:t>
      </w:r>
      <w:r>
        <w:rPr>
          <w:rFonts w:ascii="Times New Roman" w:eastAsia="Times New Roman" w:hAnsi="Times New Roman" w:cs="Times New Roman"/>
          <w:sz w:val="28"/>
          <w:szCs w:val="28"/>
        </w:rPr>
        <w:t xml:space="preserve"> России, </w:t>
      </w:r>
      <w:r w:rsidR="00645C46">
        <w:rPr>
          <w:rFonts w:ascii="Times New Roman" w:eastAsia="Times New Roman" w:hAnsi="Times New Roman" w:cs="Times New Roman"/>
          <w:sz w:val="28"/>
          <w:szCs w:val="28"/>
        </w:rPr>
        <w:t>при этом</w:t>
      </w:r>
      <w:r>
        <w:rPr>
          <w:rFonts w:ascii="Times New Roman" w:eastAsia="Times New Roman" w:hAnsi="Times New Roman" w:cs="Times New Roman"/>
          <w:sz w:val="28"/>
          <w:szCs w:val="28"/>
        </w:rPr>
        <w:t xml:space="preserve"> субъекты РФ являются полноценной стороной </w:t>
      </w:r>
      <w:r w:rsidR="00B562E2">
        <w:rPr>
          <w:rFonts w:ascii="Times New Roman" w:eastAsia="Times New Roman" w:hAnsi="Times New Roman" w:cs="Times New Roman"/>
          <w:sz w:val="28"/>
          <w:szCs w:val="28"/>
        </w:rPr>
        <w:t>реализации Стандарта</w:t>
      </w:r>
      <w:r>
        <w:rPr>
          <w:rFonts w:ascii="Times New Roman" w:eastAsia="Times New Roman" w:hAnsi="Times New Roman" w:cs="Times New Roman"/>
          <w:sz w:val="28"/>
          <w:szCs w:val="28"/>
        </w:rPr>
        <w:t xml:space="preserve">; их практический опыт может быть использован при принятии </w:t>
      </w:r>
      <w:r w:rsidR="00B562E2">
        <w:rPr>
          <w:rFonts w:ascii="Times New Roman" w:eastAsia="Times New Roman" w:hAnsi="Times New Roman" w:cs="Times New Roman"/>
          <w:sz w:val="28"/>
          <w:szCs w:val="28"/>
        </w:rPr>
        <w:t xml:space="preserve">Межведомственной рабочей группой стратегических </w:t>
      </w:r>
      <w:r>
        <w:rPr>
          <w:rFonts w:ascii="Times New Roman" w:eastAsia="Times New Roman" w:hAnsi="Times New Roman" w:cs="Times New Roman"/>
          <w:sz w:val="28"/>
          <w:szCs w:val="28"/>
        </w:rPr>
        <w:t xml:space="preserve">решений, касающихся всех субъектов РФ. </w:t>
      </w:r>
    </w:p>
    <w:p w14:paraId="2A83BD27" w14:textId="77777777" w:rsidR="00B562E2" w:rsidRDefault="00B562E2" w:rsidP="00B562E2">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методикой оценки эффективности деятельности субъектов </w:t>
      </w:r>
      <w:r w:rsidR="00124415">
        <w:rPr>
          <w:rFonts w:ascii="Times New Roman" w:eastAsia="Times New Roman" w:hAnsi="Times New Roman" w:cs="Times New Roman"/>
          <w:sz w:val="28"/>
          <w:szCs w:val="28"/>
        </w:rPr>
        <w:t>РФ</w:t>
      </w:r>
      <w:r>
        <w:rPr>
          <w:rFonts w:ascii="Times New Roman" w:eastAsia="Times New Roman" w:hAnsi="Times New Roman" w:cs="Times New Roman"/>
          <w:sz w:val="28"/>
          <w:szCs w:val="28"/>
        </w:rPr>
        <w:t xml:space="preserve"> по внедрению Стандарта</w:t>
      </w:r>
      <w:r w:rsidR="00124415">
        <w:rPr>
          <w:rFonts w:ascii="Times New Roman" w:eastAsia="Times New Roman" w:hAnsi="Times New Roman" w:cs="Times New Roman"/>
          <w:sz w:val="28"/>
          <w:szCs w:val="28"/>
        </w:rPr>
        <w:t>, утвержденной приказом Минэкономразвития России от</w:t>
      </w:r>
      <w:r w:rsidR="00645C46">
        <w:rPr>
          <w:rFonts w:ascii="Times New Roman" w:eastAsia="Times New Roman" w:hAnsi="Times New Roman" w:cs="Times New Roman"/>
          <w:sz w:val="28"/>
          <w:szCs w:val="28"/>
        </w:rPr>
        <w:t> </w:t>
      </w:r>
      <w:r w:rsidR="00124415">
        <w:rPr>
          <w:rFonts w:ascii="Times New Roman" w:eastAsia="Times New Roman" w:hAnsi="Times New Roman" w:cs="Times New Roman"/>
          <w:sz w:val="28"/>
          <w:szCs w:val="28"/>
        </w:rPr>
        <w:t>17.10.2019 № 670,</w:t>
      </w:r>
      <w:r>
        <w:rPr>
          <w:rFonts w:ascii="Times New Roman" w:eastAsia="Times New Roman" w:hAnsi="Times New Roman" w:cs="Times New Roman"/>
          <w:sz w:val="28"/>
          <w:szCs w:val="28"/>
        </w:rPr>
        <w:t xml:space="preserve"> в системе бальной оценки </w:t>
      </w:r>
      <w:r w:rsidR="00124415">
        <w:rPr>
          <w:rFonts w:ascii="Times New Roman" w:eastAsia="Times New Roman" w:hAnsi="Times New Roman" w:cs="Times New Roman"/>
          <w:sz w:val="28"/>
          <w:szCs w:val="28"/>
        </w:rPr>
        <w:t>регионов на мнение</w:t>
      </w:r>
      <w:r>
        <w:rPr>
          <w:rFonts w:ascii="Times New Roman" w:eastAsia="Times New Roman" w:hAnsi="Times New Roman" w:cs="Times New Roman"/>
          <w:sz w:val="28"/>
          <w:szCs w:val="28"/>
        </w:rPr>
        <w:t xml:space="preserve"> чле</w:t>
      </w:r>
      <w:r w:rsidR="00124415">
        <w:rPr>
          <w:rFonts w:ascii="Times New Roman" w:eastAsia="Times New Roman" w:hAnsi="Times New Roman" w:cs="Times New Roman"/>
          <w:sz w:val="28"/>
          <w:szCs w:val="28"/>
        </w:rPr>
        <w:t>нов М</w:t>
      </w:r>
      <w:r>
        <w:rPr>
          <w:rFonts w:ascii="Times New Roman" w:eastAsia="Times New Roman" w:hAnsi="Times New Roman" w:cs="Times New Roman"/>
          <w:sz w:val="28"/>
          <w:szCs w:val="28"/>
        </w:rPr>
        <w:t>ежведомственной рабочей группы приходится 12 баллов.</w:t>
      </w:r>
      <w:r w:rsidR="00124415">
        <w:rPr>
          <w:rFonts w:ascii="Times New Roman" w:eastAsia="Times New Roman" w:hAnsi="Times New Roman" w:cs="Times New Roman"/>
          <w:sz w:val="28"/>
          <w:szCs w:val="28"/>
        </w:rPr>
        <w:t xml:space="preserve"> Участие </w:t>
      </w:r>
      <w:r w:rsidR="006D3D11">
        <w:rPr>
          <w:rFonts w:ascii="Times New Roman" w:eastAsia="Times New Roman" w:hAnsi="Times New Roman" w:cs="Times New Roman"/>
          <w:sz w:val="28"/>
          <w:szCs w:val="28"/>
        </w:rPr>
        <w:t>представителей регионов</w:t>
      </w:r>
      <w:r w:rsidR="00124415">
        <w:rPr>
          <w:rFonts w:ascii="Times New Roman" w:eastAsia="Times New Roman" w:hAnsi="Times New Roman" w:cs="Times New Roman"/>
          <w:sz w:val="28"/>
          <w:szCs w:val="28"/>
        </w:rPr>
        <w:t xml:space="preserve"> в формировании коллегиального «мнения Межведомственной рабочей группы» позволит повысить объективность и открытость формирования данного мнения.</w:t>
      </w:r>
    </w:p>
    <w:p w14:paraId="1AFC5DB5" w14:textId="77777777" w:rsidR="00AC770D" w:rsidRDefault="00B562E2" w:rsidP="00DF0819">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Таким образом, считаем </w:t>
      </w:r>
      <w:r w:rsidR="00AC770D">
        <w:rPr>
          <w:rFonts w:ascii="Times New Roman" w:eastAsia="Times New Roman" w:hAnsi="Times New Roman" w:cs="Times New Roman"/>
          <w:sz w:val="28"/>
          <w:szCs w:val="28"/>
        </w:rPr>
        <w:t>необходимым включение в состав М</w:t>
      </w:r>
      <w:r>
        <w:rPr>
          <w:rFonts w:ascii="Times New Roman" w:eastAsia="Times New Roman" w:hAnsi="Times New Roman" w:cs="Times New Roman"/>
          <w:sz w:val="28"/>
          <w:szCs w:val="28"/>
        </w:rPr>
        <w:t>ежведомственной рабочей группы</w:t>
      </w:r>
      <w:r w:rsidR="00AC770D">
        <w:rPr>
          <w:rFonts w:ascii="Times New Roman" w:eastAsia="Times New Roman" w:hAnsi="Times New Roman" w:cs="Times New Roman"/>
          <w:sz w:val="28"/>
          <w:szCs w:val="28"/>
        </w:rPr>
        <w:t xml:space="preserve"> представителей органов власти </w:t>
      </w:r>
      <w:r w:rsidR="00124415">
        <w:rPr>
          <w:rFonts w:ascii="Times New Roman" w:eastAsia="Times New Roman" w:hAnsi="Times New Roman" w:cs="Times New Roman"/>
          <w:sz w:val="28"/>
          <w:szCs w:val="28"/>
        </w:rPr>
        <w:t>субъектов РФ</w:t>
      </w:r>
      <w:r w:rsidR="00AC770D">
        <w:rPr>
          <w:rFonts w:ascii="Times New Roman" w:eastAsia="Times New Roman" w:hAnsi="Times New Roman" w:cs="Times New Roman"/>
          <w:sz w:val="28"/>
          <w:szCs w:val="28"/>
        </w:rPr>
        <w:t>, уполномоченных содействовать развитию конкуренции</w:t>
      </w:r>
      <w:r w:rsidR="0056251D">
        <w:rPr>
          <w:rFonts w:ascii="Times New Roman" w:eastAsia="Times New Roman" w:hAnsi="Times New Roman" w:cs="Times New Roman"/>
          <w:sz w:val="28"/>
          <w:szCs w:val="28"/>
        </w:rPr>
        <w:t xml:space="preserve">, например, по принципу «представитель </w:t>
      </w:r>
      <w:r w:rsidR="0055064A">
        <w:rPr>
          <w:rFonts w:ascii="Times New Roman" w:eastAsia="Times New Roman" w:hAnsi="Times New Roman" w:cs="Times New Roman"/>
          <w:sz w:val="28"/>
          <w:szCs w:val="28"/>
        </w:rPr>
        <w:t>от каждого ф</w:t>
      </w:r>
      <w:r w:rsidR="0056251D">
        <w:rPr>
          <w:rFonts w:ascii="Times New Roman" w:eastAsia="Times New Roman" w:hAnsi="Times New Roman" w:cs="Times New Roman"/>
          <w:sz w:val="28"/>
          <w:szCs w:val="28"/>
        </w:rPr>
        <w:t>едерального округа»</w:t>
      </w:r>
      <w:r>
        <w:rPr>
          <w:rFonts w:ascii="Times New Roman" w:eastAsia="Times New Roman" w:hAnsi="Times New Roman" w:cs="Times New Roman"/>
          <w:sz w:val="28"/>
          <w:szCs w:val="28"/>
        </w:rPr>
        <w:t>.</w:t>
      </w:r>
    </w:p>
    <w:p w14:paraId="5EA3A8BE" w14:textId="62900440" w:rsidR="00CF5D68" w:rsidRPr="00CF5D68" w:rsidRDefault="00124415" w:rsidP="00CF5D68">
      <w:pPr>
        <w:ind w:firstLine="567"/>
        <w:jc w:val="both"/>
        <w:rPr>
          <w:rFonts w:ascii="Times New Roman" w:hAnsi="Times New Roman"/>
          <w:b/>
          <w:color w:val="002060" w:themeColor="text2"/>
          <w:sz w:val="28"/>
          <w:szCs w:val="28"/>
        </w:rPr>
      </w:pPr>
      <w:r w:rsidRPr="00124415">
        <w:rPr>
          <w:rFonts w:ascii="Times New Roman" w:hAnsi="Times New Roman"/>
          <w:b/>
          <w:color w:val="002060" w:themeColor="text2"/>
          <w:sz w:val="28"/>
          <w:szCs w:val="28"/>
        </w:rPr>
        <w:t xml:space="preserve">О необходимости уточнения методики расчета ключевого </w:t>
      </w:r>
      <w:r w:rsidR="00CF5D68" w:rsidRPr="00CF5D68">
        <w:rPr>
          <w:rFonts w:ascii="Times New Roman" w:hAnsi="Times New Roman"/>
          <w:b/>
          <w:color w:val="002060" w:themeColor="text2"/>
          <w:sz w:val="28"/>
          <w:szCs w:val="28"/>
        </w:rPr>
        <w:t xml:space="preserve">показателя развития конкуренции на рынке услуг связи по предоставлению широкополосного доступа к информационно-телекоммуникационной сети </w:t>
      </w:r>
      <w:r w:rsidR="00487034">
        <w:rPr>
          <w:rFonts w:ascii="Times New Roman" w:hAnsi="Times New Roman"/>
          <w:b/>
          <w:color w:val="002060" w:themeColor="text2"/>
          <w:sz w:val="28"/>
          <w:szCs w:val="28"/>
        </w:rPr>
        <w:t>«И</w:t>
      </w:r>
      <w:r w:rsidR="00CF5D68" w:rsidRPr="00CF5D68">
        <w:rPr>
          <w:rFonts w:ascii="Times New Roman" w:hAnsi="Times New Roman"/>
          <w:b/>
          <w:color w:val="002060" w:themeColor="text2"/>
          <w:sz w:val="28"/>
          <w:szCs w:val="28"/>
        </w:rPr>
        <w:t>нтернет</w:t>
      </w:r>
      <w:r w:rsidR="00487034">
        <w:rPr>
          <w:rFonts w:ascii="Times New Roman" w:hAnsi="Times New Roman"/>
          <w:b/>
          <w:color w:val="002060" w:themeColor="text2"/>
          <w:sz w:val="28"/>
          <w:szCs w:val="28"/>
        </w:rPr>
        <w:t>»</w:t>
      </w:r>
      <w:r w:rsidR="00CF5D68" w:rsidRPr="00CF5D68">
        <w:rPr>
          <w:rFonts w:ascii="Times New Roman" w:hAnsi="Times New Roman"/>
          <w:b/>
          <w:color w:val="002060" w:themeColor="text2"/>
          <w:sz w:val="28"/>
          <w:szCs w:val="28"/>
        </w:rPr>
        <w:t xml:space="preserve"> в субъектах российской федерации в части увеличения количества объектов государственной и муниципальной собственности, фактически используемых операторами связи для размещения и строительства сетей и сооружений связи</w:t>
      </w:r>
    </w:p>
    <w:p w14:paraId="478D5F82" w14:textId="77777777" w:rsidR="00A31579" w:rsidRPr="00A31579" w:rsidRDefault="00CF5D68" w:rsidP="0055064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Стандартом установлено значение ключевого показателя </w:t>
      </w:r>
      <w:r w:rsidRPr="00A31579">
        <w:rPr>
          <w:rFonts w:ascii="Times New Roman" w:eastAsia="Times New Roman" w:hAnsi="Times New Roman" w:cs="Times New Roman"/>
          <w:sz w:val="28"/>
          <w:szCs w:val="28"/>
        </w:rPr>
        <w:t>«Увеличение количества объектов государственной и муниципальной собственности, фактически используемых операторами связи для размещения и строительства сетей и сооружений связи»</w:t>
      </w:r>
      <w:r w:rsidRPr="00CF5D68">
        <w:rPr>
          <w:rFonts w:ascii="Times New Roman" w:eastAsia="Times New Roman" w:hAnsi="Times New Roman" w:cs="Times New Roman"/>
          <w:sz w:val="28"/>
          <w:szCs w:val="28"/>
        </w:rPr>
        <w:t xml:space="preserve"> </w:t>
      </w:r>
      <w:r w:rsidR="0055064A">
        <w:rPr>
          <w:rFonts w:ascii="Times New Roman" w:eastAsia="Times New Roman" w:hAnsi="Times New Roman" w:cs="Times New Roman"/>
          <w:sz w:val="28"/>
          <w:szCs w:val="28"/>
        </w:rPr>
        <w:t>- 20%. С</w:t>
      </w:r>
      <w:r>
        <w:rPr>
          <w:rFonts w:ascii="Times New Roman" w:eastAsia="Times New Roman" w:hAnsi="Times New Roman" w:cs="Times New Roman"/>
          <w:sz w:val="28"/>
          <w:szCs w:val="28"/>
        </w:rPr>
        <w:t xml:space="preserve">огласно </w:t>
      </w:r>
      <w:r w:rsidRPr="004A2B42">
        <w:rPr>
          <w:rFonts w:ascii="Times New Roman" w:eastAsia="Times New Roman" w:hAnsi="Times New Roman" w:cs="Times New Roman"/>
          <w:sz w:val="28"/>
          <w:szCs w:val="28"/>
        </w:rPr>
        <w:t>М</w:t>
      </w:r>
      <w:r w:rsidR="000F392F">
        <w:rPr>
          <w:rFonts w:ascii="Times New Roman" w:eastAsia="Times New Roman" w:hAnsi="Times New Roman" w:cs="Times New Roman"/>
          <w:sz w:val="28"/>
          <w:szCs w:val="28"/>
        </w:rPr>
        <w:t>етодик</w:t>
      </w:r>
      <w:r w:rsidR="00A84C89">
        <w:rPr>
          <w:rFonts w:ascii="Times New Roman" w:eastAsia="Times New Roman" w:hAnsi="Times New Roman" w:cs="Times New Roman"/>
          <w:sz w:val="28"/>
          <w:szCs w:val="28"/>
        </w:rPr>
        <w:t>е</w:t>
      </w:r>
      <w:r w:rsidR="000F392F">
        <w:rPr>
          <w:rFonts w:ascii="Times New Roman" w:eastAsia="Times New Roman" w:hAnsi="Times New Roman" w:cs="Times New Roman"/>
          <w:sz w:val="28"/>
          <w:szCs w:val="28"/>
        </w:rPr>
        <w:t xml:space="preserve"> расчета данного ключевого показателя</w:t>
      </w:r>
      <w:r w:rsidR="00A84C89">
        <w:rPr>
          <w:rFonts w:ascii="Times New Roman" w:eastAsia="Times New Roman" w:hAnsi="Times New Roman" w:cs="Times New Roman"/>
          <w:sz w:val="28"/>
          <w:szCs w:val="28"/>
        </w:rPr>
        <w:t xml:space="preserve"> развития конкуренции, утвержденной п</w:t>
      </w:r>
      <w:r w:rsidR="0055064A">
        <w:rPr>
          <w:rFonts w:ascii="Times New Roman" w:eastAsia="Times New Roman" w:hAnsi="Times New Roman" w:cs="Times New Roman"/>
          <w:sz w:val="28"/>
          <w:szCs w:val="28"/>
        </w:rPr>
        <w:t>риказом ФАС России от </w:t>
      </w:r>
      <w:r w:rsidRPr="00800E6E">
        <w:rPr>
          <w:rFonts w:ascii="Times New Roman" w:eastAsia="Times New Roman" w:hAnsi="Times New Roman" w:cs="Times New Roman"/>
          <w:sz w:val="28"/>
          <w:szCs w:val="28"/>
        </w:rPr>
        <w:t>29.08.2018 № 1232/18</w:t>
      </w:r>
      <w:r w:rsidRPr="004A2B42">
        <w:rPr>
          <w:rFonts w:ascii="Times New Roman" w:eastAsia="Times New Roman" w:hAnsi="Times New Roman" w:cs="Times New Roman"/>
          <w:sz w:val="28"/>
          <w:szCs w:val="28"/>
        </w:rPr>
        <w:t xml:space="preserve"> </w:t>
      </w:r>
      <w:r w:rsidRPr="00800E6E">
        <w:rPr>
          <w:rFonts w:ascii="Times New Roman" w:eastAsia="Times New Roman" w:hAnsi="Times New Roman" w:cs="Times New Roman"/>
          <w:sz w:val="28"/>
          <w:szCs w:val="28"/>
        </w:rPr>
        <w:t>«Об утверждении Методик по расчету ключевых показателей развития конкуренции в отраслях экономики в субъектах Российской Федерации»</w:t>
      </w:r>
      <w:r w:rsidR="0055064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124415" w:rsidRPr="000F392F">
        <w:rPr>
          <w:rFonts w:ascii="Times New Roman" w:eastAsia="Times New Roman" w:hAnsi="Times New Roman" w:cs="Times New Roman"/>
          <w:sz w:val="28"/>
          <w:szCs w:val="28"/>
        </w:rPr>
        <w:t>показател</w:t>
      </w:r>
      <w:r w:rsidRPr="000F392F">
        <w:rPr>
          <w:rFonts w:ascii="Times New Roman" w:eastAsia="Times New Roman" w:hAnsi="Times New Roman" w:cs="Times New Roman"/>
          <w:sz w:val="28"/>
          <w:szCs w:val="28"/>
        </w:rPr>
        <w:t>ь</w:t>
      </w:r>
      <w:r w:rsidR="00124415" w:rsidRPr="000F392F">
        <w:rPr>
          <w:rFonts w:ascii="Times New Roman" w:eastAsia="Times New Roman" w:hAnsi="Times New Roman" w:cs="Times New Roman"/>
          <w:sz w:val="28"/>
          <w:szCs w:val="28"/>
        </w:rPr>
        <w:t xml:space="preserve"> </w:t>
      </w:r>
      <w:r w:rsidRPr="000F392F">
        <w:rPr>
          <w:rFonts w:ascii="Times New Roman" w:eastAsia="Times New Roman" w:hAnsi="Times New Roman" w:cs="Times New Roman"/>
          <w:sz w:val="28"/>
          <w:szCs w:val="28"/>
        </w:rPr>
        <w:t xml:space="preserve">рассчитывается как разница </w:t>
      </w:r>
      <w:r w:rsidRPr="00A31579">
        <w:rPr>
          <w:rFonts w:ascii="Times New Roman" w:eastAsia="Times New Roman" w:hAnsi="Times New Roman" w:cs="Times New Roman"/>
          <w:sz w:val="28"/>
          <w:szCs w:val="28"/>
        </w:rPr>
        <w:t>долей удовлетворенных заявлений операторов связи за отчетный период и предыдущий год</w:t>
      </w:r>
      <w:r w:rsidR="0055064A">
        <w:rPr>
          <w:rFonts w:ascii="Times New Roman" w:eastAsia="Times New Roman" w:hAnsi="Times New Roman" w:cs="Times New Roman"/>
          <w:sz w:val="28"/>
          <w:szCs w:val="28"/>
        </w:rPr>
        <w:t>. Т</w:t>
      </w:r>
      <w:r>
        <w:rPr>
          <w:rFonts w:ascii="Times New Roman" w:eastAsia="Times New Roman" w:hAnsi="Times New Roman" w:cs="Times New Roman"/>
          <w:sz w:val="28"/>
          <w:szCs w:val="28"/>
        </w:rPr>
        <w:t>аким образом</w:t>
      </w:r>
      <w:r w:rsidR="0055064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требуется обеспечить </w:t>
      </w:r>
      <w:r w:rsidR="000F392F">
        <w:rPr>
          <w:rFonts w:ascii="Times New Roman" w:eastAsia="Times New Roman" w:hAnsi="Times New Roman" w:cs="Times New Roman"/>
          <w:sz w:val="28"/>
          <w:szCs w:val="28"/>
        </w:rPr>
        <w:t xml:space="preserve">20% </w:t>
      </w:r>
      <w:r>
        <w:rPr>
          <w:rFonts w:ascii="Times New Roman" w:eastAsia="Times New Roman" w:hAnsi="Times New Roman" w:cs="Times New Roman"/>
          <w:sz w:val="28"/>
          <w:szCs w:val="28"/>
        </w:rPr>
        <w:t>ежегодн</w:t>
      </w:r>
      <w:r w:rsidR="000F392F">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xml:space="preserve"> прирост</w:t>
      </w:r>
      <w:r w:rsidR="000F392F">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показателя </w:t>
      </w:r>
      <w:r w:rsidRPr="00A31579">
        <w:rPr>
          <w:rFonts w:ascii="Times New Roman" w:eastAsia="Times New Roman" w:hAnsi="Times New Roman" w:cs="Times New Roman"/>
          <w:sz w:val="28"/>
          <w:szCs w:val="28"/>
        </w:rPr>
        <w:t>«Увеличение количества объектов государственной и муниципальной собственности, фактически используемых операторами связи для размещения и строительства сетей и сооружений связи».</w:t>
      </w:r>
      <w:r>
        <w:rPr>
          <w:rFonts w:ascii="Times New Roman" w:eastAsia="Times New Roman" w:hAnsi="Times New Roman" w:cs="Times New Roman"/>
          <w:sz w:val="28"/>
          <w:szCs w:val="28"/>
        </w:rPr>
        <w:t xml:space="preserve"> </w:t>
      </w:r>
      <w:r w:rsidR="0055064A">
        <w:rPr>
          <w:rFonts w:ascii="Times New Roman" w:eastAsia="Times New Roman" w:hAnsi="Times New Roman" w:cs="Times New Roman"/>
          <w:sz w:val="28"/>
          <w:szCs w:val="28"/>
        </w:rPr>
        <w:t xml:space="preserve"> </w:t>
      </w:r>
      <w:r w:rsidR="000F392F">
        <w:rPr>
          <w:rFonts w:ascii="Times New Roman" w:eastAsia="Times New Roman" w:hAnsi="Times New Roman" w:cs="Times New Roman"/>
          <w:sz w:val="28"/>
          <w:szCs w:val="28"/>
        </w:rPr>
        <w:t xml:space="preserve">При изначально высоком значении данного показателя (в Новосибирской области по итогам 2019 года доля удовлетворенных </w:t>
      </w:r>
      <w:r w:rsidR="000F392F" w:rsidRPr="000F392F">
        <w:rPr>
          <w:rFonts w:ascii="Times New Roman" w:eastAsia="Times New Roman" w:hAnsi="Times New Roman" w:cs="Times New Roman"/>
          <w:sz w:val="28"/>
          <w:szCs w:val="28"/>
        </w:rPr>
        <w:t>заявлений операторов связи</w:t>
      </w:r>
      <w:r w:rsidR="000F392F">
        <w:rPr>
          <w:rFonts w:ascii="Times New Roman" w:eastAsia="Times New Roman" w:hAnsi="Times New Roman" w:cs="Times New Roman"/>
          <w:sz w:val="28"/>
          <w:szCs w:val="28"/>
        </w:rPr>
        <w:t xml:space="preserve"> составляет 91%) невозможно обеспечить ежегодный прирост показателя 20%. </w:t>
      </w:r>
      <w:r w:rsidR="00A31579" w:rsidRPr="00A31579">
        <w:rPr>
          <w:rFonts w:ascii="Times New Roman" w:eastAsia="Times New Roman" w:hAnsi="Times New Roman" w:cs="Times New Roman"/>
          <w:sz w:val="28"/>
          <w:szCs w:val="28"/>
        </w:rPr>
        <w:t xml:space="preserve">Достижение значения в 20% возможно только при условии расчета вышеуказанного ключевого </w:t>
      </w:r>
      <w:r w:rsidR="00487034" w:rsidRPr="00A31579">
        <w:rPr>
          <w:rFonts w:ascii="Times New Roman" w:eastAsia="Times New Roman" w:hAnsi="Times New Roman" w:cs="Times New Roman"/>
          <w:sz w:val="28"/>
          <w:szCs w:val="28"/>
        </w:rPr>
        <w:t>показателя</w:t>
      </w:r>
      <w:r w:rsidR="00A31579" w:rsidRPr="00A31579">
        <w:rPr>
          <w:rFonts w:ascii="Times New Roman" w:eastAsia="Times New Roman" w:hAnsi="Times New Roman" w:cs="Times New Roman"/>
          <w:sz w:val="28"/>
          <w:szCs w:val="28"/>
        </w:rPr>
        <w:t xml:space="preserve">, как </w:t>
      </w:r>
      <w:r w:rsidR="00487034" w:rsidRPr="00A31579">
        <w:rPr>
          <w:rFonts w:ascii="Times New Roman" w:eastAsia="Times New Roman" w:hAnsi="Times New Roman" w:cs="Times New Roman"/>
          <w:sz w:val="28"/>
          <w:szCs w:val="28"/>
        </w:rPr>
        <w:t xml:space="preserve">разницы </w:t>
      </w:r>
      <w:r w:rsidR="00487034">
        <w:rPr>
          <w:rFonts w:ascii="Times New Roman" w:eastAsia="Times New Roman" w:hAnsi="Times New Roman" w:cs="Times New Roman"/>
          <w:sz w:val="28"/>
          <w:szCs w:val="28"/>
        </w:rPr>
        <w:t>долей</w:t>
      </w:r>
      <w:r w:rsidR="00A31579" w:rsidRPr="00A31579">
        <w:rPr>
          <w:rFonts w:ascii="Times New Roman" w:eastAsia="Times New Roman" w:hAnsi="Times New Roman" w:cs="Times New Roman"/>
          <w:sz w:val="28"/>
          <w:szCs w:val="28"/>
        </w:rPr>
        <w:t xml:space="preserve"> удовлетворенных заявлений операторов связи за отчетный период и </w:t>
      </w:r>
      <w:r w:rsidR="000F392F">
        <w:rPr>
          <w:rFonts w:ascii="Times New Roman" w:eastAsia="Times New Roman" w:hAnsi="Times New Roman" w:cs="Times New Roman"/>
          <w:sz w:val="28"/>
          <w:szCs w:val="28"/>
        </w:rPr>
        <w:t>базисный 2018 год (не предыдущий)</w:t>
      </w:r>
      <w:r w:rsidR="00A31579" w:rsidRPr="00A31579">
        <w:rPr>
          <w:rFonts w:ascii="Times New Roman" w:eastAsia="Times New Roman" w:hAnsi="Times New Roman" w:cs="Times New Roman"/>
          <w:sz w:val="28"/>
          <w:szCs w:val="28"/>
        </w:rPr>
        <w:t xml:space="preserve">. </w:t>
      </w:r>
    </w:p>
    <w:p w14:paraId="1595D9F1" w14:textId="5BBCE356" w:rsidR="00487034" w:rsidRPr="00A31579" w:rsidRDefault="00487034" w:rsidP="00862F1C">
      <w:pPr>
        <w:ind w:firstLine="567"/>
        <w:jc w:val="both"/>
        <w:rPr>
          <w:rFonts w:ascii="Times New Roman" w:eastAsia="Times New Roman" w:hAnsi="Times New Roman" w:cs="Times New Roman"/>
          <w:sz w:val="28"/>
          <w:szCs w:val="28"/>
        </w:rPr>
      </w:pPr>
      <w:r w:rsidRPr="00124415">
        <w:rPr>
          <w:rFonts w:ascii="Times New Roman" w:hAnsi="Times New Roman"/>
          <w:b/>
          <w:color w:val="002060" w:themeColor="text2"/>
          <w:sz w:val="28"/>
          <w:szCs w:val="28"/>
        </w:rPr>
        <w:t xml:space="preserve">О необходимости уточнения методики расчета ключевого </w:t>
      </w:r>
      <w:r w:rsidRPr="00CF5D68">
        <w:rPr>
          <w:rFonts w:ascii="Times New Roman" w:hAnsi="Times New Roman"/>
          <w:b/>
          <w:color w:val="002060" w:themeColor="text2"/>
          <w:sz w:val="28"/>
          <w:szCs w:val="28"/>
        </w:rPr>
        <w:t xml:space="preserve">показателя развития конкуренции на рынке услуг связи по предоставлению широкополосного доступа к информационно-телекоммуникационной сети </w:t>
      </w:r>
      <w:r>
        <w:rPr>
          <w:rFonts w:ascii="Times New Roman" w:hAnsi="Times New Roman"/>
          <w:b/>
          <w:color w:val="002060" w:themeColor="text2"/>
          <w:sz w:val="28"/>
          <w:szCs w:val="28"/>
        </w:rPr>
        <w:t>«И</w:t>
      </w:r>
      <w:r w:rsidRPr="00CF5D68">
        <w:rPr>
          <w:rFonts w:ascii="Times New Roman" w:hAnsi="Times New Roman"/>
          <w:b/>
          <w:color w:val="002060" w:themeColor="text2"/>
          <w:sz w:val="28"/>
          <w:szCs w:val="28"/>
        </w:rPr>
        <w:t>нтернет</w:t>
      </w:r>
      <w:r>
        <w:rPr>
          <w:rFonts w:ascii="Times New Roman" w:hAnsi="Times New Roman"/>
          <w:b/>
          <w:color w:val="002060" w:themeColor="text2"/>
          <w:sz w:val="28"/>
          <w:szCs w:val="28"/>
        </w:rPr>
        <w:t>»</w:t>
      </w:r>
      <w:r w:rsidRPr="00CF5D68">
        <w:rPr>
          <w:rFonts w:ascii="Times New Roman" w:hAnsi="Times New Roman"/>
          <w:b/>
          <w:color w:val="002060" w:themeColor="text2"/>
          <w:sz w:val="28"/>
          <w:szCs w:val="28"/>
        </w:rPr>
        <w:t xml:space="preserve"> в субъектах </w:t>
      </w:r>
      <w:r w:rsidR="00862F1C">
        <w:rPr>
          <w:rFonts w:ascii="Times New Roman" w:hAnsi="Times New Roman"/>
          <w:b/>
          <w:color w:val="002060" w:themeColor="text2"/>
          <w:sz w:val="28"/>
          <w:szCs w:val="28"/>
        </w:rPr>
        <w:t>Р</w:t>
      </w:r>
      <w:r w:rsidRPr="00CF5D68">
        <w:rPr>
          <w:rFonts w:ascii="Times New Roman" w:hAnsi="Times New Roman"/>
          <w:b/>
          <w:color w:val="002060" w:themeColor="text2"/>
          <w:sz w:val="28"/>
          <w:szCs w:val="28"/>
        </w:rPr>
        <w:t xml:space="preserve">оссийской </w:t>
      </w:r>
      <w:r w:rsidR="00862F1C">
        <w:rPr>
          <w:rFonts w:ascii="Times New Roman" w:hAnsi="Times New Roman"/>
          <w:b/>
          <w:color w:val="002060" w:themeColor="text2"/>
          <w:sz w:val="28"/>
          <w:szCs w:val="28"/>
        </w:rPr>
        <w:t>Ф</w:t>
      </w:r>
      <w:r w:rsidRPr="00CF5D68">
        <w:rPr>
          <w:rFonts w:ascii="Times New Roman" w:hAnsi="Times New Roman"/>
          <w:b/>
          <w:color w:val="002060" w:themeColor="text2"/>
          <w:sz w:val="28"/>
          <w:szCs w:val="28"/>
        </w:rPr>
        <w:t xml:space="preserve">едерации </w:t>
      </w:r>
    </w:p>
    <w:p w14:paraId="30D6B29E" w14:textId="77777777" w:rsidR="00A31579" w:rsidRPr="00A31579" w:rsidRDefault="00862F1C" w:rsidP="00124415">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w:t>
      </w:r>
      <w:r w:rsidRPr="004A2B42">
        <w:rPr>
          <w:rFonts w:ascii="Times New Roman" w:eastAsia="Times New Roman" w:hAnsi="Times New Roman" w:cs="Times New Roman"/>
          <w:sz w:val="28"/>
          <w:szCs w:val="28"/>
        </w:rPr>
        <w:t>М</w:t>
      </w:r>
      <w:r>
        <w:rPr>
          <w:rFonts w:ascii="Times New Roman" w:eastAsia="Times New Roman" w:hAnsi="Times New Roman" w:cs="Times New Roman"/>
          <w:sz w:val="28"/>
          <w:szCs w:val="28"/>
        </w:rPr>
        <w:t>етодики расчета ключевых показателей развития конкуренции</w:t>
      </w:r>
      <w:r w:rsidRPr="00800E6E">
        <w:rPr>
          <w:rFonts w:ascii="Times New Roman" w:eastAsia="Times New Roman" w:hAnsi="Times New Roman" w:cs="Times New Roman"/>
          <w:sz w:val="28"/>
          <w:szCs w:val="28"/>
        </w:rPr>
        <w:t xml:space="preserve">, </w:t>
      </w:r>
      <w:r w:rsidR="0055064A">
        <w:rPr>
          <w:rFonts w:ascii="Times New Roman" w:eastAsia="Times New Roman" w:hAnsi="Times New Roman" w:cs="Times New Roman"/>
          <w:sz w:val="28"/>
          <w:szCs w:val="28"/>
        </w:rPr>
        <w:t>утвержденной</w:t>
      </w:r>
      <w:r w:rsidRPr="00800E6E">
        <w:rPr>
          <w:rFonts w:ascii="Times New Roman" w:eastAsia="Times New Roman" w:hAnsi="Times New Roman" w:cs="Times New Roman"/>
          <w:sz w:val="28"/>
          <w:szCs w:val="28"/>
        </w:rPr>
        <w:t xml:space="preserve"> Приказом ФАС России от 29.08.2018 № 1232/18</w:t>
      </w:r>
      <w:r w:rsidRPr="004A2B42">
        <w:rPr>
          <w:rFonts w:ascii="Times New Roman" w:eastAsia="Times New Roman" w:hAnsi="Times New Roman" w:cs="Times New Roman"/>
          <w:sz w:val="28"/>
          <w:szCs w:val="28"/>
        </w:rPr>
        <w:t xml:space="preserve"> </w:t>
      </w:r>
      <w:r w:rsidRPr="00800E6E">
        <w:rPr>
          <w:rFonts w:ascii="Times New Roman" w:eastAsia="Times New Roman" w:hAnsi="Times New Roman" w:cs="Times New Roman"/>
          <w:sz w:val="28"/>
          <w:szCs w:val="28"/>
        </w:rPr>
        <w:t>«Об утверждении Методик по расчету ключевых показателей развития конкуренции в отраслях экономики в субъектах Российской Федерации»</w:t>
      </w:r>
      <w:r w:rsidR="0055064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F392F">
        <w:rPr>
          <w:rFonts w:ascii="Times New Roman" w:eastAsia="Times New Roman" w:hAnsi="Times New Roman" w:cs="Times New Roman"/>
          <w:sz w:val="28"/>
          <w:szCs w:val="28"/>
        </w:rPr>
        <w:t xml:space="preserve">показатель </w:t>
      </w:r>
      <w:r w:rsidR="00A31579" w:rsidRPr="00A31579">
        <w:rPr>
          <w:rFonts w:ascii="Times New Roman" w:eastAsia="Times New Roman" w:hAnsi="Times New Roman" w:cs="Times New Roman"/>
          <w:sz w:val="28"/>
          <w:szCs w:val="28"/>
        </w:rPr>
        <w:t>«Доля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 предполагает наличие информации по форме №</w:t>
      </w:r>
      <w:r>
        <w:rPr>
          <w:rFonts w:ascii="Times New Roman" w:eastAsia="Times New Roman" w:hAnsi="Times New Roman" w:cs="Times New Roman"/>
          <w:sz w:val="28"/>
          <w:szCs w:val="28"/>
        </w:rPr>
        <w:t xml:space="preserve"> </w:t>
      </w:r>
      <w:r w:rsidR="0055064A">
        <w:rPr>
          <w:rFonts w:ascii="Times New Roman" w:eastAsia="Times New Roman" w:hAnsi="Times New Roman" w:cs="Times New Roman"/>
          <w:sz w:val="28"/>
          <w:szCs w:val="28"/>
        </w:rPr>
        <w:t>4-связь «Сведения</w:t>
      </w:r>
      <w:r w:rsidR="00A31579" w:rsidRPr="00A31579">
        <w:rPr>
          <w:rFonts w:ascii="Times New Roman" w:eastAsia="Times New Roman" w:hAnsi="Times New Roman" w:cs="Times New Roman"/>
          <w:sz w:val="28"/>
          <w:szCs w:val="28"/>
        </w:rPr>
        <w:t xml:space="preserve"> об обмене (трафике) на сетях электросвязи» на конец отчетного года. По информации Министерства цифрового развития, связи и массовых коммуникаций Российской Федерации информация по вышеуказанной форме в открытом доступе </w:t>
      </w:r>
      <w:r w:rsidR="00A31579" w:rsidRPr="00A31579">
        <w:rPr>
          <w:rFonts w:ascii="Times New Roman" w:eastAsia="Times New Roman" w:hAnsi="Times New Roman" w:cs="Times New Roman"/>
          <w:sz w:val="28"/>
          <w:szCs w:val="28"/>
        </w:rPr>
        <w:lastRenderedPageBreak/>
        <w:t>публикуются не ранее марта года</w:t>
      </w:r>
      <w:r>
        <w:rPr>
          <w:rFonts w:ascii="Times New Roman" w:eastAsia="Times New Roman" w:hAnsi="Times New Roman" w:cs="Times New Roman"/>
          <w:sz w:val="28"/>
          <w:szCs w:val="28"/>
        </w:rPr>
        <w:t>,</w:t>
      </w:r>
      <w:r w:rsidR="00A31579" w:rsidRPr="00A31579">
        <w:rPr>
          <w:rFonts w:ascii="Times New Roman" w:eastAsia="Times New Roman" w:hAnsi="Times New Roman" w:cs="Times New Roman"/>
          <w:sz w:val="28"/>
          <w:szCs w:val="28"/>
        </w:rPr>
        <w:t xml:space="preserve"> следующего за отчетным.</w:t>
      </w:r>
      <w:r>
        <w:rPr>
          <w:rFonts w:ascii="Times New Roman" w:eastAsia="Times New Roman" w:hAnsi="Times New Roman" w:cs="Times New Roman"/>
          <w:sz w:val="28"/>
          <w:szCs w:val="28"/>
        </w:rPr>
        <w:t xml:space="preserve"> </w:t>
      </w:r>
      <w:r w:rsidR="00A31579" w:rsidRPr="00A31579">
        <w:rPr>
          <w:rFonts w:ascii="Times New Roman" w:eastAsia="Times New Roman" w:hAnsi="Times New Roman" w:cs="Times New Roman"/>
          <w:sz w:val="28"/>
          <w:szCs w:val="28"/>
        </w:rPr>
        <w:t>В связи с вышеизложенным</w:t>
      </w:r>
      <w:r w:rsidR="00223F4B">
        <w:rPr>
          <w:rFonts w:ascii="Times New Roman" w:eastAsia="Times New Roman" w:hAnsi="Times New Roman" w:cs="Times New Roman"/>
          <w:sz w:val="28"/>
          <w:szCs w:val="28"/>
        </w:rPr>
        <w:t>,</w:t>
      </w:r>
      <w:r w:rsidR="00A31579" w:rsidRPr="00A31579">
        <w:rPr>
          <w:rFonts w:ascii="Times New Roman" w:eastAsia="Times New Roman" w:hAnsi="Times New Roman" w:cs="Times New Roman"/>
          <w:sz w:val="28"/>
          <w:szCs w:val="28"/>
        </w:rPr>
        <w:t xml:space="preserve"> расчет ключевого показателя «Доля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 возможен только по данным </w:t>
      </w:r>
      <w:r w:rsidR="0055064A">
        <w:rPr>
          <w:rFonts w:ascii="Times New Roman" w:eastAsia="Times New Roman" w:hAnsi="Times New Roman" w:cs="Times New Roman"/>
          <w:sz w:val="28"/>
          <w:szCs w:val="28"/>
        </w:rPr>
        <w:t>за 9</w:t>
      </w:r>
      <w:r>
        <w:rPr>
          <w:rFonts w:ascii="Times New Roman" w:eastAsia="Times New Roman" w:hAnsi="Times New Roman" w:cs="Times New Roman"/>
          <w:sz w:val="28"/>
          <w:szCs w:val="28"/>
        </w:rPr>
        <w:t xml:space="preserve"> месяцев</w:t>
      </w:r>
      <w:r w:rsidR="00A31579" w:rsidRPr="00A31579">
        <w:rPr>
          <w:rFonts w:ascii="Times New Roman" w:eastAsia="Times New Roman" w:hAnsi="Times New Roman" w:cs="Times New Roman"/>
          <w:sz w:val="28"/>
          <w:szCs w:val="28"/>
        </w:rPr>
        <w:t xml:space="preserve"> отчетного года</w:t>
      </w:r>
      <w:r w:rsidR="0055064A">
        <w:rPr>
          <w:rFonts w:ascii="Times New Roman" w:eastAsia="Times New Roman" w:hAnsi="Times New Roman" w:cs="Times New Roman"/>
          <w:sz w:val="28"/>
          <w:szCs w:val="28"/>
        </w:rPr>
        <w:t xml:space="preserve">. На основании вышеизложенного </w:t>
      </w:r>
      <w:r w:rsidR="00223F4B">
        <w:rPr>
          <w:rFonts w:ascii="Times New Roman" w:eastAsia="Times New Roman" w:hAnsi="Times New Roman" w:cs="Times New Roman"/>
          <w:sz w:val="28"/>
          <w:szCs w:val="28"/>
        </w:rPr>
        <w:t>предлагаем рекомендовать ФАС России сделать соответствующие уточнения в Методике расчета ключевых показателей.</w:t>
      </w:r>
    </w:p>
    <w:p w14:paraId="075E9101" w14:textId="77777777" w:rsidR="00A31579" w:rsidRPr="008D019A" w:rsidRDefault="00A31579" w:rsidP="00752923">
      <w:pPr>
        <w:jc w:val="both"/>
        <w:rPr>
          <w:rFonts w:ascii="Times New Roman" w:hAnsi="Times New Roman" w:cs="Times New Roman"/>
          <w:sz w:val="28"/>
          <w:szCs w:val="28"/>
        </w:rPr>
      </w:pPr>
    </w:p>
    <w:sectPr w:rsidR="00A31579" w:rsidRPr="008D019A" w:rsidSect="009A18FC">
      <w:pgSz w:w="11906" w:h="16838" w:code="9"/>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49ABE" w14:textId="77777777" w:rsidR="00E3307E" w:rsidRDefault="00E3307E" w:rsidP="003F4CFF">
      <w:r>
        <w:separator/>
      </w:r>
    </w:p>
    <w:p w14:paraId="06D13F2C" w14:textId="77777777" w:rsidR="00E3307E" w:rsidRDefault="00E3307E"/>
    <w:p w14:paraId="24712DCA" w14:textId="77777777" w:rsidR="00E3307E" w:rsidRDefault="00E3307E"/>
  </w:endnote>
  <w:endnote w:type="continuationSeparator" w:id="0">
    <w:p w14:paraId="198F6C82" w14:textId="77777777" w:rsidR="00E3307E" w:rsidRDefault="00E3307E" w:rsidP="003F4CFF">
      <w:r>
        <w:continuationSeparator/>
      </w:r>
    </w:p>
    <w:p w14:paraId="2E428215" w14:textId="77777777" w:rsidR="00E3307E" w:rsidRDefault="00E3307E"/>
    <w:p w14:paraId="488524B6" w14:textId="77777777" w:rsidR="00E3307E" w:rsidRDefault="00E330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127774"/>
      <w:docPartObj>
        <w:docPartGallery w:val="Page Numbers (Bottom of Page)"/>
        <w:docPartUnique/>
      </w:docPartObj>
    </w:sdtPr>
    <w:sdtEndPr>
      <w:rPr>
        <w:rFonts w:ascii="Times New Roman" w:hAnsi="Times New Roman" w:cs="Times New Roman"/>
        <w:sz w:val="20"/>
        <w:szCs w:val="20"/>
      </w:rPr>
    </w:sdtEndPr>
    <w:sdtContent>
      <w:p w14:paraId="0CD84DFD" w14:textId="7984633A" w:rsidR="00E77388" w:rsidRPr="00B64457" w:rsidRDefault="00E77388">
        <w:pPr>
          <w:pStyle w:val="af4"/>
          <w:jc w:val="right"/>
          <w:rPr>
            <w:rFonts w:ascii="Times New Roman" w:hAnsi="Times New Roman" w:cs="Times New Roman"/>
            <w:sz w:val="20"/>
            <w:szCs w:val="20"/>
          </w:rPr>
        </w:pPr>
        <w:r w:rsidRPr="00B64457">
          <w:rPr>
            <w:rFonts w:ascii="Times New Roman" w:hAnsi="Times New Roman" w:cs="Times New Roman"/>
            <w:sz w:val="20"/>
            <w:szCs w:val="20"/>
          </w:rPr>
          <w:fldChar w:fldCharType="begin"/>
        </w:r>
        <w:r w:rsidRPr="00B64457">
          <w:rPr>
            <w:rFonts w:ascii="Times New Roman" w:hAnsi="Times New Roman" w:cs="Times New Roman"/>
            <w:sz w:val="20"/>
            <w:szCs w:val="20"/>
          </w:rPr>
          <w:instrText>PAGE   \* MERGEFORMAT</w:instrText>
        </w:r>
        <w:r w:rsidRPr="00B64457">
          <w:rPr>
            <w:rFonts w:ascii="Times New Roman" w:hAnsi="Times New Roman" w:cs="Times New Roman"/>
            <w:sz w:val="20"/>
            <w:szCs w:val="20"/>
          </w:rPr>
          <w:fldChar w:fldCharType="separate"/>
        </w:r>
        <w:r w:rsidR="003D2429">
          <w:rPr>
            <w:rFonts w:ascii="Times New Roman" w:hAnsi="Times New Roman" w:cs="Times New Roman"/>
            <w:noProof/>
            <w:sz w:val="20"/>
            <w:szCs w:val="20"/>
          </w:rPr>
          <w:t>0</w:t>
        </w:r>
        <w:r w:rsidRPr="00B64457">
          <w:rPr>
            <w:rFonts w:ascii="Times New Roman" w:hAnsi="Times New Roman" w:cs="Times New Roman"/>
            <w:sz w:val="20"/>
            <w:szCs w:val="20"/>
          </w:rPr>
          <w:fldChar w:fldCharType="end"/>
        </w:r>
      </w:p>
    </w:sdtContent>
  </w:sdt>
  <w:p w14:paraId="61349602" w14:textId="77777777" w:rsidR="00E77388" w:rsidRDefault="00E77388">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003157"/>
      <w:docPartObj>
        <w:docPartGallery w:val="Page Numbers (Bottom of Page)"/>
        <w:docPartUnique/>
      </w:docPartObj>
    </w:sdtPr>
    <w:sdtEndPr>
      <w:rPr>
        <w:rFonts w:ascii="Times New Roman" w:hAnsi="Times New Roman" w:cs="Times New Roman"/>
        <w:sz w:val="20"/>
        <w:szCs w:val="20"/>
      </w:rPr>
    </w:sdtEndPr>
    <w:sdtContent>
      <w:p w14:paraId="6CD0F590" w14:textId="15F2F5F9" w:rsidR="00E77388" w:rsidRPr="00B64457" w:rsidRDefault="00E77388">
        <w:pPr>
          <w:pStyle w:val="af4"/>
          <w:jc w:val="right"/>
          <w:rPr>
            <w:rFonts w:ascii="Times New Roman" w:hAnsi="Times New Roman" w:cs="Times New Roman"/>
            <w:sz w:val="20"/>
            <w:szCs w:val="20"/>
          </w:rPr>
        </w:pPr>
        <w:r w:rsidRPr="00B64457">
          <w:rPr>
            <w:rFonts w:ascii="Times New Roman" w:hAnsi="Times New Roman" w:cs="Times New Roman"/>
            <w:sz w:val="20"/>
            <w:szCs w:val="20"/>
          </w:rPr>
          <w:fldChar w:fldCharType="begin"/>
        </w:r>
        <w:r w:rsidRPr="00B64457">
          <w:rPr>
            <w:rFonts w:ascii="Times New Roman" w:hAnsi="Times New Roman" w:cs="Times New Roman"/>
            <w:sz w:val="20"/>
            <w:szCs w:val="20"/>
          </w:rPr>
          <w:instrText>PAGE   \* MERGEFORMAT</w:instrText>
        </w:r>
        <w:r w:rsidRPr="00B64457">
          <w:rPr>
            <w:rFonts w:ascii="Times New Roman" w:hAnsi="Times New Roman" w:cs="Times New Roman"/>
            <w:sz w:val="20"/>
            <w:szCs w:val="20"/>
          </w:rPr>
          <w:fldChar w:fldCharType="separate"/>
        </w:r>
        <w:r w:rsidR="003D2429">
          <w:rPr>
            <w:rFonts w:ascii="Times New Roman" w:hAnsi="Times New Roman" w:cs="Times New Roman"/>
            <w:noProof/>
            <w:sz w:val="20"/>
            <w:szCs w:val="20"/>
          </w:rPr>
          <w:t>352</w:t>
        </w:r>
        <w:r w:rsidRPr="00B64457">
          <w:rPr>
            <w:rFonts w:ascii="Times New Roman" w:hAnsi="Times New Roman" w:cs="Times New Roman"/>
            <w:sz w:val="20"/>
            <w:szCs w:val="20"/>
          </w:rPr>
          <w:fldChar w:fldCharType="end"/>
        </w:r>
      </w:p>
    </w:sdtContent>
  </w:sdt>
  <w:p w14:paraId="27698EFF" w14:textId="77777777" w:rsidR="00E77388" w:rsidRDefault="00E77388">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50D62" w14:textId="77777777" w:rsidR="00E3307E" w:rsidRDefault="00E3307E" w:rsidP="00587D53">
      <w:pPr>
        <w:jc w:val="left"/>
      </w:pPr>
      <w:r>
        <w:separator/>
      </w:r>
    </w:p>
    <w:p w14:paraId="337F242C" w14:textId="77777777" w:rsidR="00E3307E" w:rsidRDefault="00E3307E"/>
    <w:p w14:paraId="2F9B6EF9" w14:textId="77777777" w:rsidR="00E3307E" w:rsidRDefault="00E3307E"/>
  </w:footnote>
  <w:footnote w:type="continuationSeparator" w:id="0">
    <w:p w14:paraId="1E463DE4" w14:textId="77777777" w:rsidR="00E3307E" w:rsidRDefault="00E3307E" w:rsidP="003F4CFF">
      <w:r>
        <w:continuationSeparator/>
      </w:r>
    </w:p>
    <w:p w14:paraId="07C122E2" w14:textId="77777777" w:rsidR="00E3307E" w:rsidRDefault="00E3307E"/>
    <w:p w14:paraId="1763DD6B" w14:textId="77777777" w:rsidR="00E3307E" w:rsidRDefault="00E3307E"/>
  </w:footnote>
  <w:footnote w:id="1">
    <w:p w14:paraId="6CDF9358" w14:textId="77777777" w:rsidR="00E77388" w:rsidRPr="00901F6F" w:rsidRDefault="00E77388" w:rsidP="003F4CFF">
      <w:pPr>
        <w:shd w:val="clear" w:color="auto" w:fill="FFFFFF" w:themeFill="background1"/>
        <w:jc w:val="both"/>
        <w:rPr>
          <w:rFonts w:ascii="Times New Roman" w:eastAsiaTheme="minorHAnsi" w:hAnsi="Times New Roman" w:cs="Times New Roman"/>
          <w:iCs/>
          <w:sz w:val="28"/>
          <w:szCs w:val="28"/>
          <w:lang w:eastAsia="en-US"/>
        </w:rPr>
      </w:pPr>
      <w:r>
        <w:rPr>
          <w:rStyle w:val="afb"/>
        </w:rPr>
        <w:footnoteRef/>
      </w:r>
      <w:r w:rsidRPr="003D02AE">
        <w:rPr>
          <w:rFonts w:ascii="Times New Roman" w:hAnsi="Times New Roman" w:cs="Times New Roman"/>
          <w:iCs/>
          <w:sz w:val="20"/>
          <w:szCs w:val="20"/>
          <w:lang w:eastAsia="en-US"/>
        </w:rPr>
        <w:t>Фактические данные не</w:t>
      </w:r>
      <w:r w:rsidRPr="003D02AE">
        <w:rPr>
          <w:rFonts w:ascii="Times New Roman" w:eastAsiaTheme="minorHAnsi" w:hAnsi="Times New Roman" w:cs="Times New Roman"/>
          <w:iCs/>
          <w:sz w:val="20"/>
          <w:szCs w:val="20"/>
          <w:lang w:eastAsia="en-US"/>
        </w:rPr>
        <w:t xml:space="preserve"> приводятся в целях соблюдения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статистическим учете и системе государственной статистики в Российской Федерации».</w:t>
      </w:r>
    </w:p>
    <w:p w14:paraId="582494B3" w14:textId="77777777" w:rsidR="00E77388" w:rsidRDefault="00E77388" w:rsidP="003F4CFF">
      <w:pPr>
        <w:pStyle w:val="af9"/>
      </w:pPr>
    </w:p>
  </w:footnote>
  <w:footnote w:id="2">
    <w:p w14:paraId="0E696914" w14:textId="77777777" w:rsidR="00E77388" w:rsidRDefault="00E77388" w:rsidP="003F4CFF">
      <w:pPr>
        <w:pStyle w:val="af9"/>
        <w:jc w:val="both"/>
        <w:rPr>
          <w:sz w:val="18"/>
          <w:szCs w:val="18"/>
        </w:rPr>
      </w:pPr>
      <w:r w:rsidRPr="00EC5135">
        <w:rPr>
          <w:rStyle w:val="afb"/>
          <w:rFonts w:eastAsia="Times New Roman"/>
          <w:sz w:val="18"/>
          <w:szCs w:val="18"/>
        </w:rPr>
        <w:footnoteRef/>
      </w:r>
      <w:r>
        <w:rPr>
          <w:sz w:val="18"/>
          <w:szCs w:val="18"/>
        </w:rPr>
        <w:t xml:space="preserve"> Общее число жалоб, включая жалобы от населения. В скобках указано число жалоб от юридических лиц.</w:t>
      </w:r>
    </w:p>
  </w:footnote>
  <w:footnote w:id="3">
    <w:p w14:paraId="7CF0D3C4" w14:textId="77777777" w:rsidR="00E77388" w:rsidRDefault="00E77388" w:rsidP="003F4CFF">
      <w:pPr>
        <w:pStyle w:val="af9"/>
        <w:jc w:val="both"/>
        <w:rPr>
          <w:bCs/>
          <w:sz w:val="18"/>
          <w:szCs w:val="18"/>
        </w:rPr>
      </w:pPr>
      <w:r w:rsidRPr="00EC5135">
        <w:rPr>
          <w:rStyle w:val="afb"/>
          <w:rFonts w:eastAsia="Times New Roman"/>
          <w:sz w:val="18"/>
          <w:szCs w:val="18"/>
        </w:rPr>
        <w:footnoteRef/>
      </w:r>
      <w:r>
        <w:rPr>
          <w:sz w:val="18"/>
          <w:szCs w:val="18"/>
        </w:rPr>
        <w:t xml:space="preserve"> Общее число жалоб, включая жалобы потребителей.</w:t>
      </w:r>
    </w:p>
  </w:footnote>
  <w:footnote w:id="4">
    <w:p w14:paraId="3DF90C8D" w14:textId="77777777" w:rsidR="00E77388" w:rsidRDefault="00E77388" w:rsidP="003F4CFF">
      <w:pPr>
        <w:pStyle w:val="af9"/>
        <w:jc w:val="both"/>
        <w:rPr>
          <w:sz w:val="18"/>
          <w:szCs w:val="18"/>
        </w:rPr>
      </w:pPr>
      <w:r w:rsidRPr="00EC5135">
        <w:rPr>
          <w:rStyle w:val="afb"/>
          <w:rFonts w:eastAsia="Times New Roman"/>
          <w:sz w:val="18"/>
          <w:szCs w:val="18"/>
        </w:rPr>
        <w:footnoteRef/>
      </w:r>
      <w:r>
        <w:rPr>
          <w:sz w:val="18"/>
          <w:szCs w:val="18"/>
        </w:rPr>
        <w:t xml:space="preserve"> Ориентировочное число жалоб на основе документа «Итоги работы Новосибирского УФАС России за 2018 год».</w:t>
      </w:r>
    </w:p>
  </w:footnote>
  <w:footnote w:id="5">
    <w:p w14:paraId="16634AED" w14:textId="77777777" w:rsidR="00E77388" w:rsidRDefault="00E77388" w:rsidP="003F4CFF">
      <w:pPr>
        <w:pStyle w:val="af9"/>
        <w:jc w:val="both"/>
        <w:rPr>
          <w:sz w:val="18"/>
          <w:szCs w:val="18"/>
        </w:rPr>
      </w:pPr>
      <w:r w:rsidRPr="00EC5135">
        <w:rPr>
          <w:rStyle w:val="afb"/>
          <w:rFonts w:eastAsia="Times New Roman"/>
          <w:sz w:val="18"/>
          <w:szCs w:val="18"/>
        </w:rPr>
        <w:footnoteRef/>
      </w:r>
      <w:r>
        <w:rPr>
          <w:sz w:val="18"/>
          <w:szCs w:val="18"/>
        </w:rPr>
        <w:t xml:space="preserve"> Ориентировочное число жалоб на основе документов «Информация о результатах рассмотрения обращений граждан, представителей организаций (юридических лиц), органов власти, общественных объединений, поступивших в Новосибирское УФАС России».</w:t>
      </w:r>
    </w:p>
  </w:footnote>
  <w:footnote w:id="6">
    <w:p w14:paraId="7A3E276F" w14:textId="77777777" w:rsidR="00E77388" w:rsidRDefault="00E77388" w:rsidP="003F4CFF">
      <w:pPr>
        <w:pStyle w:val="af9"/>
        <w:jc w:val="both"/>
        <w:rPr>
          <w:sz w:val="18"/>
          <w:szCs w:val="18"/>
        </w:rPr>
      </w:pPr>
      <w:r w:rsidRPr="00EC5135">
        <w:rPr>
          <w:rStyle w:val="afb"/>
          <w:rFonts w:eastAsia="Times New Roman"/>
          <w:sz w:val="18"/>
          <w:szCs w:val="18"/>
        </w:rPr>
        <w:footnoteRef/>
      </w:r>
      <w:r>
        <w:rPr>
          <w:sz w:val="18"/>
          <w:szCs w:val="18"/>
        </w:rPr>
        <w:t xml:space="preserve"> Количество жалоб от юридических лиц, через «/» – количество обоснованных жалоб.</w:t>
      </w:r>
    </w:p>
  </w:footnote>
  <w:footnote w:id="7">
    <w:p w14:paraId="3D7BB626" w14:textId="77777777" w:rsidR="00E77388" w:rsidRDefault="00E77388" w:rsidP="003F4CFF">
      <w:pPr>
        <w:pStyle w:val="af9"/>
        <w:jc w:val="both"/>
      </w:pPr>
      <w:r w:rsidRPr="006D4184">
        <w:rPr>
          <w:rStyle w:val="afb"/>
          <w:rFonts w:eastAsia="Times New Roman"/>
        </w:rPr>
        <w:footnoteRef/>
      </w:r>
      <w:r>
        <w:t xml:space="preserve"> Общее </w:t>
      </w:r>
      <w:r w:rsidRPr="00CE6382">
        <w:rPr>
          <w:rFonts w:eastAsia="Times New Roman"/>
        </w:rPr>
        <w:t xml:space="preserve">службы </w:t>
      </w:r>
      <w:r>
        <w:t>число жалоб, включая жалобы хозяйствующих субъектов. В скобках указано число жалоб от физических лиц (населения).</w:t>
      </w:r>
    </w:p>
  </w:footnote>
  <w:footnote w:id="8">
    <w:p w14:paraId="4E07AE24" w14:textId="77777777" w:rsidR="00E77388" w:rsidRDefault="00E77388" w:rsidP="003F4CFF">
      <w:pPr>
        <w:pStyle w:val="af9"/>
        <w:jc w:val="both"/>
      </w:pPr>
      <w:r w:rsidRPr="006D4184">
        <w:rPr>
          <w:rStyle w:val="afb"/>
          <w:rFonts w:eastAsia="Times New Roman"/>
        </w:rPr>
        <w:footnoteRef/>
      </w:r>
      <w:r>
        <w:t xml:space="preserve"> Общее число жалоб, включая жалобы хозяйствующих субъектов.</w:t>
      </w:r>
    </w:p>
  </w:footnote>
  <w:footnote w:id="9">
    <w:p w14:paraId="17B068DB" w14:textId="77777777" w:rsidR="00E77388" w:rsidRDefault="00E77388" w:rsidP="003F4CFF">
      <w:pPr>
        <w:pStyle w:val="af9"/>
        <w:jc w:val="both"/>
      </w:pPr>
      <w:r w:rsidRPr="006D4184">
        <w:rPr>
          <w:rStyle w:val="afb"/>
          <w:rFonts w:eastAsia="Times New Roman"/>
        </w:rPr>
        <w:footnoteRef/>
      </w:r>
      <w:r>
        <w:t xml:space="preserve"> Указано ориентировочное число жалоб (суммарно от хозяйствующих субъектов и потребителей по разным видам обращений).</w:t>
      </w:r>
    </w:p>
  </w:footnote>
  <w:footnote w:id="10">
    <w:p w14:paraId="65B361DD" w14:textId="77777777" w:rsidR="00E77388" w:rsidRDefault="00E77388" w:rsidP="003F4CFF">
      <w:pPr>
        <w:pStyle w:val="af9"/>
        <w:jc w:val="both"/>
      </w:pPr>
      <w:r w:rsidRPr="006D4184">
        <w:rPr>
          <w:rStyle w:val="afb"/>
          <w:rFonts w:eastAsia="Times New Roman"/>
        </w:rPr>
        <w:footnoteRef/>
      </w:r>
      <w:r>
        <w:t xml:space="preserve"> Ориентировочное число жалоб на основе документа «Итоги работы Новосибирского УФАС России за 2018 год».</w:t>
      </w:r>
    </w:p>
  </w:footnote>
  <w:footnote w:id="11">
    <w:p w14:paraId="2DBE3FFD" w14:textId="77777777" w:rsidR="00E77388" w:rsidRDefault="00E77388" w:rsidP="003F4CFF">
      <w:pPr>
        <w:pStyle w:val="af9"/>
        <w:jc w:val="both"/>
      </w:pPr>
      <w:r w:rsidRPr="006D4184">
        <w:rPr>
          <w:rStyle w:val="afb"/>
          <w:rFonts w:eastAsia="Times New Roman"/>
        </w:rPr>
        <w:footnoteRef/>
      </w:r>
      <w:r>
        <w:t xml:space="preserve"> Ориентировочное число жалоб на основе документов «Информация о результатах рассмотрения обращений граждан, представителей организаций (юридических лиц), органов власти, общественных объединений, поступивших в Новосибирское УФАС России».</w:t>
      </w:r>
    </w:p>
  </w:footnote>
  <w:footnote w:id="12">
    <w:p w14:paraId="76A9AB8B" w14:textId="77777777" w:rsidR="00E77388" w:rsidRDefault="00E77388" w:rsidP="003F4CFF">
      <w:pPr>
        <w:pStyle w:val="af9"/>
        <w:jc w:val="both"/>
      </w:pPr>
      <w:r w:rsidRPr="006D4184">
        <w:rPr>
          <w:rStyle w:val="afb"/>
          <w:rFonts w:eastAsia="Times New Roman"/>
        </w:rPr>
        <w:footnoteRef/>
      </w:r>
      <w:r>
        <w:t xml:space="preserve"> Количество жалоб от физических лиц, через «/» – количество обоснованных жалоб.</w:t>
      </w:r>
    </w:p>
  </w:footnote>
  <w:footnote w:id="13">
    <w:p w14:paraId="6626DD25" w14:textId="77777777" w:rsidR="00E77388" w:rsidRDefault="00E77388" w:rsidP="003F4CFF">
      <w:pPr>
        <w:pStyle w:val="af9"/>
        <w:jc w:val="both"/>
      </w:pPr>
      <w:r>
        <w:rPr>
          <w:rStyle w:val="afb"/>
        </w:rPr>
        <w:footnoteRef/>
      </w:r>
      <w:r>
        <w:t xml:space="preserve"> https://www.nalog.ru/rn54/related_activities/statistics_and_analytics/appeals_citizens/</w:t>
      </w:r>
    </w:p>
  </w:footnote>
  <w:footnote w:id="14">
    <w:p w14:paraId="5CF14620" w14:textId="77777777" w:rsidR="00E77388" w:rsidRPr="00EC7473" w:rsidRDefault="00E77388" w:rsidP="003F26A5">
      <w:pPr>
        <w:pStyle w:val="af9"/>
        <w:jc w:val="both"/>
      </w:pPr>
      <w:r>
        <w:rPr>
          <w:rStyle w:val="afb"/>
        </w:rPr>
        <w:footnoteRef/>
      </w:r>
      <w:r>
        <w:t xml:space="preserve"> </w:t>
      </w:r>
      <w:r w:rsidRPr="00EC7473">
        <w:t>Расчет показателей 2.2-2.5 осуществляется с учетом закупок подведомственных учреждений и территориальных структурных подразделений</w:t>
      </w:r>
      <w:r>
        <w:t>.</w:t>
      </w:r>
    </w:p>
  </w:footnote>
  <w:footnote w:id="15">
    <w:p w14:paraId="2F1C2A8B" w14:textId="77777777" w:rsidR="00E77388" w:rsidRPr="000A272D" w:rsidRDefault="00E77388" w:rsidP="003F26A5">
      <w:pPr>
        <w:autoSpaceDE w:val="0"/>
        <w:autoSpaceDN w:val="0"/>
        <w:jc w:val="both"/>
        <w:rPr>
          <w:rFonts w:ascii="Times New Roman" w:hAnsi="Times New Roman"/>
          <w:sz w:val="28"/>
          <w:szCs w:val="28"/>
        </w:rPr>
      </w:pPr>
      <w:r>
        <w:rPr>
          <w:rStyle w:val="afb"/>
        </w:rPr>
        <w:footnoteRef/>
      </w:r>
      <w:r>
        <w:t xml:space="preserve"> </w:t>
      </w:r>
      <w:r w:rsidRPr="008911DD">
        <w:rPr>
          <w:rFonts w:ascii="Times New Roman" w:hAnsi="Times New Roman"/>
          <w:sz w:val="20"/>
          <w:szCs w:val="20"/>
        </w:rPr>
        <w:t>В соответствии с пунктом</w:t>
      </w:r>
      <w:r w:rsidRPr="008911DD">
        <w:rPr>
          <w:rFonts w:ascii="Times New Roman" w:hAnsi="Times New Roman"/>
          <w:color w:val="1F497D"/>
          <w:sz w:val="20"/>
          <w:szCs w:val="20"/>
        </w:rPr>
        <w:t> </w:t>
      </w:r>
      <w:r w:rsidRPr="008911DD">
        <w:rPr>
          <w:rFonts w:ascii="Times New Roman" w:hAnsi="Times New Roman"/>
          <w:sz w:val="20"/>
          <w:szCs w:val="20"/>
        </w:rPr>
        <w:t>4.5 части 17 статьи 51 Градостроительного кодекса Российской Федерации</w:t>
      </w:r>
      <w:r w:rsidRPr="008911DD">
        <w:rPr>
          <w:rFonts w:ascii="Times New Roman" w:hAnsi="Times New Roman"/>
          <w:b/>
          <w:bCs/>
          <w:sz w:val="20"/>
          <w:szCs w:val="20"/>
        </w:rPr>
        <w:t xml:space="preserve"> </w:t>
      </w:r>
      <w:r w:rsidRPr="008911DD">
        <w:rPr>
          <w:rFonts w:ascii="Times New Roman" w:hAnsi="Times New Roman"/>
          <w:sz w:val="20"/>
          <w:szCs w:val="20"/>
        </w:rPr>
        <w:t>выдача разрешения на строительство не требуется в случае размещения антенных опор (мачт и башен) высотой до 50 метров, предназначенных для размещения средств связи. Данный пункт введен Федеральным законом от 02.08.2019 № 283-ФЗ «О внесении изменений в Градостроительный кодекс Российской Федерации и отдельные законодательные акты Российской Федерации».</w:t>
      </w:r>
    </w:p>
  </w:footnote>
  <w:footnote w:id="16">
    <w:p w14:paraId="7FAF5CFE" w14:textId="77777777" w:rsidR="00E77388" w:rsidRDefault="00E77388" w:rsidP="003F4CFF">
      <w:pPr>
        <w:pStyle w:val="af9"/>
        <w:jc w:val="left"/>
      </w:pPr>
      <w:r>
        <w:rPr>
          <w:rStyle w:val="afb"/>
        </w:rPr>
        <w:footnoteRef/>
      </w:r>
      <w:r>
        <w:t xml:space="preserve"> Здесь и далее: у</w:t>
      </w:r>
      <w:r w:rsidRPr="000D5ED2">
        <w:t>казывается среднее значение (качество, цена, доступность) данных мониторинга в части опроса потребителей по каждому рынку: сумма в процентном отношении ответов респондентов</w:t>
      </w:r>
    </w:p>
  </w:footnote>
  <w:footnote w:id="17">
    <w:p w14:paraId="058F6EFE" w14:textId="77777777" w:rsidR="00E77388" w:rsidRDefault="00E77388" w:rsidP="003F4CFF">
      <w:pPr>
        <w:pStyle w:val="af9"/>
        <w:jc w:val="left"/>
      </w:pPr>
      <w:r>
        <w:rPr>
          <w:rStyle w:val="afb"/>
        </w:rPr>
        <w:footnoteRef/>
      </w:r>
      <w:r>
        <w:t xml:space="preserve"> Здесь и далее:</w:t>
      </w:r>
      <w:r w:rsidRPr="000D5ED2">
        <w:t xml:space="preserve"> </w:t>
      </w:r>
      <w:r>
        <w:t>у</w:t>
      </w:r>
      <w:r w:rsidRPr="000D5ED2">
        <w:t>казываются данные мониторинга в части опроса предпринимателей по каждому рынку: сумма в</w:t>
      </w:r>
      <w:r>
        <w:t xml:space="preserve"> процентном отношении ответов «удовлетворен» и «скорее удовлетворен»</w:t>
      </w:r>
      <w:r w:rsidRPr="000D5ED2">
        <w:t xml:space="preserve"> от общего количества опрошенных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8F984" w14:textId="77777777" w:rsidR="00E77388" w:rsidRDefault="00E77388">
    <w:pPr>
      <w:pStyle w:val="af2"/>
    </w:pPr>
    <w:r>
      <w:t>Доклад о состоянии и развитии конкуренции на товарных рынках Новосибирской области</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2A626" w14:textId="77777777" w:rsidR="00E77388" w:rsidRDefault="00E77388" w:rsidP="00E50B13">
    <w:pPr>
      <w:autoSpaceDE w:val="0"/>
      <w:autoSpaceDN w:val="0"/>
      <w:adjustRightInd w:val="0"/>
      <w:jc w:val="right"/>
      <w:rPr>
        <w:rFonts w:ascii="Times New Roman" w:hAnsi="Times New Roman" w:cs="Times New Roman"/>
        <w:color w:val="001747" w:themeColor="accent1" w:themeShade="BF"/>
        <w:sz w:val="20"/>
        <w:szCs w:val="20"/>
      </w:rPr>
    </w:pPr>
    <w:r w:rsidRPr="00E111D8">
      <w:rPr>
        <w:rFonts w:ascii="Times New Roman" w:hAnsi="Times New Roman" w:cs="Times New Roman"/>
        <w:color w:val="001747" w:themeColor="accent1" w:themeShade="BF"/>
        <w:sz w:val="20"/>
        <w:szCs w:val="20"/>
      </w:rPr>
      <w:t xml:space="preserve">Доклад о состоянии и развитии конкуренции </w:t>
    </w:r>
  </w:p>
  <w:p w14:paraId="58CCF285" w14:textId="77777777" w:rsidR="00E77388" w:rsidRPr="00E111D8" w:rsidRDefault="00E77388" w:rsidP="00E50B13">
    <w:pPr>
      <w:autoSpaceDE w:val="0"/>
      <w:autoSpaceDN w:val="0"/>
      <w:adjustRightInd w:val="0"/>
      <w:jc w:val="right"/>
      <w:rPr>
        <w:rFonts w:ascii="Times New Roman" w:hAnsi="Times New Roman" w:cs="Times New Roman"/>
        <w:color w:val="001747" w:themeColor="accent1" w:themeShade="BF"/>
        <w:sz w:val="20"/>
        <w:szCs w:val="20"/>
      </w:rPr>
    </w:pPr>
    <w:r w:rsidRPr="00E111D8">
      <w:rPr>
        <w:rFonts w:ascii="Times New Roman" w:hAnsi="Times New Roman" w:cs="Times New Roman"/>
        <w:color w:val="001747" w:themeColor="accent1" w:themeShade="BF"/>
        <w:sz w:val="20"/>
        <w:szCs w:val="20"/>
      </w:rPr>
      <w:t>на товарных рынках Новосибирской области</w:t>
    </w:r>
  </w:p>
  <w:p w14:paraId="4980B5C0" w14:textId="77777777" w:rsidR="00E77388" w:rsidRDefault="00E77388">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3D107" w14:textId="77777777" w:rsidR="00E77388" w:rsidRPr="00BE6E1F" w:rsidRDefault="00E77388" w:rsidP="00BE6E1F">
    <w:pPr>
      <w:pStyle w:val="af2"/>
      <w:jc w:val="right"/>
      <w:rPr>
        <w:rFonts w:ascii="Times New Roman" w:hAnsi="Times New Roman" w:cs="Times New Roman"/>
        <w:color w:val="002060" w:themeColor="accent1"/>
      </w:rPr>
    </w:pPr>
    <w:r w:rsidRPr="00BE6E1F">
      <w:rPr>
        <w:rFonts w:ascii="Times New Roman" w:hAnsi="Times New Roman" w:cs="Times New Roman"/>
        <w:color w:val="002060" w:themeColor="accent1"/>
      </w:rPr>
      <w:t>Доклад о состоянии и развитии конкуренции</w:t>
    </w:r>
  </w:p>
  <w:p w14:paraId="2627001E" w14:textId="77777777" w:rsidR="00E77388" w:rsidRDefault="00E77388" w:rsidP="008F6ED4">
    <w:pPr>
      <w:pStyle w:val="af2"/>
      <w:tabs>
        <w:tab w:val="clear" w:pos="9355"/>
        <w:tab w:val="right" w:pos="9921"/>
      </w:tabs>
      <w:jc w:val="right"/>
      <w:rPr>
        <w:rFonts w:ascii="Times New Roman" w:hAnsi="Times New Roman" w:cs="Times New Roman"/>
        <w:color w:val="002060" w:themeColor="accent1"/>
      </w:rPr>
    </w:pPr>
    <w:r w:rsidRPr="00BE6E1F">
      <w:rPr>
        <w:rFonts w:ascii="Times New Roman" w:hAnsi="Times New Roman" w:cs="Times New Roman"/>
        <w:color w:val="002060" w:themeColor="accent1"/>
      </w:rPr>
      <w:t xml:space="preserve"> на товарных рынках Новосибирской области</w:t>
    </w:r>
  </w:p>
  <w:p w14:paraId="413C3B11" w14:textId="77777777" w:rsidR="00E77388" w:rsidRPr="00BE6E1F" w:rsidRDefault="00E77388" w:rsidP="00BE6E1F">
    <w:pPr>
      <w:pStyle w:val="af2"/>
      <w:jc w:val="right"/>
      <w:rPr>
        <w:rFonts w:ascii="Times New Roman" w:hAnsi="Times New Roman" w:cs="Times New Roman"/>
        <w:color w:val="002060" w:themeColor="accent1"/>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B6906" w14:textId="77777777" w:rsidR="00E77388" w:rsidRPr="00854831" w:rsidRDefault="00E77388" w:rsidP="003F4CFF">
    <w:pPr>
      <w:pStyle w:val="af2"/>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92297"/>
    <w:multiLevelType w:val="hybridMultilevel"/>
    <w:tmpl w:val="949E0DD0"/>
    <w:lvl w:ilvl="0" w:tplc="52C4A96A">
      <w:start w:val="1"/>
      <w:numFmt w:val="decimal"/>
      <w:lvlText w:val="%1."/>
      <w:lvlJc w:val="left"/>
      <w:pPr>
        <w:ind w:left="786"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B36226"/>
    <w:multiLevelType w:val="hybridMultilevel"/>
    <w:tmpl w:val="33FC9BCE"/>
    <w:lvl w:ilvl="0" w:tplc="0C14965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15:restartNumberingAfterBreak="0">
    <w:nsid w:val="13F71CD1"/>
    <w:multiLevelType w:val="hybridMultilevel"/>
    <w:tmpl w:val="776A9EDA"/>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5382EA6"/>
    <w:multiLevelType w:val="hybridMultilevel"/>
    <w:tmpl w:val="BBA2B542"/>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933669F"/>
    <w:multiLevelType w:val="hybridMultilevel"/>
    <w:tmpl w:val="B728F070"/>
    <w:lvl w:ilvl="0" w:tplc="76CCE416">
      <w:start w:val="1"/>
      <w:numFmt w:val="bullet"/>
      <w:lvlText w:val=""/>
      <w:lvlJc w:val="left"/>
      <w:pPr>
        <w:ind w:left="720" w:hanging="360"/>
      </w:pPr>
      <w:rPr>
        <w:rFonts w:ascii="Symbol" w:hAnsi="Symbol" w:hint="default"/>
        <w:sz w:val="24"/>
        <w:szCs w:val="24"/>
      </w:rPr>
    </w:lvl>
    <w:lvl w:ilvl="1" w:tplc="89367D96">
      <w:start w:val="1"/>
      <w:numFmt w:val="decimal"/>
      <w:lvlText w:val="%2."/>
      <w:lvlJc w:val="left"/>
      <w:pPr>
        <w:tabs>
          <w:tab w:val="num" w:pos="1440"/>
        </w:tabs>
        <w:ind w:left="1440" w:hanging="360"/>
      </w:pPr>
    </w:lvl>
    <w:lvl w:ilvl="2" w:tplc="632600EA">
      <w:start w:val="1"/>
      <w:numFmt w:val="decimal"/>
      <w:lvlText w:val="%3."/>
      <w:lvlJc w:val="left"/>
      <w:pPr>
        <w:tabs>
          <w:tab w:val="num" w:pos="2160"/>
        </w:tabs>
        <w:ind w:left="2160" w:hanging="360"/>
      </w:pPr>
    </w:lvl>
    <w:lvl w:ilvl="3" w:tplc="4EEC4DE8">
      <w:start w:val="1"/>
      <w:numFmt w:val="decimal"/>
      <w:lvlText w:val="%4."/>
      <w:lvlJc w:val="left"/>
      <w:pPr>
        <w:tabs>
          <w:tab w:val="num" w:pos="2880"/>
        </w:tabs>
        <w:ind w:left="2880" w:hanging="360"/>
      </w:pPr>
    </w:lvl>
    <w:lvl w:ilvl="4" w:tplc="22AC658A">
      <w:start w:val="1"/>
      <w:numFmt w:val="decimal"/>
      <w:lvlText w:val="%5."/>
      <w:lvlJc w:val="left"/>
      <w:pPr>
        <w:tabs>
          <w:tab w:val="num" w:pos="3600"/>
        </w:tabs>
        <w:ind w:left="3600" w:hanging="360"/>
      </w:pPr>
    </w:lvl>
    <w:lvl w:ilvl="5" w:tplc="ECA074BA">
      <w:start w:val="1"/>
      <w:numFmt w:val="decimal"/>
      <w:lvlText w:val="%6."/>
      <w:lvlJc w:val="left"/>
      <w:pPr>
        <w:tabs>
          <w:tab w:val="num" w:pos="4320"/>
        </w:tabs>
        <w:ind w:left="4320" w:hanging="360"/>
      </w:pPr>
    </w:lvl>
    <w:lvl w:ilvl="6" w:tplc="8FAC3E46">
      <w:start w:val="1"/>
      <w:numFmt w:val="decimal"/>
      <w:lvlText w:val="%7."/>
      <w:lvlJc w:val="left"/>
      <w:pPr>
        <w:tabs>
          <w:tab w:val="num" w:pos="5040"/>
        </w:tabs>
        <w:ind w:left="5040" w:hanging="360"/>
      </w:pPr>
    </w:lvl>
    <w:lvl w:ilvl="7" w:tplc="535427FE">
      <w:start w:val="1"/>
      <w:numFmt w:val="decimal"/>
      <w:lvlText w:val="%8."/>
      <w:lvlJc w:val="left"/>
      <w:pPr>
        <w:tabs>
          <w:tab w:val="num" w:pos="5760"/>
        </w:tabs>
        <w:ind w:left="5760" w:hanging="360"/>
      </w:pPr>
    </w:lvl>
    <w:lvl w:ilvl="8" w:tplc="8092D64E">
      <w:start w:val="1"/>
      <w:numFmt w:val="decimal"/>
      <w:lvlText w:val="%9."/>
      <w:lvlJc w:val="left"/>
      <w:pPr>
        <w:tabs>
          <w:tab w:val="num" w:pos="6480"/>
        </w:tabs>
        <w:ind w:left="6480" w:hanging="360"/>
      </w:pPr>
    </w:lvl>
  </w:abstractNum>
  <w:abstractNum w:abstractNumId="5" w15:restartNumberingAfterBreak="0">
    <w:nsid w:val="51282634"/>
    <w:multiLevelType w:val="hybridMultilevel"/>
    <w:tmpl w:val="981CEABE"/>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CC0795F"/>
    <w:multiLevelType w:val="hybridMultilevel"/>
    <w:tmpl w:val="089CCB5C"/>
    <w:lvl w:ilvl="0" w:tplc="58BA2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6D66D07"/>
    <w:multiLevelType w:val="hybridMultilevel"/>
    <w:tmpl w:val="FF9217BC"/>
    <w:lvl w:ilvl="0" w:tplc="108C4D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D0B15B0"/>
    <w:multiLevelType w:val="hybridMultilevel"/>
    <w:tmpl w:val="54768D78"/>
    <w:lvl w:ilvl="0" w:tplc="0C14965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7DD516F5"/>
    <w:multiLevelType w:val="multilevel"/>
    <w:tmpl w:val="ED70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8"/>
  </w:num>
  <w:num w:numId="4">
    <w:abstractNumId w:val="1"/>
  </w:num>
  <w:num w:numId="5">
    <w:abstractNumId w:val="4"/>
  </w:num>
  <w:num w:numId="6">
    <w:abstractNumId w:val="7"/>
  </w:num>
  <w:num w:numId="7">
    <w:abstractNumId w:val="6"/>
  </w:num>
  <w:num w:numId="8">
    <w:abstractNumId w:val="2"/>
  </w:num>
  <w:num w:numId="9">
    <w:abstractNumId w:val="5"/>
  </w:num>
  <w:num w:numId="1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EEC"/>
    <w:rsid w:val="000047AF"/>
    <w:rsid w:val="00013860"/>
    <w:rsid w:val="000221BE"/>
    <w:rsid w:val="000268D0"/>
    <w:rsid w:val="000422C8"/>
    <w:rsid w:val="00053A40"/>
    <w:rsid w:val="000560A5"/>
    <w:rsid w:val="00065DCF"/>
    <w:rsid w:val="00071BEC"/>
    <w:rsid w:val="00074E17"/>
    <w:rsid w:val="000821EE"/>
    <w:rsid w:val="000A11D1"/>
    <w:rsid w:val="000A129F"/>
    <w:rsid w:val="000A2A11"/>
    <w:rsid w:val="000C0FC6"/>
    <w:rsid w:val="000C6A06"/>
    <w:rsid w:val="000E6DA7"/>
    <w:rsid w:val="000F392F"/>
    <w:rsid w:val="001130F2"/>
    <w:rsid w:val="00124415"/>
    <w:rsid w:val="00124BC6"/>
    <w:rsid w:val="001303AE"/>
    <w:rsid w:val="00135307"/>
    <w:rsid w:val="001611AE"/>
    <w:rsid w:val="00192D8B"/>
    <w:rsid w:val="001A1746"/>
    <w:rsid w:val="001C2474"/>
    <w:rsid w:val="001D2D74"/>
    <w:rsid w:val="001D398C"/>
    <w:rsid w:val="001D44C2"/>
    <w:rsid w:val="001E0024"/>
    <w:rsid w:val="001E20B8"/>
    <w:rsid w:val="00223F4B"/>
    <w:rsid w:val="00224B94"/>
    <w:rsid w:val="002300E5"/>
    <w:rsid w:val="0023210C"/>
    <w:rsid w:val="00236F5D"/>
    <w:rsid w:val="0024079F"/>
    <w:rsid w:val="00261CB1"/>
    <w:rsid w:val="002666D2"/>
    <w:rsid w:val="00273596"/>
    <w:rsid w:val="002858B1"/>
    <w:rsid w:val="002940C1"/>
    <w:rsid w:val="002B360E"/>
    <w:rsid w:val="002B3EEC"/>
    <w:rsid w:val="002C281A"/>
    <w:rsid w:val="002C5F76"/>
    <w:rsid w:val="002C6A30"/>
    <w:rsid w:val="002E06E6"/>
    <w:rsid w:val="002E4082"/>
    <w:rsid w:val="00316127"/>
    <w:rsid w:val="00320A78"/>
    <w:rsid w:val="00321372"/>
    <w:rsid w:val="003317F3"/>
    <w:rsid w:val="0034170A"/>
    <w:rsid w:val="003523D7"/>
    <w:rsid w:val="003564E3"/>
    <w:rsid w:val="0036672C"/>
    <w:rsid w:val="00367300"/>
    <w:rsid w:val="00371000"/>
    <w:rsid w:val="003821FA"/>
    <w:rsid w:val="003A3E0A"/>
    <w:rsid w:val="003A77D5"/>
    <w:rsid w:val="003B6AC9"/>
    <w:rsid w:val="003C69CB"/>
    <w:rsid w:val="003D2429"/>
    <w:rsid w:val="003D48A8"/>
    <w:rsid w:val="003F26A5"/>
    <w:rsid w:val="003F4CFF"/>
    <w:rsid w:val="003F6834"/>
    <w:rsid w:val="00415E60"/>
    <w:rsid w:val="0044228C"/>
    <w:rsid w:val="00467372"/>
    <w:rsid w:val="004673CF"/>
    <w:rsid w:val="004774A7"/>
    <w:rsid w:val="00482E37"/>
    <w:rsid w:val="00483751"/>
    <w:rsid w:val="00487034"/>
    <w:rsid w:val="004920DF"/>
    <w:rsid w:val="004A2CDE"/>
    <w:rsid w:val="004C4B1D"/>
    <w:rsid w:val="004D3037"/>
    <w:rsid w:val="004D3A67"/>
    <w:rsid w:val="004E33E8"/>
    <w:rsid w:val="00504DB4"/>
    <w:rsid w:val="005071D5"/>
    <w:rsid w:val="005077A3"/>
    <w:rsid w:val="00512FD0"/>
    <w:rsid w:val="00517DC1"/>
    <w:rsid w:val="005274F1"/>
    <w:rsid w:val="00531BCC"/>
    <w:rsid w:val="00532901"/>
    <w:rsid w:val="00547020"/>
    <w:rsid w:val="0055064A"/>
    <w:rsid w:val="00556272"/>
    <w:rsid w:val="00560041"/>
    <w:rsid w:val="00561A14"/>
    <w:rsid w:val="0056251D"/>
    <w:rsid w:val="0058090D"/>
    <w:rsid w:val="00582AA8"/>
    <w:rsid w:val="00584796"/>
    <w:rsid w:val="00584E88"/>
    <w:rsid w:val="00587D53"/>
    <w:rsid w:val="005979BD"/>
    <w:rsid w:val="005A1A84"/>
    <w:rsid w:val="005B5088"/>
    <w:rsid w:val="005C70ED"/>
    <w:rsid w:val="005E2F20"/>
    <w:rsid w:val="005F2038"/>
    <w:rsid w:val="005F2E4D"/>
    <w:rsid w:val="006065F6"/>
    <w:rsid w:val="00627182"/>
    <w:rsid w:val="00633150"/>
    <w:rsid w:val="00637C0B"/>
    <w:rsid w:val="00645C46"/>
    <w:rsid w:val="00647D59"/>
    <w:rsid w:val="006509F3"/>
    <w:rsid w:val="0065348F"/>
    <w:rsid w:val="00671F4E"/>
    <w:rsid w:val="0068609F"/>
    <w:rsid w:val="006A7603"/>
    <w:rsid w:val="006B2C8D"/>
    <w:rsid w:val="006B4B89"/>
    <w:rsid w:val="006B682B"/>
    <w:rsid w:val="006D3D11"/>
    <w:rsid w:val="006E548C"/>
    <w:rsid w:val="006E5E0E"/>
    <w:rsid w:val="006F4279"/>
    <w:rsid w:val="007037CD"/>
    <w:rsid w:val="0070787D"/>
    <w:rsid w:val="007139B6"/>
    <w:rsid w:val="0072058D"/>
    <w:rsid w:val="00723FED"/>
    <w:rsid w:val="00725AFD"/>
    <w:rsid w:val="00752923"/>
    <w:rsid w:val="00754F9E"/>
    <w:rsid w:val="00755DD4"/>
    <w:rsid w:val="00760EDE"/>
    <w:rsid w:val="00775D86"/>
    <w:rsid w:val="0078660F"/>
    <w:rsid w:val="007925B2"/>
    <w:rsid w:val="00794D1B"/>
    <w:rsid w:val="007961ED"/>
    <w:rsid w:val="007A337D"/>
    <w:rsid w:val="007A34A5"/>
    <w:rsid w:val="007A6A31"/>
    <w:rsid w:val="007C2FFC"/>
    <w:rsid w:val="007F3886"/>
    <w:rsid w:val="00816724"/>
    <w:rsid w:val="0082350F"/>
    <w:rsid w:val="00840DAA"/>
    <w:rsid w:val="008473BE"/>
    <w:rsid w:val="00862F1C"/>
    <w:rsid w:val="0086580A"/>
    <w:rsid w:val="0088486A"/>
    <w:rsid w:val="00891093"/>
    <w:rsid w:val="008A0E4E"/>
    <w:rsid w:val="008B00A7"/>
    <w:rsid w:val="008D019A"/>
    <w:rsid w:val="008D2319"/>
    <w:rsid w:val="008E1130"/>
    <w:rsid w:val="008F0DE7"/>
    <w:rsid w:val="008F47EE"/>
    <w:rsid w:val="008F6ED4"/>
    <w:rsid w:val="00903CD3"/>
    <w:rsid w:val="00904414"/>
    <w:rsid w:val="00931213"/>
    <w:rsid w:val="00931DCB"/>
    <w:rsid w:val="0093212F"/>
    <w:rsid w:val="009365CD"/>
    <w:rsid w:val="00953807"/>
    <w:rsid w:val="0095528A"/>
    <w:rsid w:val="00961841"/>
    <w:rsid w:val="009657E2"/>
    <w:rsid w:val="00973A7C"/>
    <w:rsid w:val="00993B0F"/>
    <w:rsid w:val="009A18FC"/>
    <w:rsid w:val="009A7C23"/>
    <w:rsid w:val="009B114E"/>
    <w:rsid w:val="009B4FC0"/>
    <w:rsid w:val="009D510D"/>
    <w:rsid w:val="009E0C37"/>
    <w:rsid w:val="009E106C"/>
    <w:rsid w:val="00A02DE4"/>
    <w:rsid w:val="00A07589"/>
    <w:rsid w:val="00A12C43"/>
    <w:rsid w:val="00A221E9"/>
    <w:rsid w:val="00A23381"/>
    <w:rsid w:val="00A25871"/>
    <w:rsid w:val="00A31579"/>
    <w:rsid w:val="00A346BF"/>
    <w:rsid w:val="00A36B73"/>
    <w:rsid w:val="00A52C2F"/>
    <w:rsid w:val="00A55AC7"/>
    <w:rsid w:val="00A84580"/>
    <w:rsid w:val="00A84C89"/>
    <w:rsid w:val="00A90087"/>
    <w:rsid w:val="00A90DF9"/>
    <w:rsid w:val="00A958F8"/>
    <w:rsid w:val="00AA357F"/>
    <w:rsid w:val="00AA4FEF"/>
    <w:rsid w:val="00AB54F7"/>
    <w:rsid w:val="00AC770D"/>
    <w:rsid w:val="00AE06D3"/>
    <w:rsid w:val="00AF0720"/>
    <w:rsid w:val="00B25BE6"/>
    <w:rsid w:val="00B35B2A"/>
    <w:rsid w:val="00B42DF0"/>
    <w:rsid w:val="00B467C0"/>
    <w:rsid w:val="00B5160B"/>
    <w:rsid w:val="00B562E2"/>
    <w:rsid w:val="00B64457"/>
    <w:rsid w:val="00B66EE5"/>
    <w:rsid w:val="00B703D5"/>
    <w:rsid w:val="00B755D5"/>
    <w:rsid w:val="00B80120"/>
    <w:rsid w:val="00BA42AB"/>
    <w:rsid w:val="00BB1BFE"/>
    <w:rsid w:val="00BB5AD1"/>
    <w:rsid w:val="00BD1EFA"/>
    <w:rsid w:val="00BD3EE7"/>
    <w:rsid w:val="00BD7603"/>
    <w:rsid w:val="00BE25BE"/>
    <w:rsid w:val="00BE2FD7"/>
    <w:rsid w:val="00BE512F"/>
    <w:rsid w:val="00BE6E1F"/>
    <w:rsid w:val="00BF0E14"/>
    <w:rsid w:val="00BF1A13"/>
    <w:rsid w:val="00BF7BFF"/>
    <w:rsid w:val="00C41CF1"/>
    <w:rsid w:val="00C432F2"/>
    <w:rsid w:val="00C66439"/>
    <w:rsid w:val="00C71E99"/>
    <w:rsid w:val="00C97719"/>
    <w:rsid w:val="00CB68DA"/>
    <w:rsid w:val="00CC33F8"/>
    <w:rsid w:val="00CD2903"/>
    <w:rsid w:val="00CD491C"/>
    <w:rsid w:val="00CF5D68"/>
    <w:rsid w:val="00D02E11"/>
    <w:rsid w:val="00D02EBE"/>
    <w:rsid w:val="00D13B6E"/>
    <w:rsid w:val="00D216B5"/>
    <w:rsid w:val="00D25F5A"/>
    <w:rsid w:val="00D2636F"/>
    <w:rsid w:val="00D43662"/>
    <w:rsid w:val="00D510B1"/>
    <w:rsid w:val="00D674E2"/>
    <w:rsid w:val="00D923A3"/>
    <w:rsid w:val="00D92E6E"/>
    <w:rsid w:val="00D95168"/>
    <w:rsid w:val="00D97897"/>
    <w:rsid w:val="00DA3C35"/>
    <w:rsid w:val="00DC4DFF"/>
    <w:rsid w:val="00DD434B"/>
    <w:rsid w:val="00DD6A87"/>
    <w:rsid w:val="00DE00E3"/>
    <w:rsid w:val="00DE6337"/>
    <w:rsid w:val="00DF030D"/>
    <w:rsid w:val="00DF0819"/>
    <w:rsid w:val="00DF202B"/>
    <w:rsid w:val="00E034E4"/>
    <w:rsid w:val="00E11625"/>
    <w:rsid w:val="00E3307E"/>
    <w:rsid w:val="00E371A5"/>
    <w:rsid w:val="00E37891"/>
    <w:rsid w:val="00E50B13"/>
    <w:rsid w:val="00E50ED4"/>
    <w:rsid w:val="00E54B13"/>
    <w:rsid w:val="00E636ED"/>
    <w:rsid w:val="00E649D8"/>
    <w:rsid w:val="00E73B5A"/>
    <w:rsid w:val="00E75E18"/>
    <w:rsid w:val="00E77388"/>
    <w:rsid w:val="00E8523C"/>
    <w:rsid w:val="00EA7E1B"/>
    <w:rsid w:val="00EB4C50"/>
    <w:rsid w:val="00EB69C1"/>
    <w:rsid w:val="00ED2DB5"/>
    <w:rsid w:val="00ED632F"/>
    <w:rsid w:val="00ED71B8"/>
    <w:rsid w:val="00F12EB0"/>
    <w:rsid w:val="00F14334"/>
    <w:rsid w:val="00F14B98"/>
    <w:rsid w:val="00F1705A"/>
    <w:rsid w:val="00F307F2"/>
    <w:rsid w:val="00F34D87"/>
    <w:rsid w:val="00F41852"/>
    <w:rsid w:val="00F41875"/>
    <w:rsid w:val="00F421A7"/>
    <w:rsid w:val="00F42884"/>
    <w:rsid w:val="00F46BB2"/>
    <w:rsid w:val="00F55DE5"/>
    <w:rsid w:val="00F55DF7"/>
    <w:rsid w:val="00F56989"/>
    <w:rsid w:val="00F56B3F"/>
    <w:rsid w:val="00F61A45"/>
    <w:rsid w:val="00F8324D"/>
    <w:rsid w:val="00F966E6"/>
    <w:rsid w:val="00F970DA"/>
    <w:rsid w:val="00FB0A75"/>
    <w:rsid w:val="00FB1272"/>
    <w:rsid w:val="00FC3083"/>
    <w:rsid w:val="00FC74FE"/>
    <w:rsid w:val="00FE0C6F"/>
    <w:rsid w:val="00FE5869"/>
    <w:rsid w:val="00FF15F6"/>
    <w:rsid w:val="00FF657E"/>
    <w:rsid w:val="00FF71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3EE79"/>
  <w15:chartTrackingRefBased/>
  <w15:docId w15:val="{F88ECB92-84C1-4052-86C5-0AF3F8680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4CFF"/>
    <w:pPr>
      <w:spacing w:after="0" w:line="240" w:lineRule="auto"/>
      <w:jc w:val="center"/>
    </w:pPr>
    <w:rPr>
      <w:rFonts w:eastAsiaTheme="minorEastAsia"/>
      <w:sz w:val="21"/>
      <w:szCs w:val="21"/>
    </w:rPr>
  </w:style>
  <w:style w:type="paragraph" w:styleId="1">
    <w:name w:val="heading 1"/>
    <w:basedOn w:val="a"/>
    <w:next w:val="a"/>
    <w:link w:val="10"/>
    <w:uiPriority w:val="9"/>
    <w:qFormat/>
    <w:rsid w:val="003F4CFF"/>
    <w:pPr>
      <w:keepNext/>
      <w:keepLines/>
      <w:spacing w:before="320" w:after="80"/>
      <w:outlineLvl w:val="0"/>
    </w:pPr>
    <w:rPr>
      <w:rFonts w:asciiTheme="majorHAnsi" w:eastAsiaTheme="majorEastAsia" w:hAnsiTheme="majorHAnsi" w:cstheme="majorBidi"/>
      <w:color w:val="001747" w:themeColor="accent1" w:themeShade="BF"/>
      <w:sz w:val="40"/>
      <w:szCs w:val="40"/>
    </w:rPr>
  </w:style>
  <w:style w:type="paragraph" w:styleId="2">
    <w:name w:val="heading 2"/>
    <w:basedOn w:val="a"/>
    <w:next w:val="a"/>
    <w:link w:val="20"/>
    <w:uiPriority w:val="9"/>
    <w:unhideWhenUsed/>
    <w:qFormat/>
    <w:rsid w:val="003F4CFF"/>
    <w:pPr>
      <w:keepNext/>
      <w:keepLines/>
      <w:spacing w:before="160" w:after="40"/>
      <w:outlineLvl w:val="1"/>
    </w:pPr>
    <w:rPr>
      <w:rFonts w:asciiTheme="majorHAnsi" w:eastAsiaTheme="majorEastAsia" w:hAnsiTheme="majorHAnsi" w:cstheme="majorBidi"/>
      <w:sz w:val="32"/>
      <w:szCs w:val="32"/>
    </w:rPr>
  </w:style>
  <w:style w:type="paragraph" w:styleId="3">
    <w:name w:val="heading 3"/>
    <w:aliases w:val="end,H3,h3,Заголовок 3 Знак Знак,Заголовок 3 Знак Знак Знак"/>
    <w:basedOn w:val="a"/>
    <w:next w:val="a"/>
    <w:link w:val="30"/>
    <w:uiPriority w:val="9"/>
    <w:semiHidden/>
    <w:unhideWhenUsed/>
    <w:qFormat/>
    <w:rsid w:val="003F4CFF"/>
    <w:pPr>
      <w:keepNext/>
      <w:keepLines/>
      <w:spacing w:before="160"/>
      <w:outlineLvl w:val="2"/>
    </w:pPr>
    <w:rPr>
      <w:rFonts w:asciiTheme="majorHAnsi" w:eastAsiaTheme="majorEastAsia" w:hAnsiTheme="majorHAnsi" w:cstheme="majorBidi"/>
      <w:sz w:val="32"/>
      <w:szCs w:val="32"/>
    </w:rPr>
  </w:style>
  <w:style w:type="paragraph" w:styleId="4">
    <w:name w:val="heading 4"/>
    <w:basedOn w:val="a"/>
    <w:next w:val="a"/>
    <w:link w:val="40"/>
    <w:uiPriority w:val="9"/>
    <w:unhideWhenUsed/>
    <w:qFormat/>
    <w:rsid w:val="003F4CFF"/>
    <w:pPr>
      <w:keepNext/>
      <w:keepLines/>
      <w:spacing w:before="8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3F4CFF"/>
    <w:pPr>
      <w:keepNext/>
      <w:keepLines/>
      <w:spacing w:before="4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3F4CFF"/>
    <w:pPr>
      <w:keepNext/>
      <w:keepLines/>
      <w:spacing w:before="4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3F4CFF"/>
    <w:pPr>
      <w:keepNext/>
      <w:keepLines/>
      <w:spacing w:before="4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3F4CFF"/>
    <w:pPr>
      <w:keepNext/>
      <w:keepLines/>
      <w:spacing w:before="4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semiHidden/>
    <w:unhideWhenUsed/>
    <w:qFormat/>
    <w:rsid w:val="003F4CFF"/>
    <w:pPr>
      <w:keepNext/>
      <w:keepLines/>
      <w:spacing w:before="4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4CFF"/>
    <w:rPr>
      <w:rFonts w:asciiTheme="majorHAnsi" w:eastAsiaTheme="majorEastAsia" w:hAnsiTheme="majorHAnsi" w:cstheme="majorBidi"/>
      <w:color w:val="001747" w:themeColor="accent1" w:themeShade="BF"/>
      <w:sz w:val="40"/>
      <w:szCs w:val="40"/>
    </w:rPr>
  </w:style>
  <w:style w:type="character" w:customStyle="1" w:styleId="20">
    <w:name w:val="Заголовок 2 Знак"/>
    <w:basedOn w:val="a0"/>
    <w:link w:val="2"/>
    <w:uiPriority w:val="9"/>
    <w:rsid w:val="003F4CFF"/>
    <w:rPr>
      <w:rFonts w:asciiTheme="majorHAnsi" w:eastAsiaTheme="majorEastAsia" w:hAnsiTheme="majorHAnsi" w:cstheme="majorBidi"/>
      <w:sz w:val="32"/>
      <w:szCs w:val="32"/>
    </w:rPr>
  </w:style>
  <w:style w:type="character" w:customStyle="1" w:styleId="30">
    <w:name w:val="Заголовок 3 Знак"/>
    <w:aliases w:val="end Знак,H3 Знак,h3 Знак,Заголовок 3 Знак Знак Знак1,Заголовок 3 Знак Знак Знак Знак"/>
    <w:basedOn w:val="a0"/>
    <w:link w:val="3"/>
    <w:uiPriority w:val="9"/>
    <w:semiHidden/>
    <w:rsid w:val="003F4CFF"/>
    <w:rPr>
      <w:rFonts w:asciiTheme="majorHAnsi" w:eastAsiaTheme="majorEastAsia" w:hAnsiTheme="majorHAnsi" w:cstheme="majorBidi"/>
      <w:sz w:val="32"/>
      <w:szCs w:val="32"/>
    </w:rPr>
  </w:style>
  <w:style w:type="character" w:customStyle="1" w:styleId="40">
    <w:name w:val="Заголовок 4 Знак"/>
    <w:basedOn w:val="a0"/>
    <w:link w:val="4"/>
    <w:uiPriority w:val="9"/>
    <w:rsid w:val="003F4CFF"/>
    <w:rPr>
      <w:rFonts w:asciiTheme="majorHAnsi" w:eastAsiaTheme="majorEastAsia" w:hAnsiTheme="majorHAnsi" w:cstheme="majorBidi"/>
      <w:i/>
      <w:iCs/>
      <w:sz w:val="30"/>
      <w:szCs w:val="30"/>
    </w:rPr>
  </w:style>
  <w:style w:type="character" w:customStyle="1" w:styleId="50">
    <w:name w:val="Заголовок 5 Знак"/>
    <w:basedOn w:val="a0"/>
    <w:link w:val="5"/>
    <w:uiPriority w:val="9"/>
    <w:semiHidden/>
    <w:rsid w:val="003F4CFF"/>
    <w:rPr>
      <w:rFonts w:asciiTheme="majorHAnsi" w:eastAsiaTheme="majorEastAsia" w:hAnsiTheme="majorHAnsi" w:cstheme="majorBidi"/>
      <w:sz w:val="28"/>
      <w:szCs w:val="28"/>
    </w:rPr>
  </w:style>
  <w:style w:type="character" w:customStyle="1" w:styleId="60">
    <w:name w:val="Заголовок 6 Знак"/>
    <w:basedOn w:val="a0"/>
    <w:link w:val="6"/>
    <w:uiPriority w:val="9"/>
    <w:semiHidden/>
    <w:rsid w:val="003F4CFF"/>
    <w:rPr>
      <w:rFonts w:asciiTheme="majorHAnsi" w:eastAsiaTheme="majorEastAsia" w:hAnsiTheme="majorHAnsi" w:cstheme="majorBidi"/>
      <w:i/>
      <w:iCs/>
      <w:sz w:val="26"/>
      <w:szCs w:val="26"/>
    </w:rPr>
  </w:style>
  <w:style w:type="character" w:customStyle="1" w:styleId="70">
    <w:name w:val="Заголовок 7 Знак"/>
    <w:basedOn w:val="a0"/>
    <w:link w:val="7"/>
    <w:uiPriority w:val="9"/>
    <w:semiHidden/>
    <w:rsid w:val="003F4CFF"/>
    <w:rPr>
      <w:rFonts w:asciiTheme="majorHAnsi" w:eastAsiaTheme="majorEastAsia" w:hAnsiTheme="majorHAnsi" w:cstheme="majorBidi"/>
      <w:sz w:val="24"/>
      <w:szCs w:val="24"/>
    </w:rPr>
  </w:style>
  <w:style w:type="character" w:customStyle="1" w:styleId="80">
    <w:name w:val="Заголовок 8 Знак"/>
    <w:basedOn w:val="a0"/>
    <w:link w:val="8"/>
    <w:uiPriority w:val="9"/>
    <w:semiHidden/>
    <w:rsid w:val="003F4CFF"/>
    <w:rPr>
      <w:rFonts w:asciiTheme="majorHAnsi" w:eastAsiaTheme="majorEastAsia" w:hAnsiTheme="majorHAnsi" w:cstheme="majorBidi"/>
      <w:i/>
      <w:iCs/>
    </w:rPr>
  </w:style>
  <w:style w:type="character" w:customStyle="1" w:styleId="90">
    <w:name w:val="Заголовок 9 Знак"/>
    <w:basedOn w:val="a0"/>
    <w:link w:val="9"/>
    <w:uiPriority w:val="9"/>
    <w:semiHidden/>
    <w:rsid w:val="003F4CFF"/>
    <w:rPr>
      <w:rFonts w:eastAsiaTheme="minorEastAsia"/>
      <w:b/>
      <w:bCs/>
      <w:i/>
      <w:iCs/>
      <w:sz w:val="21"/>
      <w:szCs w:val="21"/>
    </w:rPr>
  </w:style>
  <w:style w:type="character" w:styleId="a3">
    <w:name w:val="Hyperlink"/>
    <w:uiPriority w:val="99"/>
    <w:unhideWhenUsed/>
    <w:rsid w:val="003F4CFF"/>
    <w:rPr>
      <w:color w:val="0000FF"/>
      <w:u w:val="single"/>
    </w:rPr>
  </w:style>
  <w:style w:type="character" w:styleId="a4">
    <w:name w:val="FollowedHyperlink"/>
    <w:uiPriority w:val="99"/>
    <w:semiHidden/>
    <w:unhideWhenUsed/>
    <w:rsid w:val="003F4CFF"/>
    <w:rPr>
      <w:color w:val="954F72"/>
      <w:u w:val="single"/>
    </w:rPr>
  </w:style>
  <w:style w:type="character" w:styleId="a5">
    <w:name w:val="annotation reference"/>
    <w:uiPriority w:val="99"/>
    <w:semiHidden/>
    <w:unhideWhenUsed/>
    <w:rsid w:val="003F4CFF"/>
    <w:rPr>
      <w:sz w:val="16"/>
      <w:szCs w:val="16"/>
    </w:rPr>
  </w:style>
  <w:style w:type="paragraph" w:styleId="a6">
    <w:name w:val="annotation text"/>
    <w:basedOn w:val="a"/>
    <w:link w:val="a7"/>
    <w:uiPriority w:val="99"/>
    <w:unhideWhenUsed/>
    <w:rsid w:val="003F4CFF"/>
    <w:pPr>
      <w:spacing w:after="200"/>
    </w:pPr>
    <w:rPr>
      <w:rFonts w:cs="Times New Roman"/>
      <w:lang w:eastAsia="en-US"/>
    </w:rPr>
  </w:style>
  <w:style w:type="character" w:customStyle="1" w:styleId="a7">
    <w:name w:val="Текст примечания Знак"/>
    <w:basedOn w:val="a0"/>
    <w:link w:val="a6"/>
    <w:uiPriority w:val="99"/>
    <w:rsid w:val="003F4CFF"/>
    <w:rPr>
      <w:rFonts w:eastAsiaTheme="minorEastAsia" w:cs="Times New Roman"/>
      <w:sz w:val="21"/>
      <w:szCs w:val="21"/>
      <w:lang w:eastAsia="en-US"/>
    </w:rPr>
  </w:style>
  <w:style w:type="paragraph" w:styleId="a8">
    <w:name w:val="Balloon Text"/>
    <w:basedOn w:val="a"/>
    <w:link w:val="a9"/>
    <w:uiPriority w:val="99"/>
    <w:semiHidden/>
    <w:unhideWhenUsed/>
    <w:rsid w:val="003F4CFF"/>
    <w:rPr>
      <w:rFonts w:ascii="Segoe UI" w:hAnsi="Segoe UI" w:cs="Segoe UI"/>
      <w:sz w:val="18"/>
      <w:szCs w:val="18"/>
    </w:rPr>
  </w:style>
  <w:style w:type="character" w:customStyle="1" w:styleId="a9">
    <w:name w:val="Текст выноски Знак"/>
    <w:basedOn w:val="a0"/>
    <w:link w:val="a8"/>
    <w:uiPriority w:val="99"/>
    <w:semiHidden/>
    <w:rsid w:val="003F4CFF"/>
    <w:rPr>
      <w:rFonts w:ascii="Segoe UI" w:eastAsiaTheme="minorEastAsia" w:hAnsi="Segoe UI" w:cs="Segoe UI"/>
      <w:sz w:val="18"/>
      <w:szCs w:val="18"/>
    </w:rPr>
  </w:style>
  <w:style w:type="paragraph" w:styleId="aa">
    <w:name w:val="Title"/>
    <w:basedOn w:val="a"/>
    <w:next w:val="a"/>
    <w:link w:val="ab"/>
    <w:qFormat/>
    <w:rsid w:val="003F4CFF"/>
    <w:pPr>
      <w:pBdr>
        <w:top w:val="single" w:sz="6" w:space="8" w:color="526DB0" w:themeColor="accent3"/>
        <w:bottom w:val="single" w:sz="6" w:space="8" w:color="526DB0" w:themeColor="accent3"/>
      </w:pBdr>
      <w:spacing w:after="400"/>
      <w:contextualSpacing/>
    </w:pPr>
    <w:rPr>
      <w:rFonts w:asciiTheme="majorHAnsi" w:eastAsiaTheme="majorEastAsia" w:hAnsiTheme="majorHAnsi" w:cstheme="majorBidi"/>
      <w:caps/>
      <w:color w:val="002060" w:themeColor="text2"/>
      <w:spacing w:val="30"/>
      <w:sz w:val="72"/>
      <w:szCs w:val="72"/>
    </w:rPr>
  </w:style>
  <w:style w:type="character" w:customStyle="1" w:styleId="ab">
    <w:name w:val="Заголовок Знак"/>
    <w:basedOn w:val="a0"/>
    <w:link w:val="aa"/>
    <w:rsid w:val="003F4CFF"/>
    <w:rPr>
      <w:rFonts w:asciiTheme="majorHAnsi" w:eastAsiaTheme="majorEastAsia" w:hAnsiTheme="majorHAnsi" w:cstheme="majorBidi"/>
      <w:caps/>
      <w:color w:val="002060" w:themeColor="text2"/>
      <w:spacing w:val="30"/>
      <w:sz w:val="72"/>
      <w:szCs w:val="72"/>
    </w:rPr>
  </w:style>
  <w:style w:type="paragraph" w:styleId="ac">
    <w:name w:val="Subtitle"/>
    <w:basedOn w:val="a"/>
    <w:next w:val="a"/>
    <w:link w:val="ad"/>
    <w:uiPriority w:val="11"/>
    <w:qFormat/>
    <w:rsid w:val="003F4CFF"/>
    <w:pPr>
      <w:numPr>
        <w:ilvl w:val="1"/>
      </w:numPr>
    </w:pPr>
    <w:rPr>
      <w:color w:val="002060" w:themeColor="text2"/>
      <w:sz w:val="28"/>
      <w:szCs w:val="28"/>
    </w:rPr>
  </w:style>
  <w:style w:type="character" w:customStyle="1" w:styleId="ad">
    <w:name w:val="Подзаголовок Знак"/>
    <w:basedOn w:val="a0"/>
    <w:link w:val="ac"/>
    <w:uiPriority w:val="11"/>
    <w:rsid w:val="003F4CFF"/>
    <w:rPr>
      <w:rFonts w:eastAsiaTheme="minorEastAsia"/>
      <w:color w:val="002060" w:themeColor="text2"/>
      <w:sz w:val="28"/>
      <w:szCs w:val="28"/>
    </w:rPr>
  </w:style>
  <w:style w:type="paragraph" w:styleId="ae">
    <w:name w:val="List Paragraph"/>
    <w:aliases w:val="ПАРАГРАФ,Абзац списка11,List Paragraph"/>
    <w:basedOn w:val="a"/>
    <w:link w:val="af"/>
    <w:uiPriority w:val="34"/>
    <w:qFormat/>
    <w:rsid w:val="003F4CFF"/>
    <w:pPr>
      <w:ind w:left="720"/>
      <w:contextualSpacing/>
    </w:pPr>
  </w:style>
  <w:style w:type="paragraph" w:styleId="af0">
    <w:name w:val="Normal (Web)"/>
    <w:aliases w:val="Знак1,Обычный (Web),Знак Знак10,Обычный (Web)1"/>
    <w:basedOn w:val="a"/>
    <w:link w:val="af1"/>
    <w:uiPriority w:val="99"/>
    <w:unhideWhenUsed/>
    <w:rsid w:val="003F4CFF"/>
    <w:pPr>
      <w:spacing w:before="100" w:beforeAutospacing="1" w:after="100" w:afterAutospacing="1"/>
    </w:pPr>
    <w:rPr>
      <w:rFonts w:ascii="Times New Roman" w:eastAsia="Times New Roman" w:hAnsi="Times New Roman" w:cs="Times New Roman"/>
      <w:sz w:val="24"/>
      <w:szCs w:val="24"/>
    </w:rPr>
  </w:style>
  <w:style w:type="character" w:customStyle="1" w:styleId="af1">
    <w:name w:val="Обычный (веб) Знак"/>
    <w:aliases w:val="Знак1 Знак,Обычный (Web) Знак,Знак Знак10 Знак,Обычный (Web)1 Знак"/>
    <w:link w:val="af0"/>
    <w:uiPriority w:val="99"/>
    <w:locked/>
    <w:rsid w:val="003F4CFF"/>
    <w:rPr>
      <w:rFonts w:ascii="Times New Roman" w:eastAsia="Times New Roman" w:hAnsi="Times New Roman" w:cs="Times New Roman"/>
      <w:sz w:val="24"/>
      <w:szCs w:val="24"/>
    </w:rPr>
  </w:style>
  <w:style w:type="paragraph" w:styleId="af2">
    <w:name w:val="header"/>
    <w:basedOn w:val="a"/>
    <w:link w:val="af3"/>
    <w:uiPriority w:val="99"/>
    <w:unhideWhenUsed/>
    <w:rsid w:val="003F4CFF"/>
    <w:pPr>
      <w:tabs>
        <w:tab w:val="center" w:pos="4677"/>
        <w:tab w:val="right" w:pos="9355"/>
      </w:tabs>
    </w:pPr>
  </w:style>
  <w:style w:type="character" w:customStyle="1" w:styleId="af3">
    <w:name w:val="Верхний колонтитул Знак"/>
    <w:basedOn w:val="a0"/>
    <w:link w:val="af2"/>
    <w:uiPriority w:val="99"/>
    <w:rsid w:val="003F4CFF"/>
    <w:rPr>
      <w:rFonts w:eastAsiaTheme="minorEastAsia"/>
      <w:sz w:val="21"/>
      <w:szCs w:val="21"/>
    </w:rPr>
  </w:style>
  <w:style w:type="paragraph" w:styleId="af4">
    <w:name w:val="footer"/>
    <w:basedOn w:val="a"/>
    <w:link w:val="af5"/>
    <w:uiPriority w:val="99"/>
    <w:unhideWhenUsed/>
    <w:rsid w:val="003F4CFF"/>
    <w:pPr>
      <w:tabs>
        <w:tab w:val="center" w:pos="4677"/>
        <w:tab w:val="right" w:pos="9355"/>
      </w:tabs>
    </w:pPr>
  </w:style>
  <w:style w:type="character" w:customStyle="1" w:styleId="af5">
    <w:name w:val="Нижний колонтитул Знак"/>
    <w:basedOn w:val="a0"/>
    <w:link w:val="af4"/>
    <w:uiPriority w:val="99"/>
    <w:rsid w:val="003F4CFF"/>
    <w:rPr>
      <w:rFonts w:eastAsiaTheme="minorEastAsia"/>
      <w:sz w:val="21"/>
      <w:szCs w:val="21"/>
    </w:rPr>
  </w:style>
  <w:style w:type="paragraph" w:styleId="af6">
    <w:name w:val="annotation subject"/>
    <w:basedOn w:val="a6"/>
    <w:next w:val="a6"/>
    <w:link w:val="af7"/>
    <w:uiPriority w:val="99"/>
    <w:semiHidden/>
    <w:unhideWhenUsed/>
    <w:rsid w:val="003F4CFF"/>
    <w:pPr>
      <w:spacing w:after="0"/>
    </w:pPr>
    <w:rPr>
      <w:rFonts w:cs="Arial"/>
      <w:b/>
      <w:bCs/>
      <w:lang w:eastAsia="ru-RU"/>
    </w:rPr>
  </w:style>
  <w:style w:type="character" w:customStyle="1" w:styleId="af7">
    <w:name w:val="Тема примечания Знак"/>
    <w:basedOn w:val="a7"/>
    <w:link w:val="af6"/>
    <w:uiPriority w:val="99"/>
    <w:semiHidden/>
    <w:rsid w:val="003F4CFF"/>
    <w:rPr>
      <w:rFonts w:eastAsiaTheme="minorEastAsia" w:cs="Arial"/>
      <w:b/>
      <w:bCs/>
      <w:sz w:val="21"/>
      <w:szCs w:val="21"/>
      <w:lang w:eastAsia="en-US"/>
    </w:rPr>
  </w:style>
  <w:style w:type="table" w:customStyle="1" w:styleId="300">
    <w:name w:val="Сетка таблицы30"/>
    <w:basedOn w:val="a1"/>
    <w:next w:val="af8"/>
    <w:rsid w:val="003F4CFF"/>
    <w:pPr>
      <w:spacing w:after="0" w:line="240" w:lineRule="auto"/>
      <w:jc w:val="center"/>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Table Grid"/>
    <w:basedOn w:val="a1"/>
    <w:uiPriority w:val="39"/>
    <w:rsid w:val="003F4CFF"/>
    <w:pPr>
      <w:spacing w:after="0" w:line="240" w:lineRule="auto"/>
      <w:jc w:val="center"/>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39">
    <w:name w:val="Сетка таблицы39"/>
    <w:basedOn w:val="a1"/>
    <w:next w:val="af8"/>
    <w:uiPriority w:val="39"/>
    <w:rsid w:val="003F4CFF"/>
    <w:pPr>
      <w:spacing w:after="0" w:line="240" w:lineRule="auto"/>
      <w:jc w:val="center"/>
    </w:pPr>
    <w:rPr>
      <w:rFonts w:eastAsiaTheme="minorEastAsia"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8"/>
    <w:uiPriority w:val="59"/>
    <w:rsid w:val="003F4CFF"/>
    <w:pPr>
      <w:spacing w:after="0" w:line="240" w:lineRule="auto"/>
      <w:jc w:val="center"/>
    </w:pPr>
    <w:rPr>
      <w:rFonts w:eastAsiaTheme="minorEastAsia"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aliases w:val="ПАРАГРАФ Знак,Абзац списка11 Знак,List Paragraph Знак"/>
    <w:link w:val="ae"/>
    <w:uiPriority w:val="34"/>
    <w:locked/>
    <w:rsid w:val="003F4CFF"/>
    <w:rPr>
      <w:rFonts w:eastAsiaTheme="minorEastAsia"/>
      <w:sz w:val="21"/>
      <w:szCs w:val="21"/>
    </w:rPr>
  </w:style>
  <w:style w:type="paragraph" w:styleId="af9">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Oaeno niinee C"/>
    <w:basedOn w:val="a"/>
    <w:link w:val="afa"/>
    <w:unhideWhenUsed/>
    <w:rsid w:val="003F4CFF"/>
    <w:pPr>
      <w:suppressAutoHyphens/>
    </w:pPr>
    <w:rPr>
      <w:rFonts w:ascii="Times New Roman" w:eastAsia="SimSun" w:hAnsi="Times New Roman" w:cs="Times New Roman"/>
      <w:lang w:eastAsia="ar-SA"/>
    </w:rPr>
  </w:style>
  <w:style w:type="character" w:customStyle="1" w:styleId="afa">
    <w:name w:val="Текст сноски Знак"/>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basedOn w:val="a0"/>
    <w:link w:val="af9"/>
    <w:rsid w:val="003F4CFF"/>
    <w:rPr>
      <w:rFonts w:ascii="Times New Roman" w:eastAsia="SimSun" w:hAnsi="Times New Roman" w:cs="Times New Roman"/>
      <w:sz w:val="21"/>
      <w:szCs w:val="21"/>
      <w:lang w:eastAsia="ar-SA"/>
    </w:rPr>
  </w:style>
  <w:style w:type="character" w:styleId="afb">
    <w:name w:val="footnote reference"/>
    <w:aliases w:val="Знак сноски-FN,Ciae niinee-FN,16 Point,Superscript 6 Point,Ciae niinee 1,Çíàê ñíîñêè 1,Çíàê ñíîñêè-FN,Знак сноски 1,Ссылка на сноску 45,fr,Used by Word for Help footnote symbols,Referencia nota al pie,SUPERS"/>
    <w:uiPriority w:val="99"/>
    <w:semiHidden/>
    <w:unhideWhenUsed/>
    <w:rsid w:val="003F4CFF"/>
    <w:rPr>
      <w:vertAlign w:val="superscript"/>
    </w:rPr>
  </w:style>
  <w:style w:type="paragraph" w:customStyle="1" w:styleId="Default">
    <w:name w:val="Default"/>
    <w:rsid w:val="003F4CFF"/>
    <w:pPr>
      <w:autoSpaceDE w:val="0"/>
      <w:autoSpaceDN w:val="0"/>
      <w:adjustRightInd w:val="0"/>
      <w:spacing w:after="0" w:line="240" w:lineRule="auto"/>
      <w:jc w:val="center"/>
    </w:pPr>
    <w:rPr>
      <w:rFonts w:ascii="Liberation Serif" w:eastAsiaTheme="minorEastAsia" w:hAnsi="Liberation Serif" w:cs="Liberation Serif"/>
      <w:color w:val="000000"/>
      <w:sz w:val="24"/>
      <w:szCs w:val="24"/>
    </w:rPr>
  </w:style>
  <w:style w:type="table" w:customStyle="1" w:styleId="126">
    <w:name w:val="Сетка таблицы126"/>
    <w:basedOn w:val="a1"/>
    <w:next w:val="af8"/>
    <w:uiPriority w:val="59"/>
    <w:rsid w:val="003F4CFF"/>
    <w:pPr>
      <w:spacing w:after="0" w:line="240" w:lineRule="auto"/>
      <w:jc w:val="center"/>
    </w:pPr>
    <w:rPr>
      <w:rFonts w:eastAsiaTheme="minorEastAsia"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uiPriority w:val="22"/>
    <w:qFormat/>
    <w:rsid w:val="003F4CFF"/>
    <w:rPr>
      <w:b/>
      <w:bCs/>
    </w:rPr>
  </w:style>
  <w:style w:type="character" w:customStyle="1" w:styleId="afd">
    <w:name w:val="Без интервала Знак"/>
    <w:aliases w:val="Без интервала Стандарт Знак"/>
    <w:link w:val="afe"/>
    <w:locked/>
    <w:rsid w:val="003F4CFF"/>
  </w:style>
  <w:style w:type="paragraph" w:styleId="afe">
    <w:name w:val="No Spacing"/>
    <w:aliases w:val="Без интервала Стандарт"/>
    <w:link w:val="afd"/>
    <w:qFormat/>
    <w:rsid w:val="003F4CFF"/>
    <w:pPr>
      <w:spacing w:after="0" w:line="240" w:lineRule="auto"/>
      <w:jc w:val="center"/>
    </w:pPr>
  </w:style>
  <w:style w:type="table" w:customStyle="1" w:styleId="21">
    <w:name w:val="Сетка таблицы2"/>
    <w:basedOn w:val="a1"/>
    <w:next w:val="af8"/>
    <w:uiPriority w:val="59"/>
    <w:rsid w:val="003F4CFF"/>
    <w:pPr>
      <w:spacing w:after="0" w:line="240" w:lineRule="auto"/>
      <w:jc w:val="center"/>
    </w:pPr>
    <w:rPr>
      <w:rFonts w:eastAsiaTheme="minorEastAsia"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3F4CFF"/>
  </w:style>
  <w:style w:type="table" w:customStyle="1" w:styleId="210">
    <w:name w:val="Таблица простая 21"/>
    <w:aliases w:val="SIS 2"/>
    <w:basedOn w:val="a1"/>
    <w:uiPriority w:val="42"/>
    <w:rsid w:val="003F4CFF"/>
    <w:pPr>
      <w:spacing w:after="0" w:line="240" w:lineRule="auto"/>
      <w:jc w:val="center"/>
    </w:pPr>
    <w:rPr>
      <w:rFonts w:eastAsia="Times New Roman" w:cs="Times New Roman"/>
      <w:sz w:val="21"/>
      <w:szCs w:val="21"/>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
    <w:name w:val="Сетка таблицы3"/>
    <w:basedOn w:val="a1"/>
    <w:next w:val="af8"/>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Текст сноски Знак1"/>
    <w:uiPriority w:val="99"/>
    <w:semiHidden/>
    <w:rsid w:val="003F4CFF"/>
    <w:rPr>
      <w:sz w:val="20"/>
      <w:szCs w:val="20"/>
    </w:rPr>
  </w:style>
  <w:style w:type="character" w:customStyle="1" w:styleId="22">
    <w:name w:val="2 Знак"/>
    <w:link w:val="23"/>
    <w:locked/>
    <w:rsid w:val="003F4CFF"/>
    <w:rPr>
      <w:rFonts w:ascii="Times New Roman" w:eastAsia="Times New Roman" w:hAnsi="Times New Roman" w:cs="Times New Roman"/>
      <w:b/>
      <w:color w:val="000000"/>
      <w:sz w:val="28"/>
      <w:szCs w:val="18"/>
    </w:rPr>
  </w:style>
  <w:style w:type="paragraph" w:customStyle="1" w:styleId="23">
    <w:name w:val="2"/>
    <w:basedOn w:val="a"/>
    <w:link w:val="22"/>
    <w:autoRedefine/>
    <w:rsid w:val="003F4CFF"/>
    <w:pPr>
      <w:widowControl w:val="0"/>
      <w:autoSpaceDE w:val="0"/>
      <w:autoSpaceDN w:val="0"/>
      <w:adjustRightInd w:val="0"/>
      <w:outlineLvl w:val="1"/>
    </w:pPr>
    <w:rPr>
      <w:rFonts w:ascii="Times New Roman" w:eastAsia="Times New Roman" w:hAnsi="Times New Roman" w:cs="Times New Roman"/>
      <w:b/>
      <w:color w:val="000000"/>
      <w:sz w:val="28"/>
      <w:szCs w:val="18"/>
    </w:rPr>
  </w:style>
  <w:style w:type="character" w:styleId="aff">
    <w:name w:val="line number"/>
    <w:uiPriority w:val="99"/>
    <w:semiHidden/>
    <w:unhideWhenUsed/>
    <w:rsid w:val="003F4CFF"/>
  </w:style>
  <w:style w:type="table" w:customStyle="1" w:styleId="SIS221">
    <w:name w:val="SIS 221"/>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7">
    <w:name w:val="Сетка таблицы37"/>
    <w:basedOn w:val="a1"/>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1">
    <w:name w:val="SIS 21"/>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aff0">
    <w:name w:val="Emphasis"/>
    <w:basedOn w:val="a0"/>
    <w:uiPriority w:val="20"/>
    <w:qFormat/>
    <w:rsid w:val="003F4CFF"/>
    <w:rPr>
      <w:i/>
      <w:iCs/>
      <w:color w:val="C00000" w:themeColor="text1"/>
    </w:rPr>
  </w:style>
  <w:style w:type="character" w:styleId="aff1">
    <w:name w:val="Intense Emphasis"/>
    <w:basedOn w:val="a0"/>
    <w:uiPriority w:val="21"/>
    <w:qFormat/>
    <w:rsid w:val="003F4CFF"/>
    <w:rPr>
      <w:b/>
      <w:bCs/>
      <w:i/>
      <w:iCs/>
      <w:color w:val="auto"/>
    </w:rPr>
  </w:style>
  <w:style w:type="numbering" w:customStyle="1" w:styleId="24">
    <w:name w:val="Нет списка2"/>
    <w:next w:val="a2"/>
    <w:uiPriority w:val="99"/>
    <w:semiHidden/>
    <w:unhideWhenUsed/>
    <w:rsid w:val="003F4CFF"/>
  </w:style>
  <w:style w:type="table" w:customStyle="1" w:styleId="SIS22">
    <w:name w:val="SIS 22"/>
    <w:basedOn w:val="a1"/>
    <w:uiPriority w:val="42"/>
    <w:rsid w:val="003F4CFF"/>
    <w:pPr>
      <w:spacing w:after="0" w:line="240" w:lineRule="auto"/>
      <w:jc w:val="center"/>
    </w:pPr>
    <w:rPr>
      <w:rFonts w:eastAsia="Times New Roman" w:cs="Times New Roman"/>
      <w:sz w:val="21"/>
      <w:szCs w:val="21"/>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
    <w:name w:val="Сетка таблицы4"/>
    <w:basedOn w:val="a1"/>
    <w:next w:val="af8"/>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211">
    <w:name w:val="SIS 2211"/>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71">
    <w:name w:val="Сетка таблицы371"/>
    <w:basedOn w:val="a1"/>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11">
    <w:name w:val="SIS 211"/>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32">
    <w:name w:val="Нет списка3"/>
    <w:next w:val="a2"/>
    <w:uiPriority w:val="99"/>
    <w:semiHidden/>
    <w:unhideWhenUsed/>
    <w:rsid w:val="003F4CFF"/>
  </w:style>
  <w:style w:type="table" w:customStyle="1" w:styleId="SIS23">
    <w:name w:val="SIS 23"/>
    <w:basedOn w:val="a1"/>
    <w:uiPriority w:val="42"/>
    <w:rsid w:val="003F4CFF"/>
    <w:pPr>
      <w:spacing w:after="0" w:line="240" w:lineRule="auto"/>
      <w:jc w:val="center"/>
    </w:pPr>
    <w:rPr>
      <w:rFonts w:eastAsia="Times New Roman" w:cs="Times New Roman"/>
      <w:sz w:val="21"/>
      <w:szCs w:val="21"/>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1">
    <w:name w:val="Сетка таблицы5"/>
    <w:basedOn w:val="a1"/>
    <w:next w:val="af8"/>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212">
    <w:name w:val="SIS 2212"/>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72">
    <w:name w:val="Сетка таблицы372"/>
    <w:basedOn w:val="a1"/>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12">
    <w:name w:val="SIS 212"/>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42">
    <w:name w:val="Нет списка4"/>
    <w:next w:val="a2"/>
    <w:uiPriority w:val="99"/>
    <w:semiHidden/>
    <w:unhideWhenUsed/>
    <w:rsid w:val="003F4CFF"/>
  </w:style>
  <w:style w:type="table" w:customStyle="1" w:styleId="SIS24">
    <w:name w:val="SIS 24"/>
    <w:basedOn w:val="a1"/>
    <w:uiPriority w:val="42"/>
    <w:rsid w:val="003F4CFF"/>
    <w:pPr>
      <w:spacing w:after="0" w:line="240" w:lineRule="auto"/>
      <w:jc w:val="center"/>
    </w:pPr>
    <w:rPr>
      <w:rFonts w:eastAsia="Times New Roman" w:cs="Times New Roman"/>
      <w:sz w:val="21"/>
      <w:szCs w:val="21"/>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61">
    <w:name w:val="Сетка таблицы6"/>
    <w:basedOn w:val="a1"/>
    <w:next w:val="af8"/>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213">
    <w:name w:val="SIS 2213"/>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73">
    <w:name w:val="Сетка таблицы373"/>
    <w:basedOn w:val="a1"/>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13">
    <w:name w:val="SIS 213"/>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3">
    <w:name w:val="Plain Table 213"/>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52">
    <w:name w:val="Нет списка5"/>
    <w:next w:val="a2"/>
    <w:uiPriority w:val="99"/>
    <w:semiHidden/>
    <w:unhideWhenUsed/>
    <w:rsid w:val="003F4CFF"/>
  </w:style>
  <w:style w:type="table" w:customStyle="1" w:styleId="SIS25">
    <w:name w:val="SIS 25"/>
    <w:basedOn w:val="a1"/>
    <w:uiPriority w:val="42"/>
    <w:rsid w:val="003F4CFF"/>
    <w:pPr>
      <w:spacing w:after="0" w:line="240" w:lineRule="auto"/>
      <w:jc w:val="center"/>
    </w:pPr>
    <w:rPr>
      <w:rFonts w:eastAsia="Times New Roman" w:cs="Times New Roman"/>
      <w:sz w:val="21"/>
      <w:szCs w:val="21"/>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1">
    <w:name w:val="Сетка таблицы7"/>
    <w:basedOn w:val="a1"/>
    <w:next w:val="af8"/>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214">
    <w:name w:val="SIS 2214"/>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74">
    <w:name w:val="Сетка таблицы374"/>
    <w:basedOn w:val="a1"/>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14">
    <w:name w:val="SIS 214"/>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4">
    <w:name w:val="Plain Table 214"/>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62">
    <w:name w:val="Нет списка6"/>
    <w:next w:val="a2"/>
    <w:uiPriority w:val="99"/>
    <w:semiHidden/>
    <w:unhideWhenUsed/>
    <w:rsid w:val="003F4CFF"/>
  </w:style>
  <w:style w:type="table" w:customStyle="1" w:styleId="SIS26">
    <w:name w:val="SIS 26"/>
    <w:basedOn w:val="a1"/>
    <w:uiPriority w:val="42"/>
    <w:rsid w:val="003F4CFF"/>
    <w:pPr>
      <w:spacing w:after="0" w:line="240" w:lineRule="auto"/>
      <w:jc w:val="center"/>
    </w:pPr>
    <w:rPr>
      <w:rFonts w:eastAsia="Times New Roman" w:cs="Times New Roman"/>
      <w:sz w:val="21"/>
      <w:szCs w:val="21"/>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81">
    <w:name w:val="Сетка таблицы8"/>
    <w:basedOn w:val="a1"/>
    <w:next w:val="af8"/>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215">
    <w:name w:val="SIS 2215"/>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75">
    <w:name w:val="Сетка таблицы375"/>
    <w:basedOn w:val="a1"/>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15">
    <w:name w:val="SIS 215"/>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5">
    <w:name w:val="Plain Table 215"/>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72">
    <w:name w:val="Нет списка7"/>
    <w:next w:val="a2"/>
    <w:uiPriority w:val="99"/>
    <w:semiHidden/>
    <w:unhideWhenUsed/>
    <w:rsid w:val="003F4CFF"/>
  </w:style>
  <w:style w:type="table" w:customStyle="1" w:styleId="SIS27">
    <w:name w:val="SIS 27"/>
    <w:basedOn w:val="a1"/>
    <w:uiPriority w:val="42"/>
    <w:rsid w:val="003F4CFF"/>
    <w:pPr>
      <w:spacing w:after="0" w:line="240" w:lineRule="auto"/>
      <w:jc w:val="center"/>
    </w:pPr>
    <w:rPr>
      <w:rFonts w:eastAsia="Times New Roman" w:cs="Times New Roman"/>
      <w:sz w:val="21"/>
      <w:szCs w:val="21"/>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91">
    <w:name w:val="Сетка таблицы9"/>
    <w:basedOn w:val="a1"/>
    <w:next w:val="af8"/>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216">
    <w:name w:val="SIS 2216"/>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76">
    <w:name w:val="Сетка таблицы376"/>
    <w:basedOn w:val="a1"/>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16">
    <w:name w:val="SIS 216"/>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6">
    <w:name w:val="Plain Table 216"/>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82">
    <w:name w:val="Нет списка8"/>
    <w:next w:val="a2"/>
    <w:uiPriority w:val="99"/>
    <w:semiHidden/>
    <w:unhideWhenUsed/>
    <w:rsid w:val="003F4CFF"/>
  </w:style>
  <w:style w:type="table" w:customStyle="1" w:styleId="SIS28">
    <w:name w:val="SIS 28"/>
    <w:basedOn w:val="a1"/>
    <w:uiPriority w:val="42"/>
    <w:rsid w:val="003F4CFF"/>
    <w:pPr>
      <w:spacing w:after="0" w:line="240" w:lineRule="auto"/>
      <w:jc w:val="center"/>
    </w:pPr>
    <w:rPr>
      <w:rFonts w:eastAsia="Times New Roman" w:cs="Times New Roman"/>
      <w:sz w:val="21"/>
      <w:szCs w:val="21"/>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00">
    <w:name w:val="Сетка таблицы10"/>
    <w:basedOn w:val="a1"/>
    <w:next w:val="af8"/>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217">
    <w:name w:val="SIS 2217"/>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77">
    <w:name w:val="Сетка таблицы377"/>
    <w:basedOn w:val="a1"/>
    <w:rsid w:val="003F4CFF"/>
    <w:pPr>
      <w:spacing w:after="0" w:line="240" w:lineRule="auto"/>
      <w:jc w:val="center"/>
    </w:pPr>
    <w:rPr>
      <w:rFonts w:eastAsia="Times New Roman" w:cs="Times New Roman"/>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S217">
    <w:name w:val="SIS 217"/>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7">
    <w:name w:val="Plain Table 217"/>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8">
    <w:name w:val="Plain Table 218"/>
    <w:basedOn w:val="a1"/>
    <w:uiPriority w:val="42"/>
    <w:rsid w:val="003F4CFF"/>
    <w:pPr>
      <w:spacing w:after="0" w:line="240" w:lineRule="auto"/>
      <w:jc w:val="center"/>
    </w:pPr>
    <w:rPr>
      <w:rFonts w:eastAsia="Times New Roman" w:cs="Times New Roman"/>
      <w:lang w:eastAsia="en-US"/>
    </w:rPr>
    <w:tblPr>
      <w:tblStyleRowBandSize w:val="1"/>
      <w:tblStyleColBandSize w:val="1"/>
      <w:tblBorders>
        <w:top w:val="single" w:sz="12" w:space="0" w:color="auto"/>
        <w:bottom w:val="single" w:sz="12" w:space="0" w:color="auto"/>
      </w:tblBorders>
    </w:tblPr>
    <w:tblStylePr w:type="firstRow">
      <w:rPr>
        <w:b/>
        <w:bCs/>
        <w:color w:val="7C3776"/>
      </w:rPr>
      <w:tblPr/>
      <w:tcPr>
        <w:shd w:val="clear" w:color="auto" w:fill="F2F2F2"/>
      </w:tcPr>
    </w:tblStylePr>
    <w:tblStylePr w:type="lastRow">
      <w:rPr>
        <w:rFonts w:ascii="Times New Roman" w:hAnsi="Times New Roman" w:cs="Times New Roman" w:hint="default"/>
        <w:b/>
        <w:bCs/>
        <w:color w:val="7C3776"/>
      </w:rPr>
      <w:tblPr/>
      <w:tcPr>
        <w:tcBorders>
          <w:top w:val="single" w:sz="4" w:space="0" w:color="7F7F7F"/>
        </w:tcBorders>
      </w:tcPr>
    </w:tblStylePr>
    <w:tblStylePr w:type="firstCol">
      <w:rPr>
        <w:rFonts w:ascii="Times New Roman" w:hAnsi="Times New Roman" w:cs="Times New Roman" w:hint="default"/>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normaltextrun">
    <w:name w:val="normaltextrun"/>
    <w:basedOn w:val="a0"/>
    <w:rsid w:val="003F4CFF"/>
  </w:style>
  <w:style w:type="paragraph" w:styleId="aff2">
    <w:name w:val="caption"/>
    <w:basedOn w:val="a"/>
    <w:next w:val="a"/>
    <w:uiPriority w:val="35"/>
    <w:semiHidden/>
    <w:unhideWhenUsed/>
    <w:qFormat/>
    <w:rsid w:val="003F4CFF"/>
    <w:rPr>
      <w:b/>
      <w:bCs/>
      <w:color w:val="FF1010" w:themeColor="text1" w:themeTint="BF"/>
      <w:sz w:val="16"/>
      <w:szCs w:val="16"/>
    </w:rPr>
  </w:style>
  <w:style w:type="paragraph" w:styleId="25">
    <w:name w:val="Quote"/>
    <w:basedOn w:val="a"/>
    <w:next w:val="a"/>
    <w:link w:val="26"/>
    <w:uiPriority w:val="29"/>
    <w:qFormat/>
    <w:rsid w:val="003F4CFF"/>
    <w:pPr>
      <w:spacing w:before="160"/>
      <w:ind w:left="720" w:right="720"/>
    </w:pPr>
    <w:rPr>
      <w:i/>
      <w:iCs/>
      <w:color w:val="3C5184" w:themeColor="accent3" w:themeShade="BF"/>
      <w:sz w:val="24"/>
      <w:szCs w:val="24"/>
    </w:rPr>
  </w:style>
  <w:style w:type="character" w:customStyle="1" w:styleId="26">
    <w:name w:val="Цитата 2 Знак"/>
    <w:basedOn w:val="a0"/>
    <w:link w:val="25"/>
    <w:uiPriority w:val="29"/>
    <w:rsid w:val="003F4CFF"/>
    <w:rPr>
      <w:rFonts w:eastAsiaTheme="minorEastAsia"/>
      <w:i/>
      <w:iCs/>
      <w:color w:val="3C5184" w:themeColor="accent3" w:themeShade="BF"/>
      <w:sz w:val="24"/>
      <w:szCs w:val="24"/>
    </w:rPr>
  </w:style>
  <w:style w:type="paragraph" w:styleId="aff3">
    <w:name w:val="Intense Quote"/>
    <w:basedOn w:val="a"/>
    <w:next w:val="a"/>
    <w:link w:val="aff4"/>
    <w:uiPriority w:val="30"/>
    <w:qFormat/>
    <w:rsid w:val="003F4CFF"/>
    <w:pPr>
      <w:spacing w:before="160" w:line="276" w:lineRule="auto"/>
      <w:ind w:left="936" w:right="936"/>
    </w:pPr>
    <w:rPr>
      <w:rFonts w:asciiTheme="majorHAnsi" w:eastAsiaTheme="majorEastAsia" w:hAnsiTheme="majorHAnsi" w:cstheme="majorBidi"/>
      <w:caps/>
      <w:color w:val="001747" w:themeColor="accent1" w:themeShade="BF"/>
      <w:sz w:val="28"/>
      <w:szCs w:val="28"/>
    </w:rPr>
  </w:style>
  <w:style w:type="character" w:customStyle="1" w:styleId="aff4">
    <w:name w:val="Выделенная цитата Знак"/>
    <w:basedOn w:val="a0"/>
    <w:link w:val="aff3"/>
    <w:uiPriority w:val="30"/>
    <w:rsid w:val="003F4CFF"/>
    <w:rPr>
      <w:rFonts w:asciiTheme="majorHAnsi" w:eastAsiaTheme="majorEastAsia" w:hAnsiTheme="majorHAnsi" w:cstheme="majorBidi"/>
      <w:caps/>
      <w:color w:val="001747" w:themeColor="accent1" w:themeShade="BF"/>
      <w:sz w:val="28"/>
      <w:szCs w:val="28"/>
    </w:rPr>
  </w:style>
  <w:style w:type="character" w:styleId="aff5">
    <w:name w:val="Subtle Emphasis"/>
    <w:basedOn w:val="a0"/>
    <w:uiPriority w:val="19"/>
    <w:qFormat/>
    <w:rsid w:val="003F4CFF"/>
    <w:rPr>
      <w:i/>
      <w:iCs/>
      <w:color w:val="FF2F2F" w:themeColor="text1" w:themeTint="A6"/>
    </w:rPr>
  </w:style>
  <w:style w:type="character" w:styleId="aff6">
    <w:name w:val="Subtle Reference"/>
    <w:basedOn w:val="a0"/>
    <w:uiPriority w:val="31"/>
    <w:qFormat/>
    <w:rsid w:val="003F4CFF"/>
    <w:rPr>
      <w:caps w:val="0"/>
      <w:smallCaps/>
      <w:color w:val="FF1010" w:themeColor="text1" w:themeTint="BF"/>
      <w:spacing w:val="0"/>
      <w:u w:val="single" w:color="FF5F5F" w:themeColor="text1" w:themeTint="80"/>
    </w:rPr>
  </w:style>
  <w:style w:type="character" w:styleId="aff7">
    <w:name w:val="Intense Reference"/>
    <w:basedOn w:val="a0"/>
    <w:uiPriority w:val="32"/>
    <w:qFormat/>
    <w:rsid w:val="003F4CFF"/>
    <w:rPr>
      <w:b/>
      <w:bCs/>
      <w:caps w:val="0"/>
      <w:smallCaps/>
      <w:color w:val="auto"/>
      <w:spacing w:val="0"/>
      <w:u w:val="single"/>
    </w:rPr>
  </w:style>
  <w:style w:type="character" w:styleId="aff8">
    <w:name w:val="Book Title"/>
    <w:basedOn w:val="a0"/>
    <w:uiPriority w:val="33"/>
    <w:qFormat/>
    <w:rsid w:val="003F4CFF"/>
    <w:rPr>
      <w:b/>
      <w:bCs/>
      <w:caps w:val="0"/>
      <w:smallCaps/>
      <w:spacing w:val="0"/>
    </w:rPr>
  </w:style>
  <w:style w:type="paragraph" w:styleId="aff9">
    <w:name w:val="TOC Heading"/>
    <w:basedOn w:val="1"/>
    <w:next w:val="a"/>
    <w:uiPriority w:val="39"/>
    <w:unhideWhenUsed/>
    <w:qFormat/>
    <w:rsid w:val="003F4CFF"/>
    <w:pPr>
      <w:outlineLvl w:val="9"/>
    </w:pPr>
  </w:style>
  <w:style w:type="paragraph" w:styleId="33">
    <w:name w:val="toc 3"/>
    <w:basedOn w:val="a"/>
    <w:next w:val="a"/>
    <w:autoRedefine/>
    <w:uiPriority w:val="39"/>
    <w:unhideWhenUsed/>
    <w:rsid w:val="003F4CFF"/>
    <w:pPr>
      <w:spacing w:after="100"/>
      <w:ind w:left="420"/>
    </w:pPr>
  </w:style>
  <w:style w:type="paragraph" w:customStyle="1" w:styleId="SAMPLE1">
    <w:name w:val="SAMPLE 1"/>
    <w:rsid w:val="003F4CFF"/>
    <w:pPr>
      <w:tabs>
        <w:tab w:val="center" w:pos="4680"/>
        <w:tab w:val="right" w:pos="9360"/>
      </w:tabs>
      <w:spacing w:after="0" w:line="240" w:lineRule="auto"/>
      <w:jc w:val="center"/>
    </w:pPr>
    <w:rPr>
      <w:rFonts w:eastAsiaTheme="minorEastAsia"/>
    </w:rPr>
  </w:style>
  <w:style w:type="paragraph" w:styleId="14">
    <w:name w:val="toc 1"/>
    <w:basedOn w:val="a"/>
    <w:next w:val="a"/>
    <w:autoRedefine/>
    <w:uiPriority w:val="39"/>
    <w:unhideWhenUsed/>
    <w:rsid w:val="006E548C"/>
    <w:pPr>
      <w:tabs>
        <w:tab w:val="right" w:leader="dot" w:pos="9911"/>
      </w:tabs>
      <w:spacing w:after="100"/>
      <w:ind w:firstLine="567"/>
    </w:pPr>
  </w:style>
  <w:style w:type="paragraph" w:styleId="27">
    <w:name w:val="toc 2"/>
    <w:basedOn w:val="a"/>
    <w:next w:val="a"/>
    <w:autoRedefine/>
    <w:uiPriority w:val="39"/>
    <w:unhideWhenUsed/>
    <w:rsid w:val="00B64457"/>
    <w:pPr>
      <w:tabs>
        <w:tab w:val="left" w:pos="0"/>
      </w:tabs>
      <w:spacing w:after="100"/>
      <w:ind w:right="-2" w:firstLine="567"/>
      <w:jc w:val="both"/>
    </w:pPr>
    <w:rPr>
      <w:rFonts w:ascii="Times New Roman" w:hAnsi="Times New Roman" w:cs="Times New Roman"/>
      <w:sz w:val="28"/>
      <w:szCs w:val="28"/>
    </w:rPr>
  </w:style>
  <w:style w:type="paragraph" w:customStyle="1" w:styleId="ConsPlusTitle">
    <w:name w:val="ConsPlusTitle"/>
    <w:rsid w:val="003F4CFF"/>
    <w:pPr>
      <w:autoSpaceDE w:val="0"/>
      <w:autoSpaceDN w:val="0"/>
      <w:adjustRightInd w:val="0"/>
      <w:spacing w:after="0" w:line="240" w:lineRule="auto"/>
      <w:jc w:val="center"/>
    </w:pPr>
    <w:rPr>
      <w:rFonts w:ascii="Arial" w:eastAsia="Times New Roman" w:hAnsi="Arial" w:cs="Arial"/>
      <w:b/>
      <w:bCs/>
      <w:sz w:val="20"/>
      <w:szCs w:val="20"/>
    </w:rPr>
  </w:style>
  <w:style w:type="paragraph" w:customStyle="1" w:styleId="ConsPlusNormal">
    <w:name w:val="ConsPlusNormal"/>
    <w:link w:val="ConsPlusNormal0"/>
    <w:qFormat/>
    <w:rsid w:val="003F4CFF"/>
    <w:pPr>
      <w:widowControl w:val="0"/>
      <w:autoSpaceDE w:val="0"/>
      <w:autoSpaceDN w:val="0"/>
      <w:spacing w:after="0" w:line="240" w:lineRule="auto"/>
      <w:jc w:val="center"/>
    </w:pPr>
    <w:rPr>
      <w:rFonts w:ascii="Calibri" w:eastAsia="Times New Roman" w:hAnsi="Calibri" w:cs="Calibri"/>
      <w:szCs w:val="20"/>
    </w:rPr>
  </w:style>
  <w:style w:type="character" w:customStyle="1" w:styleId="ConsPlusNormal0">
    <w:name w:val="ConsPlusNormal Знак"/>
    <w:link w:val="ConsPlusNormal"/>
    <w:locked/>
    <w:rsid w:val="003F4CFF"/>
    <w:rPr>
      <w:rFonts w:ascii="Calibri" w:eastAsia="Times New Roman" w:hAnsi="Calibri" w:cs="Calibri"/>
      <w:szCs w:val="20"/>
    </w:rPr>
  </w:style>
  <w:style w:type="table" w:customStyle="1" w:styleId="110">
    <w:name w:val="Сетка таблицы11"/>
    <w:basedOn w:val="a1"/>
    <w:next w:val="af8"/>
    <w:uiPriority w:val="39"/>
    <w:rsid w:val="003F4CF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rticletext">
    <w:name w:val="b-article__text"/>
    <w:basedOn w:val="a"/>
    <w:rsid w:val="003F4CFF"/>
    <w:pPr>
      <w:spacing w:before="100" w:beforeAutospacing="1" w:after="100" w:afterAutospacing="1"/>
      <w:jc w:val="left"/>
    </w:pPr>
    <w:rPr>
      <w:rFonts w:ascii="Times New Roman" w:eastAsia="Times New Roman" w:hAnsi="Times New Roman" w:cs="Times New Roman"/>
      <w:sz w:val="24"/>
      <w:szCs w:val="24"/>
    </w:rPr>
  </w:style>
  <w:style w:type="paragraph" w:customStyle="1" w:styleId="rtejustify">
    <w:name w:val="rtejustify"/>
    <w:basedOn w:val="a"/>
    <w:rsid w:val="003F4CFF"/>
    <w:pPr>
      <w:spacing w:before="100" w:beforeAutospacing="1" w:after="100" w:afterAutospacing="1"/>
      <w:jc w:val="left"/>
    </w:pPr>
    <w:rPr>
      <w:rFonts w:ascii="Times New Roman" w:eastAsia="Times New Roman" w:hAnsi="Times New Roman" w:cs="Times New Roman"/>
      <w:sz w:val="24"/>
      <w:szCs w:val="24"/>
    </w:rPr>
  </w:style>
  <w:style w:type="paragraph" w:styleId="34">
    <w:name w:val="Body Text Indent 3"/>
    <w:basedOn w:val="a"/>
    <w:link w:val="35"/>
    <w:rsid w:val="00ED71B8"/>
    <w:pPr>
      <w:autoSpaceDE w:val="0"/>
      <w:autoSpaceDN w:val="0"/>
      <w:spacing w:after="120"/>
      <w:ind w:left="283"/>
      <w:jc w:val="left"/>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ED71B8"/>
    <w:rPr>
      <w:rFonts w:ascii="Times New Roman" w:eastAsia="Times New Roman" w:hAnsi="Times New Roman" w:cs="Times New Roman"/>
      <w:sz w:val="16"/>
      <w:szCs w:val="16"/>
    </w:rPr>
  </w:style>
  <w:style w:type="table" w:customStyle="1" w:styleId="120">
    <w:name w:val="Сетка таблицы12"/>
    <w:basedOn w:val="a1"/>
    <w:next w:val="af8"/>
    <w:uiPriority w:val="39"/>
    <w:rsid w:val="00CC33F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Алексей"/>
    <w:basedOn w:val="a"/>
    <w:qFormat/>
    <w:rsid w:val="003F26A5"/>
    <w:pPr>
      <w:spacing w:line="360" w:lineRule="auto"/>
      <w:ind w:firstLine="709"/>
      <w:jc w:val="both"/>
    </w:pPr>
    <w:rPr>
      <w:rFonts w:ascii="Times New Roman" w:eastAsia="Times New Roman" w:hAnsi="Times New Roman" w:cs="Times New Roman"/>
      <w:sz w:val="28"/>
      <w:szCs w:val="28"/>
    </w:rPr>
  </w:style>
  <w:style w:type="character" w:customStyle="1" w:styleId="affb">
    <w:name w:val="Основной текст_"/>
    <w:basedOn w:val="a0"/>
    <w:link w:val="83"/>
    <w:locked/>
    <w:rsid w:val="003F26A5"/>
    <w:rPr>
      <w:rFonts w:ascii="Times New Roman" w:eastAsia="Times New Roman" w:hAnsi="Times New Roman" w:cs="Times New Roman"/>
      <w:shd w:val="clear" w:color="auto" w:fill="FFFFFF"/>
    </w:rPr>
  </w:style>
  <w:style w:type="paragraph" w:customStyle="1" w:styleId="83">
    <w:name w:val="Основной текст8"/>
    <w:basedOn w:val="a"/>
    <w:link w:val="affb"/>
    <w:rsid w:val="003F26A5"/>
    <w:pPr>
      <w:widowControl w:val="0"/>
      <w:shd w:val="clear" w:color="auto" w:fill="FFFFFF"/>
      <w:spacing w:before="420" w:after="300" w:line="274" w:lineRule="exact"/>
      <w:jc w:val="left"/>
    </w:pPr>
    <w:rPr>
      <w:rFonts w:ascii="Times New Roman" w:eastAsia="Times New Roman" w:hAnsi="Times New Roman" w:cs="Times New Roman"/>
      <w:sz w:val="22"/>
      <w:szCs w:val="22"/>
    </w:rPr>
  </w:style>
  <w:style w:type="paragraph" w:customStyle="1" w:styleId="formattext">
    <w:name w:val="formattext"/>
    <w:basedOn w:val="a"/>
    <w:rsid w:val="003F26A5"/>
    <w:pPr>
      <w:spacing w:before="100" w:beforeAutospacing="1" w:after="100" w:afterAutospacing="1"/>
      <w:jc w:val="left"/>
    </w:pPr>
    <w:rPr>
      <w:rFonts w:ascii="Times New Roman" w:eastAsia="Times New Roman" w:hAnsi="Times New Roman" w:cs="Times New Roman"/>
      <w:sz w:val="24"/>
      <w:szCs w:val="24"/>
    </w:rPr>
  </w:style>
  <w:style w:type="paragraph" w:customStyle="1" w:styleId="ConsPlusDocList">
    <w:name w:val="ConsPlusDocList"/>
    <w:rsid w:val="003F26A5"/>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Nonformat">
    <w:name w:val="ConsPlusNonformat"/>
    <w:uiPriority w:val="99"/>
    <w:rsid w:val="003F26A5"/>
    <w:pPr>
      <w:widowControl w:val="0"/>
      <w:autoSpaceDE w:val="0"/>
      <w:autoSpaceDN w:val="0"/>
      <w:adjustRightInd w:val="0"/>
      <w:spacing w:after="0" w:line="240" w:lineRule="auto"/>
    </w:pPr>
    <w:rPr>
      <w:rFonts w:ascii="Courier New" w:eastAsiaTheme="minorEastAsia" w:hAnsi="Courier New" w:cs="Courier New"/>
      <w:sz w:val="20"/>
      <w:szCs w:val="20"/>
    </w:rPr>
  </w:style>
  <w:style w:type="paragraph" w:styleId="43">
    <w:name w:val="toc 4"/>
    <w:basedOn w:val="a"/>
    <w:next w:val="a"/>
    <w:autoRedefine/>
    <w:uiPriority w:val="39"/>
    <w:unhideWhenUsed/>
    <w:rsid w:val="00B42DF0"/>
    <w:pPr>
      <w:spacing w:after="100" w:line="259" w:lineRule="auto"/>
      <w:ind w:left="660"/>
      <w:jc w:val="left"/>
    </w:pPr>
    <w:rPr>
      <w:sz w:val="22"/>
      <w:szCs w:val="22"/>
    </w:rPr>
  </w:style>
  <w:style w:type="paragraph" w:styleId="53">
    <w:name w:val="toc 5"/>
    <w:basedOn w:val="a"/>
    <w:next w:val="a"/>
    <w:autoRedefine/>
    <w:uiPriority w:val="39"/>
    <w:unhideWhenUsed/>
    <w:rsid w:val="00B42DF0"/>
    <w:pPr>
      <w:spacing w:after="100" w:line="259" w:lineRule="auto"/>
      <w:ind w:left="880"/>
      <w:jc w:val="left"/>
    </w:pPr>
    <w:rPr>
      <w:sz w:val="22"/>
      <w:szCs w:val="22"/>
    </w:rPr>
  </w:style>
  <w:style w:type="paragraph" w:styleId="63">
    <w:name w:val="toc 6"/>
    <w:basedOn w:val="a"/>
    <w:next w:val="a"/>
    <w:autoRedefine/>
    <w:uiPriority w:val="39"/>
    <w:unhideWhenUsed/>
    <w:rsid w:val="00B42DF0"/>
    <w:pPr>
      <w:spacing w:after="100" w:line="259" w:lineRule="auto"/>
      <w:ind w:left="1100"/>
      <w:jc w:val="left"/>
    </w:pPr>
    <w:rPr>
      <w:sz w:val="22"/>
      <w:szCs w:val="22"/>
    </w:rPr>
  </w:style>
  <w:style w:type="paragraph" w:styleId="73">
    <w:name w:val="toc 7"/>
    <w:basedOn w:val="a"/>
    <w:next w:val="a"/>
    <w:autoRedefine/>
    <w:uiPriority w:val="39"/>
    <w:unhideWhenUsed/>
    <w:rsid w:val="00B42DF0"/>
    <w:pPr>
      <w:spacing w:after="100" w:line="259" w:lineRule="auto"/>
      <w:ind w:left="1320"/>
      <w:jc w:val="left"/>
    </w:pPr>
    <w:rPr>
      <w:sz w:val="22"/>
      <w:szCs w:val="22"/>
    </w:rPr>
  </w:style>
  <w:style w:type="paragraph" w:styleId="84">
    <w:name w:val="toc 8"/>
    <w:basedOn w:val="a"/>
    <w:next w:val="a"/>
    <w:autoRedefine/>
    <w:uiPriority w:val="39"/>
    <w:unhideWhenUsed/>
    <w:rsid w:val="00B42DF0"/>
    <w:pPr>
      <w:spacing w:after="100" w:line="259" w:lineRule="auto"/>
      <w:ind w:left="1540"/>
      <w:jc w:val="left"/>
    </w:pPr>
    <w:rPr>
      <w:sz w:val="22"/>
      <w:szCs w:val="22"/>
    </w:rPr>
  </w:style>
  <w:style w:type="paragraph" w:styleId="92">
    <w:name w:val="toc 9"/>
    <w:basedOn w:val="a"/>
    <w:next w:val="a"/>
    <w:autoRedefine/>
    <w:uiPriority w:val="39"/>
    <w:unhideWhenUsed/>
    <w:rsid w:val="00B42DF0"/>
    <w:pPr>
      <w:spacing w:after="100" w:line="259" w:lineRule="auto"/>
      <w:ind w:left="1760"/>
      <w:jc w:val="lef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52455">
      <w:bodyDiv w:val="1"/>
      <w:marLeft w:val="0"/>
      <w:marRight w:val="0"/>
      <w:marTop w:val="0"/>
      <w:marBottom w:val="0"/>
      <w:divBdr>
        <w:top w:val="none" w:sz="0" w:space="0" w:color="auto"/>
        <w:left w:val="none" w:sz="0" w:space="0" w:color="auto"/>
        <w:bottom w:val="none" w:sz="0" w:space="0" w:color="auto"/>
        <w:right w:val="none" w:sz="0" w:space="0" w:color="auto"/>
      </w:divBdr>
    </w:div>
    <w:div w:id="240411548">
      <w:bodyDiv w:val="1"/>
      <w:marLeft w:val="0"/>
      <w:marRight w:val="0"/>
      <w:marTop w:val="0"/>
      <w:marBottom w:val="0"/>
      <w:divBdr>
        <w:top w:val="none" w:sz="0" w:space="0" w:color="auto"/>
        <w:left w:val="none" w:sz="0" w:space="0" w:color="auto"/>
        <w:bottom w:val="none" w:sz="0" w:space="0" w:color="auto"/>
        <w:right w:val="none" w:sz="0" w:space="0" w:color="auto"/>
      </w:divBdr>
    </w:div>
    <w:div w:id="1463690751">
      <w:bodyDiv w:val="1"/>
      <w:marLeft w:val="0"/>
      <w:marRight w:val="0"/>
      <w:marTop w:val="0"/>
      <w:marBottom w:val="0"/>
      <w:divBdr>
        <w:top w:val="none" w:sz="0" w:space="0" w:color="auto"/>
        <w:left w:val="none" w:sz="0" w:space="0" w:color="auto"/>
        <w:bottom w:val="none" w:sz="0" w:space="0" w:color="auto"/>
        <w:right w:val="none" w:sz="0" w:space="0" w:color="auto"/>
      </w:divBdr>
    </w:div>
    <w:div w:id="213524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tsr.nso.ru/" TargetMode="External"/><Relationship Id="rId21" Type="http://schemas.openxmlformats.org/officeDocument/2006/relationships/hyperlink" Target="http://econom.nso.ru/page/1221" TargetMode="External"/><Relationship Id="rId63" Type="http://schemas.openxmlformats.org/officeDocument/2006/relationships/hyperlink" Target="https://modnso.ru/" TargetMode="External"/><Relationship Id="rId159" Type="http://schemas.openxmlformats.org/officeDocument/2006/relationships/hyperlink" Target="consultantplus://offline/ref=B0EB058070A6CD163DA78F16BD1BEA0B99823803A5A18087A197F12B53817E13A7C41A87D1EB114DE101C76FE9408BC9BAAB419F9EB70324D167DC54L3a7E" TargetMode="External"/><Relationship Id="rId170" Type="http://schemas.openxmlformats.org/officeDocument/2006/relationships/hyperlink" Target="https://econom.nso.ru/page/1355" TargetMode="External"/><Relationship Id="rId191" Type="http://schemas.openxmlformats.org/officeDocument/2006/relationships/hyperlink" Target="https://maps.nso.ru/CoGIS/GRS" TargetMode="External"/><Relationship Id="rId205" Type="http://schemas.openxmlformats.org/officeDocument/2006/relationships/hyperlink" Target="http://tariff.nso.ru/RI2/" TargetMode="External"/><Relationship Id="rId226" Type="http://schemas.openxmlformats.org/officeDocument/2006/relationships/hyperlink" Target="https://www.mupkbu.ru/index.php/o-predpriyatii/raskrytie-informatsii" TargetMode="External"/><Relationship Id="rId247" Type="http://schemas.openxmlformats.org/officeDocument/2006/relationships/hyperlink" Target="https://zakupki.nso.ru/interaktivnaya-karta-planiruemyh-zakupok/" TargetMode="External"/><Relationship Id="rId107" Type="http://schemas.openxmlformats.org/officeDocument/2006/relationships/hyperlink" Target="http://econom.nso.ru/page/260" TargetMode="External"/><Relationship Id="rId11" Type="http://schemas.openxmlformats.org/officeDocument/2006/relationships/hyperlink" Target="mailto:mineconom@nso.ru" TargetMode="External"/><Relationship Id="rId32" Type="http://schemas.openxmlformats.org/officeDocument/2006/relationships/hyperlink" Target="http://www.uip.nso.ru/" TargetMode="External"/><Relationship Id="rId53" Type="http://schemas.openxmlformats.org/officeDocument/2006/relationships/hyperlink" Target="http://invest.nso.ru/ru/content/metodicheskie-materialy" TargetMode="External"/><Relationship Id="rId74" Type="http://schemas.openxmlformats.org/officeDocument/2006/relationships/chart" Target="charts/chart6.xml"/><Relationship Id="rId128" Type="http://schemas.openxmlformats.org/officeDocument/2006/relationships/hyperlink" Target="https://siu.ranepa.ru/?id=3895" TargetMode="External"/><Relationship Id="rId149" Type="http://schemas.openxmlformats.org/officeDocument/2006/relationships/hyperlink" Target="https://www.gorvodokanal.com/connection/documents/" TargetMode="External"/><Relationship Id="rId5" Type="http://schemas.openxmlformats.org/officeDocument/2006/relationships/webSettings" Target="webSettings.xml"/><Relationship Id="rId95" Type="http://schemas.openxmlformats.org/officeDocument/2006/relationships/hyperlink" Target="http://econom.nso.ru/page/756" TargetMode="External"/><Relationship Id="rId160" Type="http://schemas.openxmlformats.org/officeDocument/2006/relationships/hyperlink" Target="http://www.econom.nso.ru/page/460" TargetMode="External"/><Relationship Id="rId181" Type="http://schemas.openxmlformats.org/officeDocument/2006/relationships/hyperlink" Target="http://www.eseti.ru/clients/PowerGridJoining/NetOrgDisclosure/applicationcontracts.aspx" TargetMode="External"/><Relationship Id="rId216" Type="http://schemas.openxmlformats.org/officeDocument/2006/relationships/hyperlink" Target="https://www.eseti.ru/investors/disclosure.aspx" TargetMode="External"/><Relationship Id="rId237" Type="http://schemas.openxmlformats.org/officeDocument/2006/relationships/hyperlink" Target="https://www.mfc-nso.ru/articles/uslugi-for-bisnes" TargetMode="External"/><Relationship Id="rId258" Type="http://schemas.openxmlformats.org/officeDocument/2006/relationships/hyperlink" Target="consultantplus://offline/ref=A11209D4B0808B41A808828CFA4946BDD23584927C8B267FE7A7B40ABBF12099AA76B8DD6657C70B66399DB8C7E2F4A10F5DFEB0942EF226WCIAH" TargetMode="External"/><Relationship Id="rId22" Type="http://schemas.openxmlformats.org/officeDocument/2006/relationships/hyperlink" Target="http://invest.nso.ru/ru/page/51" TargetMode="External"/><Relationship Id="rId43" Type="http://schemas.openxmlformats.org/officeDocument/2006/relationships/hyperlink" Target="http://www.invest.nso.ru/ru/content/normativno-pravovye-akty-3" TargetMode="External"/><Relationship Id="rId64" Type="http://schemas.openxmlformats.org/officeDocument/2006/relationships/hyperlink" Target="http://msr.nso.ru/page/6331" TargetMode="External"/><Relationship Id="rId118" Type="http://schemas.openxmlformats.org/officeDocument/2006/relationships/hyperlink" Target="https://siu.ranepa.ru/?id=3895" TargetMode="External"/><Relationship Id="rId139" Type="http://schemas.openxmlformats.org/officeDocument/2006/relationships/hyperlink" Target="https://tomsk-tr.gazprom.ru/about/documents/raskrytie-informatsii/" TargetMode="External"/><Relationship Id="rId85" Type="http://schemas.openxmlformats.org/officeDocument/2006/relationships/chart" Target="charts/chart11.xml"/><Relationship Id="rId150" Type="http://schemas.openxmlformats.org/officeDocument/2006/relationships/hyperlink" Target="https://newsite.gorvodokanal.com/connection/information/" TargetMode="External"/><Relationship Id="rId171" Type="http://schemas.openxmlformats.org/officeDocument/2006/relationships/hyperlink" Target="http://invest.nso.ru/ru/page/912" TargetMode="External"/><Relationship Id="rId192" Type="http://schemas.openxmlformats.org/officeDocument/2006/relationships/hyperlink" Target="https://tomsk-tr.gazprom.ru/about/documents/raskrytie-informatsii/" TargetMode="External"/><Relationship Id="rId206" Type="http://schemas.openxmlformats.org/officeDocument/2006/relationships/hyperlink" Target="http://mjkh.nso.ru/page/914" TargetMode="External"/><Relationship Id="rId227" Type="http://schemas.openxmlformats.org/officeDocument/2006/relationships/hyperlink" Target="http://express-prigorod.ru/express/informforms/" TargetMode="External"/><Relationship Id="rId248" Type="http://schemas.openxmlformats.org/officeDocument/2006/relationships/hyperlink" Target="https://zakupki.nso.ru/interaktivnaya-karta-zakupok-novosibirskoj-oblasti/" TargetMode="External"/><Relationship Id="rId12" Type="http://schemas.openxmlformats.org/officeDocument/2006/relationships/image" Target="media/image1.jpeg"/><Relationship Id="rId33" Type="http://schemas.openxmlformats.org/officeDocument/2006/relationships/hyperlink" Target="http://zags.nso.ru/" TargetMode="External"/><Relationship Id="rId108" Type="http://schemas.openxmlformats.org/officeDocument/2006/relationships/hyperlink" Target="http://orv.gov.ru" TargetMode="External"/><Relationship Id="rId129" Type="http://schemas.openxmlformats.org/officeDocument/2006/relationships/hyperlink" Target="https://www.mfc-nso.ru/articles/uslugi-for-bisnes" TargetMode="External"/><Relationship Id="rId54" Type="http://schemas.openxmlformats.org/officeDocument/2006/relationships/hyperlink" Target="http://econom.nso.ru/page/1221" TargetMode="External"/><Relationship Id="rId75" Type="http://schemas.openxmlformats.org/officeDocument/2006/relationships/chart" Target="charts/chart7.xml"/><Relationship Id="rId96" Type="http://schemas.openxmlformats.org/officeDocument/2006/relationships/hyperlink" Target="http://www.nso.ru/page/2441" TargetMode="External"/><Relationship Id="rId140" Type="http://schemas.openxmlformats.org/officeDocument/2006/relationships/hyperlink" Target="http://mjkh.nso.ru/page/902" TargetMode="External"/><Relationship Id="rId161" Type="http://schemas.openxmlformats.org/officeDocument/2006/relationships/hyperlink" Target="http://www.invest.nso.ru/ru/content/normativno-pravovye-akty-3" TargetMode="External"/><Relationship Id="rId182" Type="http://schemas.openxmlformats.org/officeDocument/2006/relationships/hyperlink" Target="http://www.eseti.ru/clients/PowerGridJoining/NetOrgDisclosure/executedjoins.aspx" TargetMode="External"/><Relationship Id="rId217" Type="http://schemas.openxmlformats.org/officeDocument/2006/relationships/hyperlink" Target="https://tarif.nso.ru/page/103" TargetMode="External"/><Relationship Id="rId6" Type="http://schemas.openxmlformats.org/officeDocument/2006/relationships/footnotes" Target="footnotes.xml"/><Relationship Id="rId238" Type="http://schemas.openxmlformats.org/officeDocument/2006/relationships/hyperlink" Target="http://econom.nso.ru/news/2930" TargetMode="External"/><Relationship Id="rId259" Type="http://schemas.openxmlformats.org/officeDocument/2006/relationships/hyperlink" Target="consultantplus://offline/ref=A11209D4B0808B41A808828CFA4946BDD23584927C8B267FE7A7B40ABBF12099AA76B8DD6653CE0960399DB8C7E2F4A10F5DFEB0942EF226WCIAH" TargetMode="External"/><Relationship Id="rId23" Type="http://schemas.openxmlformats.org/officeDocument/2006/relationships/hyperlink" Target="http://econom.nso.ru/news/2930" TargetMode="External"/><Relationship Id="rId119" Type="http://schemas.openxmlformats.org/officeDocument/2006/relationships/hyperlink" Target="https://mtsr.nso.ru/" TargetMode="External"/><Relationship Id="rId44" Type="http://schemas.openxmlformats.org/officeDocument/2006/relationships/hyperlink" Target="http://www.econom.nso.ru/page/460" TargetMode="External"/><Relationship Id="rId65" Type="http://schemas.openxmlformats.org/officeDocument/2006/relationships/hyperlink" Target="http://www.mintrans.nso.ru" TargetMode="External"/><Relationship Id="rId86" Type="http://schemas.openxmlformats.org/officeDocument/2006/relationships/chart" Target="charts/chart12.xml"/><Relationship Id="rId130" Type="http://schemas.openxmlformats.org/officeDocument/2006/relationships/hyperlink" Target="http://ipk.stu.ru/news.php?news=71" TargetMode="External"/><Relationship Id="rId151" Type="http://schemas.openxmlformats.org/officeDocument/2006/relationships/hyperlink" Target="https://tarif.nso.ru" TargetMode="External"/><Relationship Id="rId172" Type="http://schemas.openxmlformats.org/officeDocument/2006/relationships/hyperlink" Target="http://www.econom.nso.ru/page/460" TargetMode="External"/><Relationship Id="rId193" Type="http://schemas.openxmlformats.org/officeDocument/2006/relationships/hyperlink" Target="http://mjkh.nso.ru/page/902" TargetMode="External"/><Relationship Id="rId207" Type="http://schemas.openxmlformats.org/officeDocument/2006/relationships/hyperlink" Target="https://invest.gosuslugi.ru" TargetMode="External"/><Relationship Id="rId228" Type="http://schemas.openxmlformats.org/officeDocument/2006/relationships/hyperlink" Target="http://express-prigorod.ru/express/informforms/" TargetMode="External"/><Relationship Id="rId249" Type="http://schemas.openxmlformats.org/officeDocument/2006/relationships/hyperlink" Target="consultantplus://offline/ref=B9E78401560063BD1DAC348CEE3C05580AEF39592A60F7E47467C9AEA7790E916B0AAB2A2C2EF4722BC1F236f8z6J" TargetMode="External"/><Relationship Id="rId13" Type="http://schemas.openxmlformats.org/officeDocument/2006/relationships/header" Target="header1.xml"/><Relationship Id="rId109" Type="http://schemas.openxmlformats.org/officeDocument/2006/relationships/hyperlink" Target="http://www.invest.nso.ru/ru" TargetMode="External"/><Relationship Id="rId260" Type="http://schemas.openxmlformats.org/officeDocument/2006/relationships/hyperlink" Target="consultantplus://offline/ref=A11209D4B0808B41A808828CFA4946BDD23584927C8B267FE7A7B40ABBF12099AA76B8DD6657C70B66399DB8C7E2F4A10F5DFEB0942EF226WCIAH" TargetMode="External"/><Relationship Id="rId34" Type="http://schemas.openxmlformats.org/officeDocument/2006/relationships/hyperlink" Target="http://gji.nso.ru/" TargetMode="External"/><Relationship Id="rId55" Type="http://schemas.openxmlformats.org/officeDocument/2006/relationships/hyperlink" Target="http://invest.nso.ru/ru/page/51" TargetMode="External"/><Relationship Id="rId76" Type="http://schemas.openxmlformats.org/officeDocument/2006/relationships/chart" Target="charts/chart8.xml"/><Relationship Id="rId97" Type="http://schemas.openxmlformats.org/officeDocument/2006/relationships/hyperlink" Target="http://www.econom.nso.ru/page/1221" TargetMode="External"/><Relationship Id="rId120" Type="http://schemas.openxmlformats.org/officeDocument/2006/relationships/hyperlink" Target="https://mtsr.nso.ru/" TargetMode="External"/><Relationship Id="rId141" Type="http://schemas.openxmlformats.org/officeDocument/2006/relationships/hyperlink" Target="https://www.eseti.ru/clients/PowerGridJoining.aspx" TargetMode="External"/><Relationship Id="rId7" Type="http://schemas.openxmlformats.org/officeDocument/2006/relationships/endnotes" Target="endnotes.xml"/><Relationship Id="rId162" Type="http://schemas.openxmlformats.org/officeDocument/2006/relationships/hyperlink" Target="http://www.econom.nso.ru/page/460" TargetMode="External"/><Relationship Id="rId183" Type="http://schemas.openxmlformats.org/officeDocument/2006/relationships/hyperlink" Target="http://www.eseti.ru/about/technicalpolicy/technicalpolicy.aspx" TargetMode="External"/><Relationship Id="rId218" Type="http://schemas.openxmlformats.org/officeDocument/2006/relationships/hyperlink" Target="https://www.mupkbu.ru/index.php/o-predpriyatii/raskrytie-informatsii" TargetMode="External"/><Relationship Id="rId239" Type="http://schemas.openxmlformats.org/officeDocument/2006/relationships/hyperlink" Target="http://econom.nso.ru/page/1221" TargetMode="External"/><Relationship Id="rId250" Type="http://schemas.openxmlformats.org/officeDocument/2006/relationships/hyperlink" Target="http://www.invest.nso.ru" TargetMode="External"/><Relationship Id="rId24" Type="http://schemas.openxmlformats.org/officeDocument/2006/relationships/hyperlink" Target="http://invest.nso.ru/ru/news/1494" TargetMode="External"/><Relationship Id="rId45" Type="http://schemas.openxmlformats.org/officeDocument/2006/relationships/hyperlink" Target="http://www.invest.nso.ru/ru/content/normativno-pravovye-akty-3" TargetMode="External"/><Relationship Id="rId66" Type="http://schemas.openxmlformats.org/officeDocument/2006/relationships/chart" Target="charts/chart1.xml"/><Relationship Id="rId87" Type="http://schemas.openxmlformats.org/officeDocument/2006/relationships/chart" Target="charts/chart13.xml"/><Relationship Id="rId110" Type="http://schemas.openxmlformats.org/officeDocument/2006/relationships/hyperlink" Target="http://nauka.nso.ru/" TargetMode="External"/><Relationship Id="rId131" Type="http://schemas.openxmlformats.org/officeDocument/2006/relationships/hyperlink" Target="http://econom.nso.ru/news/2639" TargetMode="External"/><Relationship Id="rId152" Type="http://schemas.openxmlformats.org/officeDocument/2006/relationships/hyperlink" Target="http://tariff.nso.ru/RI2/" TargetMode="External"/><Relationship Id="rId173" Type="http://schemas.openxmlformats.org/officeDocument/2006/relationships/hyperlink" Target="http://www.invest.nso.ru/ru/content/normativno-pravovye-akty-3" TargetMode="External"/><Relationship Id="rId194" Type="http://schemas.openxmlformats.org/officeDocument/2006/relationships/hyperlink" Target="https://www.eseti.ru/clients/PowerGridJoining.aspx" TargetMode="External"/><Relationship Id="rId208" Type="http://schemas.openxmlformats.org/officeDocument/2006/relationships/hyperlink" Target="https://invest.gosuslugi.ru/epgu-forum/" TargetMode="External"/><Relationship Id="rId229" Type="http://schemas.openxmlformats.org/officeDocument/2006/relationships/hyperlink" Target="http://express-prigorod.ru/express/informforms/" TargetMode="External"/><Relationship Id="rId240" Type="http://schemas.openxmlformats.org/officeDocument/2006/relationships/hyperlink" Target="http://invest.nso.ru/ru/page/56" TargetMode="External"/><Relationship Id="rId261" Type="http://schemas.openxmlformats.org/officeDocument/2006/relationships/hyperlink" Target="consultantplus://offline/ref=A11209D4B0808B41A808828CFA4946BDD23584927C8B267FE7A7B40ABBF12099AA76B8DD6653CE0960399DB8C7E2F4A10F5DFEB0942EF226WCIAH" TargetMode="External"/><Relationship Id="rId14" Type="http://schemas.openxmlformats.org/officeDocument/2006/relationships/footer" Target="footer1.xml"/><Relationship Id="rId35" Type="http://schemas.openxmlformats.org/officeDocument/2006/relationships/hyperlink" Target="http://gji.nso.ru/" TargetMode="External"/><Relationship Id="rId56" Type="http://schemas.openxmlformats.org/officeDocument/2006/relationships/hyperlink" Target="http://www.econom.nso.ru/page/460" TargetMode="External"/><Relationship Id="rId77" Type="http://schemas.openxmlformats.org/officeDocument/2006/relationships/hyperlink" Target="http://novosibirsk.fas.gov.ru" TargetMode="External"/><Relationship Id="rId100" Type="http://schemas.openxmlformats.org/officeDocument/2006/relationships/hyperlink" Target="consultantplus://offline/ref=68360FA5E7552FCE5FBA563C86D3FE8A2FBA86950962295E70C01E25833796F1608628FC1036D1076A7F719343CC514D6CA7D9DC01DCCE4DGBoFC" TargetMode="External"/><Relationship Id="rId8" Type="http://schemas.openxmlformats.org/officeDocument/2006/relationships/hyperlink" Target="mailto:mineconom@nso.ru" TargetMode="External"/><Relationship Id="rId98" Type="http://schemas.openxmlformats.org/officeDocument/2006/relationships/hyperlink" Target="http://invest.nso.ru/ru/content/metodicheskie-materialy" TargetMode="External"/><Relationship Id="rId121" Type="http://schemas.openxmlformats.org/officeDocument/2006/relationships/hyperlink" Target="http://nauka.nso.ru/" TargetMode="External"/><Relationship Id="rId142" Type="http://schemas.openxmlformats.org/officeDocument/2006/relationships/hyperlink" Target="https://mjkh.nso.ru/page/2273" TargetMode="External"/><Relationship Id="rId163" Type="http://schemas.openxmlformats.org/officeDocument/2006/relationships/hyperlink" Target="http://www.invest.nso.ru/ru/content/normativno-pravovye-akty-3" TargetMode="External"/><Relationship Id="rId184" Type="http://schemas.openxmlformats.org/officeDocument/2006/relationships/hyperlink" Target="https://mjkh.nso.ru/page/1040" TargetMode="External"/><Relationship Id="rId219" Type="http://schemas.openxmlformats.org/officeDocument/2006/relationships/hyperlink" Target="https://tarif.nso.ru/page/103" TargetMode="External"/><Relationship Id="rId230" Type="http://schemas.openxmlformats.org/officeDocument/2006/relationships/hyperlink" Target="http://express-prigorod.ru/express/informforms/" TargetMode="External"/><Relationship Id="rId251" Type="http://schemas.openxmlformats.org/officeDocument/2006/relationships/hyperlink" Target="http://zakupki.gov.ru/epz/main/public/home.html" TargetMode="External"/><Relationship Id="rId25" Type="http://schemas.openxmlformats.org/officeDocument/2006/relationships/hyperlink" Target="https://www.facebook.com/mineconomnso/" TargetMode="External"/><Relationship Id="rId46" Type="http://schemas.openxmlformats.org/officeDocument/2006/relationships/hyperlink" Target="http://ipk.stu.ru/news.php?news=71" TargetMode="External"/><Relationship Id="rId67" Type="http://schemas.openxmlformats.org/officeDocument/2006/relationships/hyperlink" Target="consultantplus://offline/ref=5F958AA75F3089F03E88CA277E2630E05754562DBDE016E842D6298A37E39EFF475877BF9EF5AB5E532403F6CBFB550B491C00097E5ED3F331p4H" TargetMode="External"/><Relationship Id="rId88" Type="http://schemas.openxmlformats.org/officeDocument/2006/relationships/chart" Target="charts/chart14.xml"/><Relationship Id="rId111" Type="http://schemas.openxmlformats.org/officeDocument/2006/relationships/hyperlink" Target="http://www.nso.ru/page/11356" TargetMode="External"/><Relationship Id="rId132" Type="http://schemas.openxmlformats.org/officeDocument/2006/relationships/hyperlink" Target="http://econom.nso.ru/news/2681" TargetMode="External"/><Relationship Id="rId153" Type="http://schemas.openxmlformats.org/officeDocument/2006/relationships/hyperlink" Target="http://mjkh.nso.ru/page/914" TargetMode="External"/><Relationship Id="rId174" Type="http://schemas.openxmlformats.org/officeDocument/2006/relationships/hyperlink" Target="http://www.econom.nso.ru/page/460" TargetMode="External"/><Relationship Id="rId195" Type="http://schemas.openxmlformats.org/officeDocument/2006/relationships/hyperlink" Target="https://mjkh.nso.ru/page/2273" TargetMode="External"/><Relationship Id="rId209" Type="http://schemas.openxmlformats.org/officeDocument/2006/relationships/hyperlink" Target="http://mjkh.nso.ru/page/914" TargetMode="External"/><Relationship Id="rId220" Type="http://schemas.openxmlformats.org/officeDocument/2006/relationships/hyperlink" Target="https://tarif.nso.ru/page/149" TargetMode="External"/><Relationship Id="rId241" Type="http://schemas.openxmlformats.org/officeDocument/2006/relationships/hyperlink" Target="http://dou.nso.ru/" TargetMode="External"/><Relationship Id="rId15" Type="http://schemas.openxmlformats.org/officeDocument/2006/relationships/header" Target="header2.xml"/><Relationship Id="rId36" Type="http://schemas.openxmlformats.org/officeDocument/2006/relationships/hyperlink" Target="http://gtn.nso.ru/" TargetMode="External"/><Relationship Id="rId57" Type="http://schemas.openxmlformats.org/officeDocument/2006/relationships/hyperlink" Target="http://invest.nso.ru/ru/page/51" TargetMode="External"/><Relationship Id="rId262" Type="http://schemas.openxmlformats.org/officeDocument/2006/relationships/hyperlink" Target="consultantplus://offline/ref=3A15B04414F713460E4FCDF2E4C4B7108BE0EC8C2D877A28C718ADCA8F368006CD9E078012E24788FA57DE197F641DACA1717DD27D33E3FFY9O6H" TargetMode="External"/><Relationship Id="rId78" Type="http://schemas.openxmlformats.org/officeDocument/2006/relationships/hyperlink" Target="https://www.nalog.ru/rn54/" TargetMode="External"/><Relationship Id="rId99" Type="http://schemas.openxmlformats.org/officeDocument/2006/relationships/hyperlink" Target="consultantplus://offline/ref=68360FA5E7552FCE5FBA563C86D3FE8A2FBA86950962295E70C01E25833796F1608628FE1534DB56383070CF0499424E64A7DBD41EGDo7C" TargetMode="External"/><Relationship Id="rId101" Type="http://schemas.openxmlformats.org/officeDocument/2006/relationships/hyperlink" Target="consultantplus://offline/ref=CBFFB9EC6BBE47732E33ADDA3CE7E289B00D14CB699F5DDE555EE2908C6D0CE61C68D0A1B5A270CE6C77D160CAnBn0D" TargetMode="External"/><Relationship Id="rId122" Type="http://schemas.openxmlformats.org/officeDocument/2006/relationships/hyperlink" Target="http://nauka.nso.ru/" TargetMode="External"/><Relationship Id="rId143" Type="http://schemas.openxmlformats.org/officeDocument/2006/relationships/hyperlink" Target="http://nsk-crk.sibgenco.ru/" TargetMode="External"/><Relationship Id="rId164" Type="http://schemas.openxmlformats.org/officeDocument/2006/relationships/hyperlink" Target="https://econom.nso.ru/page/606" TargetMode="External"/><Relationship Id="rId185" Type="http://schemas.openxmlformats.org/officeDocument/2006/relationships/hyperlink" Target="https://maps.nso.ru/CoGIS/GRS" TargetMode="External"/><Relationship Id="rId9" Type="http://schemas.openxmlformats.org/officeDocument/2006/relationships/hyperlink" Target="mailto:mineconom@nso.ru" TargetMode="External"/><Relationship Id="rId210" Type="http://schemas.openxmlformats.org/officeDocument/2006/relationships/hyperlink" Target="https://www.eseti.ru/investors/disclosure.aspx" TargetMode="External"/><Relationship Id="rId26" Type="http://schemas.openxmlformats.org/officeDocument/2006/relationships/hyperlink" Target="http://tarif.nso.ru/" TargetMode="External"/><Relationship Id="rId231" Type="http://schemas.openxmlformats.org/officeDocument/2006/relationships/hyperlink" Target="http://www.disclosure.ru/issuer/5407126140" TargetMode="External"/><Relationship Id="rId252" Type="http://schemas.openxmlformats.org/officeDocument/2006/relationships/hyperlink" Target="consultantplus://offline/ref=CBFFB9EC6BBE47732E33ADDA3CE7E289B00D14CB699F5DDE555EE2908C6D0CE61C68D0A1B5A270CE6C77D160CAnBn0D" TargetMode="External"/><Relationship Id="rId47" Type="http://schemas.openxmlformats.org/officeDocument/2006/relationships/hyperlink" Target="http://econom.nso.ru/news/2639" TargetMode="External"/><Relationship Id="rId68" Type="http://schemas.openxmlformats.org/officeDocument/2006/relationships/hyperlink" Target="http://econom.nso.ru/sites/econom.nso.ru/wodby_files/files/page_1342/rezultaty_na_03.12.2018_obnovleno_1_0.rar" TargetMode="External"/><Relationship Id="rId89" Type="http://schemas.openxmlformats.org/officeDocument/2006/relationships/chart" Target="charts/chart15.xml"/><Relationship Id="rId112" Type="http://schemas.openxmlformats.org/officeDocument/2006/relationships/hyperlink" Target="https://mtsr.nso.ru/" TargetMode="External"/><Relationship Id="rId133" Type="http://schemas.openxmlformats.org/officeDocument/2006/relationships/hyperlink" Target="http://dou.nso.ru/news/773" TargetMode="External"/><Relationship Id="rId154" Type="http://schemas.openxmlformats.org/officeDocument/2006/relationships/hyperlink" Target="https://invest.gosuslugi.ru" TargetMode="External"/><Relationship Id="rId175" Type="http://schemas.openxmlformats.org/officeDocument/2006/relationships/hyperlink" Target="http://www.invest.nso.ru/ru/content/normativno-pravovye-akty-3" TargetMode="External"/><Relationship Id="rId196" Type="http://schemas.openxmlformats.org/officeDocument/2006/relationships/hyperlink" Target="http://nsk-crk.sibgenco.ru/" TargetMode="External"/><Relationship Id="rId200" Type="http://schemas.openxmlformats.org/officeDocument/2006/relationships/hyperlink" Target="https://www.gorvodokanal.com/upload/status.php" TargetMode="External"/><Relationship Id="rId16" Type="http://schemas.openxmlformats.org/officeDocument/2006/relationships/header" Target="header3.xml"/><Relationship Id="rId221" Type="http://schemas.openxmlformats.org/officeDocument/2006/relationships/hyperlink" Target="https://www.mupkbu.ru/index.php/o-predpriyatii/raskrytie-informatsii" TargetMode="External"/><Relationship Id="rId242" Type="http://schemas.openxmlformats.org/officeDocument/2006/relationships/hyperlink" Target="http://zarki-sad.ru/" TargetMode="External"/><Relationship Id="rId263" Type="http://schemas.openxmlformats.org/officeDocument/2006/relationships/fontTable" Target="fontTable.xml"/><Relationship Id="rId37" Type="http://schemas.openxmlformats.org/officeDocument/2006/relationships/hyperlink" Target="http://gtn.nso.ru/" TargetMode="External"/><Relationship Id="rId58" Type="http://schemas.openxmlformats.org/officeDocument/2006/relationships/hyperlink" Target="http://www.econom.nso.ru/page/606" TargetMode="External"/><Relationship Id="rId79" Type="http://schemas.openxmlformats.org/officeDocument/2006/relationships/hyperlink" Target="http://novosibstat.gks.ru/" TargetMode="External"/><Relationship Id="rId102" Type="http://schemas.openxmlformats.org/officeDocument/2006/relationships/hyperlink" Target="http://econom.nso.ru/news/2896" TargetMode="External"/><Relationship Id="rId123" Type="http://schemas.openxmlformats.org/officeDocument/2006/relationships/hyperlink" Target="http://nauka.nso.ru/" TargetMode="External"/><Relationship Id="rId144" Type="http://schemas.openxmlformats.org/officeDocument/2006/relationships/hyperlink" Target="https://www.mupkbu.ru/index.php/podklyuchenie/zaklyuchenie-dogovorov" TargetMode="External"/><Relationship Id="rId90" Type="http://schemas.openxmlformats.org/officeDocument/2006/relationships/header" Target="header4.xml"/><Relationship Id="rId165" Type="http://schemas.openxmlformats.org/officeDocument/2006/relationships/hyperlink" Target="http://www.econom.nso.ru/page/748" TargetMode="External"/><Relationship Id="rId186" Type="http://schemas.openxmlformats.org/officeDocument/2006/relationships/hyperlink" Target="https://tomsk-tr.gazprom.ru/about/documents/raskrytie-informatsii/" TargetMode="External"/><Relationship Id="rId211" Type="http://schemas.openxmlformats.org/officeDocument/2006/relationships/hyperlink" Target="https://invest.gosuslugi.ru/epgu-forum/" TargetMode="External"/><Relationship Id="rId232" Type="http://schemas.openxmlformats.org/officeDocument/2006/relationships/hyperlink" Target="https://mtsr.nso.ru/page/5680" TargetMode="External"/><Relationship Id="rId253" Type="http://schemas.openxmlformats.org/officeDocument/2006/relationships/hyperlink" Target="http://gtn.nso.ru/" TargetMode="External"/><Relationship Id="rId27" Type="http://schemas.openxmlformats.org/officeDocument/2006/relationships/hyperlink" Target="http://vet.nso.ru/" TargetMode="External"/><Relationship Id="rId48" Type="http://schemas.openxmlformats.org/officeDocument/2006/relationships/hyperlink" Target="http://econom.nso.ru/news/2681" TargetMode="External"/><Relationship Id="rId69" Type="http://schemas.openxmlformats.org/officeDocument/2006/relationships/hyperlink" Target="http://econom.nso.ru/page/1342" TargetMode="External"/><Relationship Id="rId113" Type="http://schemas.openxmlformats.org/officeDocument/2006/relationships/hyperlink" Target="https://mtsr.nso.ru/" TargetMode="External"/><Relationship Id="rId134" Type="http://schemas.openxmlformats.org/officeDocument/2006/relationships/hyperlink" Target="http://econom.nso.ru/news/2896" TargetMode="External"/><Relationship Id="rId80" Type="http://schemas.openxmlformats.org/officeDocument/2006/relationships/hyperlink" Target="https://rosreestr.ru/site/about/struct/territorialnye-organy/upravlenie-rosreestra-po-novosibirskoy-oblasti/" TargetMode="External"/><Relationship Id="rId155" Type="http://schemas.openxmlformats.org/officeDocument/2006/relationships/hyperlink" Target="http://econom.nso.ru/page/1066" TargetMode="External"/><Relationship Id="rId176" Type="http://schemas.openxmlformats.org/officeDocument/2006/relationships/hyperlink" Target="http://www.eseti.ru/clients/PowerGridJoining/NetOrgDisclosure/summarytranscapability.aspx" TargetMode="External"/><Relationship Id="rId197" Type="http://schemas.openxmlformats.org/officeDocument/2006/relationships/hyperlink" Target="https://www.mupkbu.ru/index.php/podklyuchenie/zaklyuchenie-dogovorov" TargetMode="External"/><Relationship Id="rId201" Type="http://schemas.openxmlformats.org/officeDocument/2006/relationships/hyperlink" Target="https://www.gorvodokanal.com/connection/request/" TargetMode="External"/><Relationship Id="rId222" Type="http://schemas.openxmlformats.org/officeDocument/2006/relationships/hyperlink" Target="https://tarif.nso.ru/page/60" TargetMode="External"/><Relationship Id="rId243" Type="http://schemas.openxmlformats.org/officeDocument/2006/relationships/hyperlink" Target="https://investmoscow.ru/tenders/exchange-trading/announs/" TargetMode="External"/><Relationship Id="rId264" Type="http://schemas.openxmlformats.org/officeDocument/2006/relationships/theme" Target="theme/theme1.xml"/><Relationship Id="rId17" Type="http://schemas.openxmlformats.org/officeDocument/2006/relationships/hyperlink" Target="http://econom.nso.ru/page/460" TargetMode="External"/><Relationship Id="rId38" Type="http://schemas.openxmlformats.org/officeDocument/2006/relationships/hyperlink" Target="http://gsn.nso.ru/Pages/default.aspx" TargetMode="External"/><Relationship Id="rId59" Type="http://schemas.openxmlformats.org/officeDocument/2006/relationships/hyperlink" Target="http://invest.nso.ru/ru/page/59" TargetMode="External"/><Relationship Id="rId103" Type="http://schemas.openxmlformats.org/officeDocument/2006/relationships/hyperlink" Target="consultantplus://offline/ref=68360FA5E7552FCE5FBA563C86D3FE8A2FBA86950962295E70C01E25833796F1608628FE1534DB56383070CF0499424E64A7DBD41EGDo7C" TargetMode="External"/><Relationship Id="rId124" Type="http://schemas.openxmlformats.org/officeDocument/2006/relationships/hyperlink" Target="http://nauka.nso.ru/" TargetMode="External"/><Relationship Id="rId70" Type="http://schemas.openxmlformats.org/officeDocument/2006/relationships/chart" Target="charts/chart2.xml"/><Relationship Id="rId91" Type="http://schemas.openxmlformats.org/officeDocument/2006/relationships/chart" Target="charts/chart16.xml"/><Relationship Id="rId145" Type="http://schemas.openxmlformats.org/officeDocument/2006/relationships/hyperlink" Target="https://www.mupkbu.ru/index.php/podklyuchenie/zaklyuchenie-dogovorov" TargetMode="External"/><Relationship Id="rId166" Type="http://schemas.openxmlformats.org/officeDocument/2006/relationships/hyperlink" Target="http://www.invest.nso.ru/ru/content/doklad" TargetMode="External"/><Relationship Id="rId187" Type="http://schemas.openxmlformats.org/officeDocument/2006/relationships/hyperlink" Target="https://maps.nso.ru/CoGIS/GRS" TargetMode="External"/><Relationship Id="rId1" Type="http://schemas.openxmlformats.org/officeDocument/2006/relationships/customXml" Target="../customXml/item1.xml"/><Relationship Id="rId212" Type="http://schemas.openxmlformats.org/officeDocument/2006/relationships/hyperlink" Target="http://mjkh.nso.ru/page/914" TargetMode="External"/><Relationship Id="rId233" Type="http://schemas.openxmlformats.org/officeDocument/2006/relationships/hyperlink" Target="https://www.roszdravnadzor.ru/services/licenses" TargetMode="External"/><Relationship Id="rId254" Type="http://schemas.openxmlformats.org/officeDocument/2006/relationships/hyperlink" Target="http://econom.nso.ru/news/2896" TargetMode="External"/><Relationship Id="rId28" Type="http://schemas.openxmlformats.org/officeDocument/2006/relationships/hyperlink" Target="http://vet.nso.ru/" TargetMode="External"/><Relationship Id="rId49" Type="http://schemas.openxmlformats.org/officeDocument/2006/relationships/hyperlink" Target="http://dou.nso.ru/news/773" TargetMode="External"/><Relationship Id="rId114" Type="http://schemas.openxmlformats.org/officeDocument/2006/relationships/hyperlink" Target="https://mtsr.nso.ru/" TargetMode="External"/><Relationship Id="rId60" Type="http://schemas.openxmlformats.org/officeDocument/2006/relationships/hyperlink" Target="http://zakupki.gov.ru/epz/order/notice/ok44/view/common-info.html?regNumber=0173100012017000048" TargetMode="External"/><Relationship Id="rId81" Type="http://schemas.openxmlformats.org/officeDocument/2006/relationships/hyperlink" Target="http://54.rospotrebnadzor.ru/" TargetMode="External"/><Relationship Id="rId135" Type="http://schemas.openxmlformats.org/officeDocument/2006/relationships/hyperlink" Target="consultantplus://offline/ref=3547EEEFB19DA393F21F68A6E01536EF66A4CFA7B1E78EEC784700393E3920D8256701E7A2E8ABC3DD4B41667F6C8CF89658AEE077EC61396FN3I" TargetMode="External"/><Relationship Id="rId156" Type="http://schemas.openxmlformats.org/officeDocument/2006/relationships/hyperlink" Target="http://invest.nso.ru/ru/page/435" TargetMode="External"/><Relationship Id="rId177" Type="http://schemas.openxmlformats.org/officeDocument/2006/relationships/hyperlink" Target="http://www.eseti.ru/clients/PowerGridJoining/MapPowerCenters.aspx" TargetMode="External"/><Relationship Id="rId198" Type="http://schemas.openxmlformats.org/officeDocument/2006/relationships/hyperlink" Target="https://www.mupkbu.ru/index.php/podklyuchenie/zaklyuchenie-dogovorov" TargetMode="External"/><Relationship Id="rId202" Type="http://schemas.openxmlformats.org/officeDocument/2006/relationships/hyperlink" Target="https://www.gorvodokanal.com/connection/documents/" TargetMode="External"/><Relationship Id="rId223" Type="http://schemas.openxmlformats.org/officeDocument/2006/relationships/hyperlink" Target="http://tariff.nso.ru/RI2/" TargetMode="External"/><Relationship Id="rId244" Type="http://schemas.openxmlformats.org/officeDocument/2006/relationships/hyperlink" Target="https://zakupki.nso.ru/" TargetMode="External"/><Relationship Id="rId18" Type="http://schemas.openxmlformats.org/officeDocument/2006/relationships/hyperlink" Target="consultantplus://offline/ref=1F51310F57771BEB42348A5434D341E6CF8BE705B9284D1EE1BA47325A360D936AB4FA5FC2C7CCA005D34EDB2AAE40B8C9D8D7FFF4E83F79J0y8F" TargetMode="External"/><Relationship Id="rId39" Type="http://schemas.openxmlformats.org/officeDocument/2006/relationships/hyperlink" Target="http://gsn.nso.ru/Pages/default.aspx" TargetMode="External"/><Relationship Id="rId50" Type="http://schemas.openxmlformats.org/officeDocument/2006/relationships/hyperlink" Target="http://econom.nso.ru/news/2896" TargetMode="External"/><Relationship Id="rId104" Type="http://schemas.openxmlformats.org/officeDocument/2006/relationships/hyperlink" Target="consultantplus://offline/ref=68360FA5E7552FCE5FBA563C86D3FE8A2FBA86950962295E70C01E25833796F1608628FC1036D1076A7F719343CC514D6CA7D9DC01DCCE4DGBoFC" TargetMode="External"/><Relationship Id="rId125" Type="http://schemas.openxmlformats.org/officeDocument/2006/relationships/hyperlink" Target="http://nauka.nso.ru/" TargetMode="External"/><Relationship Id="rId146" Type="http://schemas.openxmlformats.org/officeDocument/2006/relationships/hyperlink" Target="https://www.mupkbu.ru/index.php/podklyuchenie/priem-elektronnoj-zayavki-na-podklyuchenie-cherez-lichnyj-kabinet" TargetMode="External"/><Relationship Id="rId167" Type="http://schemas.openxmlformats.org/officeDocument/2006/relationships/hyperlink" Target="consultantplus://offline/ref=763E92C86529BF136FD6B1B3FA90F696E647EDE8CE2FB4D92C43175B6E933680CB369022B230DF1F646955EDCC7CE1ED4A4EE996CF3C3345U2w4K" TargetMode="External"/><Relationship Id="rId188" Type="http://schemas.openxmlformats.org/officeDocument/2006/relationships/hyperlink" Target="https://tomsk-tr.gazprom.ru/about/documents/raskrytie-informatsii/" TargetMode="External"/><Relationship Id="rId71" Type="http://schemas.openxmlformats.org/officeDocument/2006/relationships/chart" Target="charts/chart3.xml"/><Relationship Id="rId92" Type="http://schemas.openxmlformats.org/officeDocument/2006/relationships/chart" Target="charts/chart17.xml"/><Relationship Id="rId213" Type="http://schemas.openxmlformats.org/officeDocument/2006/relationships/hyperlink" Target="https://www.eseti.ru/investors/disclosure.aspx" TargetMode="External"/><Relationship Id="rId234" Type="http://schemas.openxmlformats.org/officeDocument/2006/relationships/hyperlink" Target="http://mintrans.nso.ru/page/2005" TargetMode="External"/><Relationship Id="rId2" Type="http://schemas.openxmlformats.org/officeDocument/2006/relationships/numbering" Target="numbering.xml"/><Relationship Id="rId29" Type="http://schemas.openxmlformats.org/officeDocument/2006/relationships/hyperlink" Target="http://archives.nso.ru/" TargetMode="External"/><Relationship Id="rId255" Type="http://schemas.openxmlformats.org/officeDocument/2006/relationships/hyperlink" Target="consultantplus://offline/ref=381DEF6B35716FE386C8DA023B0025A3B8DE84AF9750A538128B2FCA49E8EBFF650A22890642C40DD4D878190075D7F61A58E248A74AAA06W6A9G" TargetMode="External"/><Relationship Id="rId40" Type="http://schemas.openxmlformats.org/officeDocument/2006/relationships/hyperlink" Target="http://gsn.nso.ru/Pages/default.aspx" TargetMode="External"/><Relationship Id="rId115" Type="http://schemas.openxmlformats.org/officeDocument/2006/relationships/hyperlink" Target="https://mtsr.nso.ru/" TargetMode="External"/><Relationship Id="rId136" Type="http://schemas.openxmlformats.org/officeDocument/2006/relationships/hyperlink" Target="http://www.eseti.ru/clients/PowerGridJoining/MapPowerCenters.aspx" TargetMode="External"/><Relationship Id="rId157" Type="http://schemas.openxmlformats.org/officeDocument/2006/relationships/hyperlink" Target="consultantplus://offline/ref=D331B8870EE19C1BF94A70946365F02EBF0A815DC519DF740CBEE769CF407E5B75ED8888B453F6FEBE21057BED32A212D474F41D9D01CED469r8E" TargetMode="External"/><Relationship Id="rId178" Type="http://schemas.openxmlformats.org/officeDocument/2006/relationships/hyperlink" Target="http://mjkh.nso.ru/page/2280" TargetMode="External"/><Relationship Id="rId61" Type="http://schemas.openxmlformats.org/officeDocument/2006/relationships/hyperlink" Target="http://zakupki.gov.ru/epz/main/public/home.html" TargetMode="External"/><Relationship Id="rId82" Type="http://schemas.openxmlformats.org/officeDocument/2006/relationships/image" Target="media/image2.emf"/><Relationship Id="rId199" Type="http://schemas.openxmlformats.org/officeDocument/2006/relationships/hyperlink" Target="https://www.mupkbu.ru/index.php/podklyuchenie/priem-elektronnoj-zayavki-na-podklyuchenie-cherez-lichnyj-kabinet" TargetMode="External"/><Relationship Id="rId203" Type="http://schemas.openxmlformats.org/officeDocument/2006/relationships/hyperlink" Target="https://newsite.gorvodokanal.com/connection/information/" TargetMode="External"/><Relationship Id="rId19" Type="http://schemas.openxmlformats.org/officeDocument/2006/relationships/hyperlink" Target="consultantplus://offline/ref=0FF9776889CACD801CF7E2563435CA8B7D1D2E3C2BB929CBFFFB7F017FB8D511B2CEB1BC0CC99750BA84B1280F4867A52Ch3O1H" TargetMode="External"/><Relationship Id="rId224" Type="http://schemas.openxmlformats.org/officeDocument/2006/relationships/hyperlink" Target="https://www.mupkbu.ru/index.php/o-predpriyatii/raskrytie-informatsii" TargetMode="External"/><Relationship Id="rId245" Type="http://schemas.openxmlformats.org/officeDocument/2006/relationships/hyperlink" Target="https://zakupki.nso.ru/interaktivnaya-karta-zakupok-novosibirskoj-oblasti/" TargetMode="External"/><Relationship Id="rId30" Type="http://schemas.openxmlformats.org/officeDocument/2006/relationships/hyperlink" Target="http://www.uip.nso.ru/" TargetMode="External"/><Relationship Id="rId105" Type="http://schemas.openxmlformats.org/officeDocument/2006/relationships/hyperlink" Target="consultantplus://offline/ref=F926AF6965E4F0B6E121AB054FB890232C8415A0B75EAC58BE8843F2A4EF952304D9391172FF81C4FD3BDCD0D83Dj6H" TargetMode="External"/><Relationship Id="rId126" Type="http://schemas.openxmlformats.org/officeDocument/2006/relationships/hyperlink" Target="http://www.nso.ru/page/18532" TargetMode="External"/><Relationship Id="rId147" Type="http://schemas.openxmlformats.org/officeDocument/2006/relationships/hyperlink" Target="https://www.gorvodokanal.com/upload/status.php" TargetMode="External"/><Relationship Id="rId168" Type="http://schemas.openxmlformats.org/officeDocument/2006/relationships/hyperlink" Target="consultantplus://offline/ref=B9E78401560063BD1DAC348CEE3C05580AEF39592A60F7E47467C9AEA7790E916B0AAB2A2C2EF4722BC1F236f8z6J" TargetMode="External"/><Relationship Id="rId51" Type="http://schemas.openxmlformats.org/officeDocument/2006/relationships/hyperlink" Target="http://econom.nso.ru/page/1221" TargetMode="External"/><Relationship Id="rId72" Type="http://schemas.openxmlformats.org/officeDocument/2006/relationships/chart" Target="charts/chart4.xml"/><Relationship Id="rId93" Type="http://schemas.openxmlformats.org/officeDocument/2006/relationships/chart" Target="charts/chart18.xml"/><Relationship Id="rId189" Type="http://schemas.openxmlformats.org/officeDocument/2006/relationships/hyperlink" Target="https://maps.nso.ru/CoGIS/GRS" TargetMode="External"/><Relationship Id="rId3" Type="http://schemas.openxmlformats.org/officeDocument/2006/relationships/styles" Target="styles.xml"/><Relationship Id="rId214" Type="http://schemas.openxmlformats.org/officeDocument/2006/relationships/hyperlink" Target="https://tarif.nso.ru/page/60" TargetMode="External"/><Relationship Id="rId235" Type="http://schemas.openxmlformats.org/officeDocument/2006/relationships/hyperlink" Target="http://opendata.mcx.ru/opendata/7708075454-plemennoyregistr/?q=%D0%9D%D0%BE%D0%B2%D0%BE%D1%81%D0%B8%D0%B1%D0%B8%D1%80%D1%81%D0%BA%D0%B0%D1%8F+%D0%BE%D0%B1%D0%BB%D0%B0%D1%81%D1%82%D1%8C" TargetMode="External"/><Relationship Id="rId256" Type="http://schemas.openxmlformats.org/officeDocument/2006/relationships/hyperlink" Target="consultantplus://offline/ref=A11209D4B0808B41A808828CFA4946BDD23584927C8B267FE7A7B40ABBF12099AA76B8DD6657C70B66399DB8C7E2F4A10F5DFEB0942EF226WCIAH" TargetMode="External"/><Relationship Id="rId116" Type="http://schemas.openxmlformats.org/officeDocument/2006/relationships/hyperlink" Target="https://mtsr.nso.ru/" TargetMode="External"/><Relationship Id="rId137" Type="http://schemas.openxmlformats.org/officeDocument/2006/relationships/hyperlink" Target="https://maps.nso.ru/CoGIS/Investment" TargetMode="External"/><Relationship Id="rId158" Type="http://schemas.openxmlformats.org/officeDocument/2006/relationships/hyperlink" Target="consultantplus://offline/ref=E1A617614E627CEAAB9E621CECD1439C74C114733B33F0F9CDCCF705FFB103507A4D51A7C069B11D60T1I" TargetMode="External"/><Relationship Id="rId20" Type="http://schemas.openxmlformats.org/officeDocument/2006/relationships/hyperlink" Target="consultantplus://offline/ref=0FF9776889CACD801CF7FC5B225994827716733128BB2299A7AF795620E8D344E08EEFE55C8ADC5DBA9DAD280Ch5O6H" TargetMode="External"/><Relationship Id="rId41" Type="http://schemas.openxmlformats.org/officeDocument/2006/relationships/footer" Target="footer2.xml"/><Relationship Id="rId62" Type="http://schemas.openxmlformats.org/officeDocument/2006/relationships/hyperlink" Target="http://www.econom.nso.ru/page/1342" TargetMode="External"/><Relationship Id="rId83" Type="http://schemas.openxmlformats.org/officeDocument/2006/relationships/chart" Target="charts/chart9.xml"/><Relationship Id="rId179" Type="http://schemas.openxmlformats.org/officeDocument/2006/relationships/hyperlink" Target="http://www.eseti.ru/clients/PowerGridJoining/MapPowerCenters.aspx" TargetMode="External"/><Relationship Id="rId190" Type="http://schemas.openxmlformats.org/officeDocument/2006/relationships/hyperlink" Target="https://tomsk-tr.gazprom.ru/about/documents/raskrytie-informatsii/" TargetMode="External"/><Relationship Id="rId204" Type="http://schemas.openxmlformats.org/officeDocument/2006/relationships/hyperlink" Target="https://tarif.nso.ru" TargetMode="External"/><Relationship Id="rId225" Type="http://schemas.openxmlformats.org/officeDocument/2006/relationships/hyperlink" Target="http://tariff.nso.ru/RI2/" TargetMode="External"/><Relationship Id="rId246" Type="http://schemas.openxmlformats.org/officeDocument/2006/relationships/hyperlink" Target="https://novobl-zmo.rts-tender.ru/" TargetMode="External"/><Relationship Id="rId106" Type="http://schemas.openxmlformats.org/officeDocument/2006/relationships/hyperlink" Target="http://www.nso.ru/page/2486" TargetMode="External"/><Relationship Id="rId127" Type="http://schemas.openxmlformats.org/officeDocument/2006/relationships/hyperlink" Target="consultantplus://offline/ref=68360FA5E7552FCE5FBA563C86D3FE8A2EBF879F0A64295E70C01E25833796F1608628FC1036D003687F719343CC514D6CA7D9DC01DCCE4DGBoFC" TargetMode="External"/><Relationship Id="rId10" Type="http://schemas.openxmlformats.org/officeDocument/2006/relationships/hyperlink" Target="mailto:mineconom@nso.ru" TargetMode="External"/><Relationship Id="rId31" Type="http://schemas.openxmlformats.org/officeDocument/2006/relationships/hyperlink" Target="http://www.uip.nso.ru/" TargetMode="External"/><Relationship Id="rId52" Type="http://schemas.openxmlformats.org/officeDocument/2006/relationships/hyperlink" Target="http://www.econom.nso.ru/page/1221" TargetMode="External"/><Relationship Id="rId73" Type="http://schemas.openxmlformats.org/officeDocument/2006/relationships/chart" Target="charts/chart5.xml"/><Relationship Id="rId94" Type="http://schemas.openxmlformats.org/officeDocument/2006/relationships/chart" Target="charts/chart19.xml"/><Relationship Id="rId148" Type="http://schemas.openxmlformats.org/officeDocument/2006/relationships/hyperlink" Target="https://www.gorvodokanal.com/connection/request/" TargetMode="External"/><Relationship Id="rId169" Type="http://schemas.openxmlformats.org/officeDocument/2006/relationships/hyperlink" Target="consultantplus://offline/ref=9A86DCF056B708BA5B8EDC2EC33D719809EBA4236870692F07C2FCD6E86B8F8E89033287C18AD61C26J7F" TargetMode="External"/><Relationship Id="rId4" Type="http://schemas.openxmlformats.org/officeDocument/2006/relationships/settings" Target="settings.xml"/><Relationship Id="rId180" Type="http://schemas.openxmlformats.org/officeDocument/2006/relationships/hyperlink" Target="https://maps.nso.ru/CoGIS/Investment" TargetMode="External"/><Relationship Id="rId215" Type="http://schemas.openxmlformats.org/officeDocument/2006/relationships/hyperlink" Target="https://www.eseti.ru/investors/disclosure.aspx" TargetMode="External"/><Relationship Id="rId236" Type="http://schemas.openxmlformats.org/officeDocument/2006/relationships/hyperlink" Target="http://opendata.mcx.ru/opendata/7708075454-semenovodcheskiekhozyaystva/?q=%D0%9D%D0%BE%D0%B2%D0%BE%D1%81%D0%B8%D0%B1%D0%B8%D1%80%D1%81%D0%BA%D0%B0%D1%8F+%D0%BE%D0%B1%D0%BB%D0%B0%D1%81%D1%82%D1%8C" TargetMode="External"/><Relationship Id="rId257" Type="http://schemas.openxmlformats.org/officeDocument/2006/relationships/hyperlink" Target="consultantplus://offline/ref=A11209D4B0808B41A808828CFA4946BDD23584927C8B267FE7A7B40ABBF12099AA76B8DD6653CE0960399DB8C7E2F4A10F5DFEB0942EF226WCIAH" TargetMode="External"/><Relationship Id="rId42" Type="http://schemas.openxmlformats.org/officeDocument/2006/relationships/hyperlink" Target="http://www.econom.nso.ru/page/460" TargetMode="External"/><Relationship Id="rId84" Type="http://schemas.openxmlformats.org/officeDocument/2006/relationships/chart" Target="charts/chart10.xml"/><Relationship Id="rId138" Type="http://schemas.openxmlformats.org/officeDocument/2006/relationships/hyperlink" Target="https://maps.nso.ru/CoGIS/GR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Выращенная товарная рыба</c:v>
                </c:pt>
              </c:strCache>
            </c:strRef>
          </c:tx>
          <c:dLbls>
            <c:dLbl>
              <c:idx val="0"/>
              <c:layout>
                <c:manualLayout>
                  <c:x val="-4.6901172529313216E-2"/>
                  <c:y val="-8.1632653061224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10-48E6-9BFE-9E4B3373A2D6}"/>
                </c:ext>
              </c:extLst>
            </c:dLbl>
            <c:dLbl>
              <c:idx val="1"/>
              <c:layout>
                <c:manualLayout>
                  <c:x val="-4.2434394193188223E-2"/>
                  <c:y val="-8.7074829931972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10-48E6-9BFE-9E4B3373A2D6}"/>
                </c:ext>
              </c:extLst>
            </c:dLbl>
            <c:dLbl>
              <c:idx val="2"/>
              <c:layout>
                <c:manualLayout>
                  <c:x val="-4.0201005025125663E-2"/>
                  <c:y val="-8.7074829931972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10-48E6-9BFE-9E4B3373A2D6}"/>
                </c:ext>
              </c:extLst>
            </c:dLbl>
            <c:dLbl>
              <c:idx val="3"/>
              <c:layout>
                <c:manualLayout>
                  <c:x val="-5.1367950865438411E-2"/>
                  <c:y val="-9.7959183673469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10-48E6-9BFE-9E4B3373A2D6}"/>
                </c:ext>
              </c:extLst>
            </c:dLbl>
            <c:dLbl>
              <c:idx val="4"/>
              <c:layout>
                <c:manualLayout>
                  <c:x val="-5.3601340033500804E-2"/>
                  <c:y val="-9.7959183673469508E-2"/>
                </c:manualLayout>
              </c:layout>
              <c:tx>
                <c:rich>
                  <a:bodyPr/>
                  <a:lstStyle/>
                  <a:p>
                    <a:r>
                      <a:rPr lang="en-US"/>
                      <a:t>1500,0</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10-48E6-9BFE-9E4B3373A2D6}"/>
                </c:ext>
              </c:extLst>
            </c:dLbl>
            <c:spPr>
              <a:noFill/>
              <a:ln w="25429">
                <a:noFill/>
              </a:ln>
            </c:spPr>
            <c:txPr>
              <a:bodyPr/>
              <a:lstStyle/>
              <a:p>
                <a:pPr>
                  <a:defRPr sz="110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\О\с\н\о\в\н\о\й</c:formatCode>
                <c:ptCount val="5"/>
                <c:pt idx="0">
                  <c:v>2015</c:v>
                </c:pt>
                <c:pt idx="1">
                  <c:v>2016</c:v>
                </c:pt>
                <c:pt idx="2">
                  <c:v>2017</c:v>
                </c:pt>
                <c:pt idx="3">
                  <c:v>2018</c:v>
                </c:pt>
                <c:pt idx="4">
                  <c:v>2019</c:v>
                </c:pt>
              </c:numCache>
            </c:numRef>
          </c:cat>
          <c:val>
            <c:numRef>
              <c:f>Лист1!$B$2:$B$6</c:f>
              <c:numCache>
                <c:formatCode>\О\с\н\о\в\н\о\й</c:formatCode>
                <c:ptCount val="5"/>
                <c:pt idx="0">
                  <c:v>1540.8</c:v>
                </c:pt>
                <c:pt idx="1">
                  <c:v>1551.2</c:v>
                </c:pt>
                <c:pt idx="2">
                  <c:v>1620.2</c:v>
                </c:pt>
                <c:pt idx="3">
                  <c:v>1412.3</c:v>
                </c:pt>
                <c:pt idx="4">
                  <c:v>1500</c:v>
                </c:pt>
              </c:numCache>
            </c:numRef>
          </c:val>
          <c:smooth val="0"/>
          <c:extLst>
            <c:ext xmlns:c16="http://schemas.microsoft.com/office/drawing/2014/chart" uri="{C3380CC4-5D6E-409C-BE32-E72D297353CC}">
              <c16:uniqueId val="{00000005-F710-48E6-9BFE-9E4B3373A2D6}"/>
            </c:ext>
          </c:extLst>
        </c:ser>
        <c:ser>
          <c:idx val="1"/>
          <c:order val="1"/>
          <c:tx>
            <c:strRef>
              <c:f>Лист1!$C$1</c:f>
              <c:strCache>
                <c:ptCount val="1"/>
                <c:pt idx="0">
                  <c:v>Промышленно выловленная рыба</c:v>
                </c:pt>
              </c:strCache>
            </c:strRef>
          </c:tx>
          <c:dLbls>
            <c:dLbl>
              <c:idx val="0"/>
              <c:layout>
                <c:manualLayout>
                  <c:x val="-4.0201005025125663E-2"/>
                  <c:y val="-0.1034013605442176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10-48E6-9BFE-9E4B3373A2D6}"/>
                </c:ext>
              </c:extLst>
            </c:dLbl>
            <c:dLbl>
              <c:idx val="1"/>
              <c:layout>
                <c:manualLayout>
                  <c:x val="-5.8068118369625887E-2"/>
                  <c:y val="-0.108843537414965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10-48E6-9BFE-9E4B3373A2D6}"/>
                </c:ext>
              </c:extLst>
            </c:dLbl>
            <c:dLbl>
              <c:idx val="2"/>
              <c:layout>
                <c:manualLayout>
                  <c:x val="-6.0301507537688509E-2"/>
                  <c:y val="-0.1034013605442176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10-48E6-9BFE-9E4B3373A2D6}"/>
                </c:ext>
              </c:extLst>
            </c:dLbl>
            <c:dLbl>
              <c:idx val="3"/>
              <c:layout>
                <c:manualLayout>
                  <c:x val="-4.9134561697375803E-2"/>
                  <c:y val="-9.7959183673469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10-48E6-9BFE-9E4B3373A2D6}"/>
                </c:ext>
              </c:extLst>
            </c:dLbl>
            <c:dLbl>
              <c:idx val="4"/>
              <c:layout>
                <c:manualLayout>
                  <c:x val="-5.3601340033500804E-2"/>
                  <c:y val="-8.1632653061224525E-2"/>
                </c:manualLayout>
              </c:layout>
              <c:tx>
                <c:rich>
                  <a:bodyPr/>
                  <a:lstStyle/>
                  <a:p>
                    <a:r>
                      <a:rPr lang="en-US"/>
                      <a:t>9600,0</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10-48E6-9BFE-9E4B3373A2D6}"/>
                </c:ext>
              </c:extLst>
            </c:dLbl>
            <c:spPr>
              <a:noFill/>
              <a:ln w="25429">
                <a:noFill/>
              </a:ln>
            </c:spPr>
            <c:txPr>
              <a:bodyPr/>
              <a:lstStyle/>
              <a:p>
                <a:pPr>
                  <a:defRPr sz="110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\О\с\н\о\в\н\о\й</c:formatCode>
                <c:ptCount val="5"/>
                <c:pt idx="0">
                  <c:v>2015</c:v>
                </c:pt>
                <c:pt idx="1">
                  <c:v>2016</c:v>
                </c:pt>
                <c:pt idx="2">
                  <c:v>2017</c:v>
                </c:pt>
                <c:pt idx="3">
                  <c:v>2018</c:v>
                </c:pt>
                <c:pt idx="4">
                  <c:v>2019</c:v>
                </c:pt>
              </c:numCache>
            </c:numRef>
          </c:cat>
          <c:val>
            <c:numRef>
              <c:f>Лист1!$C$2:$C$6</c:f>
              <c:numCache>
                <c:formatCode>\О\с\н\о\в\н\о\й</c:formatCode>
                <c:ptCount val="5"/>
                <c:pt idx="0">
                  <c:v>4810.8999999999996</c:v>
                </c:pt>
                <c:pt idx="1">
                  <c:v>5319.6</c:v>
                </c:pt>
                <c:pt idx="2">
                  <c:v>6626.6</c:v>
                </c:pt>
                <c:pt idx="3">
                  <c:v>8476.9</c:v>
                </c:pt>
                <c:pt idx="4">
                  <c:v>9600</c:v>
                </c:pt>
              </c:numCache>
            </c:numRef>
          </c:val>
          <c:smooth val="0"/>
          <c:extLst>
            <c:ext xmlns:c16="http://schemas.microsoft.com/office/drawing/2014/chart" uri="{C3380CC4-5D6E-409C-BE32-E72D297353CC}">
              <c16:uniqueId val="{0000000B-F710-48E6-9BFE-9E4B3373A2D6}"/>
            </c:ext>
          </c:extLst>
        </c:ser>
        <c:dLbls>
          <c:showLegendKey val="0"/>
          <c:showVal val="0"/>
          <c:showCatName val="0"/>
          <c:showSerName val="0"/>
          <c:showPercent val="0"/>
          <c:showBubbleSize val="0"/>
        </c:dLbls>
        <c:marker val="1"/>
        <c:smooth val="0"/>
        <c:axId val="1738612752"/>
        <c:axId val="1738613296"/>
      </c:lineChart>
      <c:catAx>
        <c:axId val="1738612752"/>
        <c:scaling>
          <c:orientation val="minMax"/>
        </c:scaling>
        <c:delete val="0"/>
        <c:axPos val="b"/>
        <c:numFmt formatCode="\О\с\н\о\в\н\о\й" sourceLinked="1"/>
        <c:majorTickMark val="out"/>
        <c:minorTickMark val="none"/>
        <c:tickLblPos val="nextTo"/>
        <c:crossAx val="1738613296"/>
        <c:crosses val="autoZero"/>
        <c:auto val="1"/>
        <c:lblAlgn val="ctr"/>
        <c:lblOffset val="100"/>
        <c:noMultiLvlLbl val="0"/>
      </c:catAx>
      <c:valAx>
        <c:axId val="1738613296"/>
        <c:scaling>
          <c:orientation val="minMax"/>
        </c:scaling>
        <c:delete val="0"/>
        <c:axPos val="l"/>
        <c:numFmt formatCode="\О\с\н\о\в\н\о\й" sourceLinked="1"/>
        <c:majorTickMark val="out"/>
        <c:minorTickMark val="none"/>
        <c:tickLblPos val="nextTo"/>
        <c:crossAx val="1738612752"/>
        <c:crosses val="autoZero"/>
        <c:crossBetween val="between"/>
      </c:valAx>
      <c:spPr>
        <a:noFill/>
        <a:ln w="25429">
          <a:noFill/>
        </a:ln>
      </c:spPr>
    </c:plotArea>
    <c:legend>
      <c:legendPos val="b"/>
      <c:overlay val="0"/>
    </c:legend>
    <c:plotVisOnly val="1"/>
    <c:dispBlanksAs val="zero"/>
    <c:showDLblsOverMax val="0"/>
  </c:chart>
  <c:spPr>
    <a:noFill/>
    <a:ln>
      <a:noFill/>
    </a:ln>
  </c:spPr>
  <c:txPr>
    <a:bodyPr/>
    <a:lstStyle/>
    <a:p>
      <a:pPr>
        <a:defRPr sz="1201" baseline="0">
          <a:latin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724776405319013E-2"/>
          <c:y val="2.5794692330125397E-2"/>
          <c:w val="0.95727522359470063"/>
          <c:h val="0.69592470879156632"/>
        </c:manualLayout>
      </c:layout>
      <c:barChart>
        <c:barDir val="bar"/>
        <c:grouping val="clustered"/>
        <c:varyColors val="0"/>
        <c:ser>
          <c:idx val="0"/>
          <c:order val="0"/>
          <c:tx>
            <c:strRef>
              <c:f>Лист1!$A$2</c:f>
              <c:strCache>
                <c:ptCount val="1"/>
                <c:pt idx="0">
                  <c:v>Крупное предприятие (свыше 251 человек)</c:v>
                </c:pt>
              </c:strCache>
            </c:strRef>
          </c:tx>
          <c:spPr>
            <a:solidFill>
              <a:srgbClr val="8368A4"/>
            </a:solidFill>
            <a:ln>
              <a:solidFill>
                <a:srgbClr val="813F7C"/>
              </a:solid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Лист1!$B$2:$F$2</c:f>
              <c:numCache>
                <c:formatCode>#,#00</c:formatCode>
                <c:ptCount val="5"/>
                <c:pt idx="0">
                  <c:v>18.899999999999999</c:v>
                </c:pt>
                <c:pt idx="1">
                  <c:v>3</c:v>
                </c:pt>
                <c:pt idx="2">
                  <c:v>3.6</c:v>
                </c:pt>
                <c:pt idx="3">
                  <c:v>0.8</c:v>
                </c:pt>
                <c:pt idx="4">
                  <c:v>6.5750000000000002</c:v>
                </c:pt>
              </c:numCache>
            </c:numRef>
          </c:val>
          <c:extLst>
            <c:ext xmlns:c16="http://schemas.microsoft.com/office/drawing/2014/chart" uri="{C3380CC4-5D6E-409C-BE32-E72D297353CC}">
              <c16:uniqueId val="{00000000-193D-4445-8403-6F456AB4079C}"/>
            </c:ext>
          </c:extLst>
        </c:ser>
        <c:ser>
          <c:idx val="1"/>
          <c:order val="1"/>
          <c:tx>
            <c:strRef>
              <c:f>Лист1!$A$3</c:f>
              <c:strCache>
                <c:ptCount val="1"/>
                <c:pt idx="0">
                  <c:v>Среднее предприятие (от 101 до 250 человек)</c:v>
                </c:pt>
              </c:strCache>
            </c:strRef>
          </c:tx>
          <c:spPr>
            <a:solidFill>
              <a:srgbClr val="8064A2">
                <a:lumMod val="60000"/>
                <a:lumOff val="40000"/>
              </a:srgbClr>
            </a:solidFill>
          </c:spPr>
          <c:invertIfNegative val="0"/>
          <c:dLbls>
            <c:spPr>
              <a:no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Лист1!$B$3:$F$3</c:f>
              <c:numCache>
                <c:formatCode>#,#00</c:formatCode>
                <c:ptCount val="5"/>
                <c:pt idx="0">
                  <c:v>5.3</c:v>
                </c:pt>
                <c:pt idx="1">
                  <c:v>4.4000000000000004</c:v>
                </c:pt>
                <c:pt idx="2">
                  <c:v>4.8</c:v>
                </c:pt>
                <c:pt idx="3">
                  <c:v>3.3</c:v>
                </c:pt>
                <c:pt idx="4">
                  <c:v>4.45</c:v>
                </c:pt>
              </c:numCache>
            </c:numRef>
          </c:val>
          <c:extLst>
            <c:ext xmlns:c16="http://schemas.microsoft.com/office/drawing/2014/chart" uri="{C3380CC4-5D6E-409C-BE32-E72D297353CC}">
              <c16:uniqueId val="{00000001-193D-4445-8403-6F456AB4079C}"/>
            </c:ext>
          </c:extLst>
        </c:ser>
        <c:ser>
          <c:idx val="2"/>
          <c:order val="2"/>
          <c:tx>
            <c:strRef>
              <c:f>Лист1!$A$4</c:f>
              <c:strCache>
                <c:ptCount val="1"/>
                <c:pt idx="0">
                  <c:v>Малое предприятие (от 16 до 100 человек)</c:v>
                </c:pt>
              </c:strCache>
            </c:strRef>
          </c:tx>
          <c:spPr>
            <a:solidFill>
              <a:srgbClr val="4F81BD">
                <a:lumMod val="40000"/>
                <a:lumOff val="60000"/>
              </a:srgbClr>
            </a:solidFill>
            <a:ln>
              <a:no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Лист1!$B$4:$F$4</c:f>
              <c:numCache>
                <c:formatCode>#,#00</c:formatCode>
                <c:ptCount val="5"/>
                <c:pt idx="0">
                  <c:v>2.9</c:v>
                </c:pt>
                <c:pt idx="1">
                  <c:v>1.3</c:v>
                </c:pt>
                <c:pt idx="2">
                  <c:v>2.1</c:v>
                </c:pt>
                <c:pt idx="3">
                  <c:v>2.2000000000000002</c:v>
                </c:pt>
                <c:pt idx="4">
                  <c:v>2.125</c:v>
                </c:pt>
              </c:numCache>
            </c:numRef>
          </c:val>
          <c:extLst>
            <c:ext xmlns:c16="http://schemas.microsoft.com/office/drawing/2014/chart" uri="{C3380CC4-5D6E-409C-BE32-E72D297353CC}">
              <c16:uniqueId val="{00000002-193D-4445-8403-6F456AB4079C}"/>
            </c:ext>
          </c:extLst>
        </c:ser>
        <c:ser>
          <c:idx val="3"/>
          <c:order val="3"/>
          <c:tx>
            <c:strRef>
              <c:f>Лист1!$A$5</c:f>
              <c:strCache>
                <c:ptCount val="1"/>
                <c:pt idx="0">
                  <c:v>Микропредприятие (до 15 человек)</c:v>
                </c:pt>
              </c:strCache>
            </c:strRef>
          </c:tx>
          <c:spPr>
            <a:solidFill>
              <a:srgbClr val="F79646">
                <a:lumMod val="40000"/>
                <a:lumOff val="60000"/>
              </a:srgbClr>
            </a:solidFill>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Лист1!$B$5:$F$5</c:f>
              <c:numCache>
                <c:formatCode>#,#00</c:formatCode>
                <c:ptCount val="5"/>
                <c:pt idx="0">
                  <c:v>2.2000000000000002</c:v>
                </c:pt>
                <c:pt idx="1">
                  <c:v>0.8</c:v>
                </c:pt>
                <c:pt idx="2">
                  <c:v>1.6</c:v>
                </c:pt>
                <c:pt idx="3">
                  <c:v>1.9</c:v>
                </c:pt>
                <c:pt idx="4">
                  <c:v>1.625</c:v>
                </c:pt>
              </c:numCache>
            </c:numRef>
          </c:val>
          <c:extLst>
            <c:ext xmlns:c16="http://schemas.microsoft.com/office/drawing/2014/chart" uri="{C3380CC4-5D6E-409C-BE32-E72D297353CC}">
              <c16:uniqueId val="{00000003-193D-4445-8403-6F456AB4079C}"/>
            </c:ext>
          </c:extLst>
        </c:ser>
        <c:dLbls>
          <c:showLegendKey val="0"/>
          <c:showVal val="0"/>
          <c:showCatName val="0"/>
          <c:showSerName val="0"/>
          <c:showPercent val="0"/>
          <c:showBubbleSize val="0"/>
        </c:dLbls>
        <c:gapWidth val="150"/>
        <c:axId val="1527351456"/>
        <c:axId val="1527346560"/>
      </c:barChart>
      <c:catAx>
        <c:axId val="1527351456"/>
        <c:scaling>
          <c:orientation val="maxMin"/>
        </c:scaling>
        <c:delete val="0"/>
        <c:axPos val="l"/>
        <c:numFmt formatCode="\О\с\н\о\в\н\о\й" sourceLinked="0"/>
        <c:majorTickMark val="none"/>
        <c:minorTickMark val="none"/>
        <c:tickLblPos val="nextTo"/>
        <c:crossAx val="1527346560"/>
        <c:crosses val="autoZero"/>
        <c:auto val="1"/>
        <c:lblAlgn val="ctr"/>
        <c:lblOffset val="100"/>
        <c:noMultiLvlLbl val="0"/>
      </c:catAx>
      <c:valAx>
        <c:axId val="1527346560"/>
        <c:scaling>
          <c:orientation val="minMax"/>
          <c:min val="0"/>
        </c:scaling>
        <c:delete val="1"/>
        <c:axPos val="t"/>
        <c:majorGridlines>
          <c:spPr>
            <a:ln>
              <a:solidFill>
                <a:sysClr val="window" lastClr="FFFFFF">
                  <a:lumMod val="85000"/>
                </a:sysClr>
              </a:solidFill>
            </a:ln>
          </c:spPr>
        </c:majorGridlines>
        <c:numFmt formatCode="#,#00" sourceLinked="1"/>
        <c:majorTickMark val="out"/>
        <c:minorTickMark val="none"/>
        <c:tickLblPos val="nextTo"/>
        <c:crossAx val="1527351456"/>
        <c:crosses val="autoZero"/>
        <c:crossBetween val="between"/>
      </c:valAx>
    </c:plotArea>
    <c:legend>
      <c:legendPos val="b"/>
      <c:layout>
        <c:manualLayout>
          <c:xMode val="edge"/>
          <c:yMode val="edge"/>
          <c:x val="0"/>
          <c:y val="0.80363297792264743"/>
          <c:w val="0.99718845929794941"/>
          <c:h val="0.19636702207735257"/>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724776405319013E-2"/>
          <c:y val="2.5794692330125397E-2"/>
          <c:w val="0.95727522359470063"/>
          <c:h val="0.69592470879156632"/>
        </c:manualLayout>
      </c:layout>
      <c:barChart>
        <c:barDir val="bar"/>
        <c:grouping val="clustered"/>
        <c:varyColors val="0"/>
        <c:ser>
          <c:idx val="0"/>
          <c:order val="0"/>
          <c:tx>
            <c:strRef>
              <c:f>Лист1!$A$2</c:f>
              <c:strCache>
                <c:ptCount val="1"/>
                <c:pt idx="0">
                  <c:v>Крупное предприятие (свыше 251 человек)</c:v>
                </c:pt>
              </c:strCache>
            </c:strRef>
          </c:tx>
          <c:spPr>
            <a:solidFill>
              <a:srgbClr val="8368A4"/>
            </a:solidFill>
            <a:ln>
              <a:solidFill>
                <a:srgbClr val="813F7C"/>
              </a:solid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Лист1!$B$2:$F$2</c:f>
              <c:numCache>
                <c:formatCode>#,#00</c:formatCode>
                <c:ptCount val="5"/>
                <c:pt idx="0">
                  <c:v>0.4</c:v>
                </c:pt>
                <c:pt idx="1">
                  <c:v>0.4</c:v>
                </c:pt>
                <c:pt idx="2">
                  <c:v>1.2</c:v>
                </c:pt>
                <c:pt idx="3">
                  <c:v>0</c:v>
                </c:pt>
                <c:pt idx="4">
                  <c:v>0.5</c:v>
                </c:pt>
              </c:numCache>
            </c:numRef>
          </c:val>
          <c:extLst>
            <c:ext xmlns:c16="http://schemas.microsoft.com/office/drawing/2014/chart" uri="{C3380CC4-5D6E-409C-BE32-E72D297353CC}">
              <c16:uniqueId val="{00000000-3E37-454C-A91E-9A50EA5102EC}"/>
            </c:ext>
          </c:extLst>
        </c:ser>
        <c:ser>
          <c:idx val="1"/>
          <c:order val="1"/>
          <c:tx>
            <c:strRef>
              <c:f>Лист1!$A$3</c:f>
              <c:strCache>
                <c:ptCount val="1"/>
                <c:pt idx="0">
                  <c:v>Среднее предприятие (от 101 до 250 человек)</c:v>
                </c:pt>
              </c:strCache>
            </c:strRef>
          </c:tx>
          <c:spPr>
            <a:solidFill>
              <a:srgbClr val="8064A2">
                <a:lumMod val="60000"/>
                <a:lumOff val="40000"/>
              </a:srgbClr>
            </a:solidFill>
          </c:spPr>
          <c:invertIfNegative val="0"/>
          <c:dLbls>
            <c:spPr>
              <a:no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Лист1!$B$3:$F$3</c:f>
              <c:numCache>
                <c:formatCode>#,#00</c:formatCode>
                <c:ptCount val="5"/>
                <c:pt idx="0">
                  <c:v>3.1</c:v>
                </c:pt>
                <c:pt idx="1">
                  <c:v>0.4</c:v>
                </c:pt>
                <c:pt idx="2">
                  <c:v>2.2000000000000002</c:v>
                </c:pt>
                <c:pt idx="3">
                  <c:v>1.5</c:v>
                </c:pt>
                <c:pt idx="4">
                  <c:v>1.8</c:v>
                </c:pt>
              </c:numCache>
            </c:numRef>
          </c:val>
          <c:extLst>
            <c:ext xmlns:c16="http://schemas.microsoft.com/office/drawing/2014/chart" uri="{C3380CC4-5D6E-409C-BE32-E72D297353CC}">
              <c16:uniqueId val="{00000001-3E37-454C-A91E-9A50EA5102EC}"/>
            </c:ext>
          </c:extLst>
        </c:ser>
        <c:ser>
          <c:idx val="2"/>
          <c:order val="2"/>
          <c:tx>
            <c:strRef>
              <c:f>Лист1!$A$4</c:f>
              <c:strCache>
                <c:ptCount val="1"/>
                <c:pt idx="0">
                  <c:v>Малое предприятие (от 16 до 100 человек)</c:v>
                </c:pt>
              </c:strCache>
            </c:strRef>
          </c:tx>
          <c:spPr>
            <a:solidFill>
              <a:srgbClr val="4F81BD">
                <a:lumMod val="40000"/>
                <a:lumOff val="60000"/>
              </a:srgbClr>
            </a:solidFill>
            <a:ln>
              <a:no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Лист1!$B$4:$F$4</c:f>
              <c:numCache>
                <c:formatCode>#,#00</c:formatCode>
                <c:ptCount val="5"/>
                <c:pt idx="0">
                  <c:v>1.9</c:v>
                </c:pt>
                <c:pt idx="1">
                  <c:v>0.4</c:v>
                </c:pt>
                <c:pt idx="2">
                  <c:v>1.5</c:v>
                </c:pt>
                <c:pt idx="3">
                  <c:v>1.4</c:v>
                </c:pt>
                <c:pt idx="4">
                  <c:v>1.2999999999999998</c:v>
                </c:pt>
              </c:numCache>
            </c:numRef>
          </c:val>
          <c:extLst>
            <c:ext xmlns:c16="http://schemas.microsoft.com/office/drawing/2014/chart" uri="{C3380CC4-5D6E-409C-BE32-E72D297353CC}">
              <c16:uniqueId val="{00000002-3E37-454C-A91E-9A50EA5102EC}"/>
            </c:ext>
          </c:extLst>
        </c:ser>
        <c:ser>
          <c:idx val="3"/>
          <c:order val="3"/>
          <c:tx>
            <c:strRef>
              <c:f>Лист1!$A$5</c:f>
              <c:strCache>
                <c:ptCount val="1"/>
                <c:pt idx="0">
                  <c:v>Микропредприятие (до 15 человек)</c:v>
                </c:pt>
              </c:strCache>
            </c:strRef>
          </c:tx>
          <c:spPr>
            <a:solidFill>
              <a:srgbClr val="F79646">
                <a:lumMod val="40000"/>
                <a:lumOff val="60000"/>
              </a:srgbClr>
            </a:solidFill>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Лист1!$B$5:$F$5</c:f>
              <c:numCache>
                <c:formatCode>#,#00</c:formatCode>
                <c:ptCount val="5"/>
                <c:pt idx="0">
                  <c:v>1.3</c:v>
                </c:pt>
                <c:pt idx="1">
                  <c:v>0.5</c:v>
                </c:pt>
                <c:pt idx="2">
                  <c:v>1.1000000000000001</c:v>
                </c:pt>
                <c:pt idx="3">
                  <c:v>1.2</c:v>
                </c:pt>
                <c:pt idx="4">
                  <c:v>1.0250000000000001</c:v>
                </c:pt>
              </c:numCache>
            </c:numRef>
          </c:val>
          <c:extLst>
            <c:ext xmlns:c16="http://schemas.microsoft.com/office/drawing/2014/chart" uri="{C3380CC4-5D6E-409C-BE32-E72D297353CC}">
              <c16:uniqueId val="{00000003-3E37-454C-A91E-9A50EA5102EC}"/>
            </c:ext>
          </c:extLst>
        </c:ser>
        <c:dLbls>
          <c:showLegendKey val="0"/>
          <c:showVal val="0"/>
          <c:showCatName val="0"/>
          <c:showSerName val="0"/>
          <c:showPercent val="0"/>
          <c:showBubbleSize val="0"/>
        </c:dLbls>
        <c:gapWidth val="150"/>
        <c:axId val="1527349824"/>
        <c:axId val="1527352000"/>
      </c:barChart>
      <c:catAx>
        <c:axId val="1527349824"/>
        <c:scaling>
          <c:orientation val="maxMin"/>
        </c:scaling>
        <c:delete val="0"/>
        <c:axPos val="l"/>
        <c:numFmt formatCode="\О\с\н\о\в\н\о\й" sourceLinked="0"/>
        <c:majorTickMark val="none"/>
        <c:minorTickMark val="none"/>
        <c:tickLblPos val="nextTo"/>
        <c:crossAx val="1527352000"/>
        <c:crosses val="autoZero"/>
        <c:auto val="1"/>
        <c:lblAlgn val="ctr"/>
        <c:lblOffset val="100"/>
        <c:noMultiLvlLbl val="0"/>
      </c:catAx>
      <c:valAx>
        <c:axId val="1527352000"/>
        <c:scaling>
          <c:orientation val="minMax"/>
          <c:min val="0"/>
        </c:scaling>
        <c:delete val="1"/>
        <c:axPos val="t"/>
        <c:majorGridlines>
          <c:spPr>
            <a:ln>
              <a:solidFill>
                <a:sysClr val="window" lastClr="FFFFFF">
                  <a:lumMod val="85000"/>
                </a:sysClr>
              </a:solidFill>
            </a:ln>
          </c:spPr>
        </c:majorGridlines>
        <c:numFmt formatCode="#,#00" sourceLinked="1"/>
        <c:majorTickMark val="out"/>
        <c:minorTickMark val="none"/>
        <c:tickLblPos val="nextTo"/>
        <c:crossAx val="1527349824"/>
        <c:crosses val="autoZero"/>
        <c:crossBetween val="between"/>
      </c:valAx>
    </c:plotArea>
    <c:legend>
      <c:legendPos val="b"/>
      <c:layout>
        <c:manualLayout>
          <c:xMode val="edge"/>
          <c:yMode val="edge"/>
          <c:x val="0"/>
          <c:y val="0.80855596314555633"/>
          <c:w val="0.99494928874631416"/>
          <c:h val="0.15309610037617705"/>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724776405319013E-2"/>
          <c:y val="2.5794692330125397E-2"/>
          <c:w val="0.95727522359470063"/>
          <c:h val="0.69592470879156632"/>
        </c:manualLayout>
      </c:layout>
      <c:barChart>
        <c:barDir val="bar"/>
        <c:grouping val="clustered"/>
        <c:varyColors val="0"/>
        <c:ser>
          <c:idx val="0"/>
          <c:order val="0"/>
          <c:tx>
            <c:strRef>
              <c:f>Лист1!$A$2</c:f>
              <c:strCache>
                <c:ptCount val="1"/>
                <c:pt idx="0">
                  <c:v>Крупное предприятие (свыше 251 человек )</c:v>
                </c:pt>
              </c:strCache>
            </c:strRef>
          </c:tx>
          <c:spPr>
            <a:solidFill>
              <a:srgbClr val="8368A4"/>
            </a:solidFill>
            <a:ln>
              <a:solidFill>
                <a:srgbClr val="813F7C"/>
              </a:solid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Лист1!$B$2:$F$2</c:f>
              <c:numCache>
                <c:formatCode>#,#00</c:formatCode>
                <c:ptCount val="5"/>
                <c:pt idx="0">
                  <c:v>1.9</c:v>
                </c:pt>
                <c:pt idx="1">
                  <c:v>0.4</c:v>
                </c:pt>
                <c:pt idx="2">
                  <c:v>1</c:v>
                </c:pt>
                <c:pt idx="3">
                  <c:v>1.3</c:v>
                </c:pt>
                <c:pt idx="4">
                  <c:v>1.1499999999999999</c:v>
                </c:pt>
              </c:numCache>
            </c:numRef>
          </c:val>
          <c:extLst>
            <c:ext xmlns:c16="http://schemas.microsoft.com/office/drawing/2014/chart" uri="{C3380CC4-5D6E-409C-BE32-E72D297353CC}">
              <c16:uniqueId val="{00000000-4F86-4FFF-89B6-D5C27A4A68DE}"/>
            </c:ext>
          </c:extLst>
        </c:ser>
        <c:ser>
          <c:idx val="1"/>
          <c:order val="1"/>
          <c:tx>
            <c:strRef>
              <c:f>Лист1!$A$3</c:f>
              <c:strCache>
                <c:ptCount val="1"/>
                <c:pt idx="0">
                  <c:v>Среднее предприятие (от 101 до 250 человек)</c:v>
                </c:pt>
              </c:strCache>
            </c:strRef>
          </c:tx>
          <c:spPr>
            <a:solidFill>
              <a:srgbClr val="8064A2">
                <a:lumMod val="60000"/>
                <a:lumOff val="40000"/>
              </a:srgbClr>
            </a:solidFill>
          </c:spPr>
          <c:invertIfNegative val="0"/>
          <c:dLbls>
            <c:spPr>
              <a:no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Лист1!$B$3:$F$3</c:f>
              <c:numCache>
                <c:formatCode>#,#00</c:formatCode>
                <c:ptCount val="5"/>
                <c:pt idx="0">
                  <c:v>2.6</c:v>
                </c:pt>
                <c:pt idx="1">
                  <c:v>1.5</c:v>
                </c:pt>
                <c:pt idx="2">
                  <c:v>1.5</c:v>
                </c:pt>
                <c:pt idx="3">
                  <c:v>1.7</c:v>
                </c:pt>
                <c:pt idx="4">
                  <c:v>1.825</c:v>
                </c:pt>
              </c:numCache>
            </c:numRef>
          </c:val>
          <c:extLst>
            <c:ext xmlns:c16="http://schemas.microsoft.com/office/drawing/2014/chart" uri="{C3380CC4-5D6E-409C-BE32-E72D297353CC}">
              <c16:uniqueId val="{00000001-4F86-4FFF-89B6-D5C27A4A68DE}"/>
            </c:ext>
          </c:extLst>
        </c:ser>
        <c:ser>
          <c:idx val="2"/>
          <c:order val="2"/>
          <c:tx>
            <c:strRef>
              <c:f>Лист1!$A$4</c:f>
              <c:strCache>
                <c:ptCount val="1"/>
                <c:pt idx="0">
                  <c:v>Малое предприятие (от 16 до 100 человек)</c:v>
                </c:pt>
              </c:strCache>
            </c:strRef>
          </c:tx>
          <c:spPr>
            <a:solidFill>
              <a:srgbClr val="4F81BD">
                <a:lumMod val="40000"/>
                <a:lumOff val="60000"/>
              </a:srgbClr>
            </a:solidFill>
            <a:ln>
              <a:no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Лист1!$B$4:$F$4</c:f>
              <c:numCache>
                <c:formatCode>#,#00</c:formatCode>
                <c:ptCount val="5"/>
                <c:pt idx="0">
                  <c:v>2</c:v>
                </c:pt>
                <c:pt idx="1">
                  <c:v>1.3</c:v>
                </c:pt>
                <c:pt idx="2">
                  <c:v>1.4</c:v>
                </c:pt>
                <c:pt idx="3">
                  <c:v>1.6</c:v>
                </c:pt>
                <c:pt idx="4">
                  <c:v>1.5749999999999997</c:v>
                </c:pt>
              </c:numCache>
            </c:numRef>
          </c:val>
          <c:extLst>
            <c:ext xmlns:c16="http://schemas.microsoft.com/office/drawing/2014/chart" uri="{C3380CC4-5D6E-409C-BE32-E72D297353CC}">
              <c16:uniqueId val="{00000002-4F86-4FFF-89B6-D5C27A4A68DE}"/>
            </c:ext>
          </c:extLst>
        </c:ser>
        <c:ser>
          <c:idx val="3"/>
          <c:order val="3"/>
          <c:tx>
            <c:strRef>
              <c:f>Лист1!$A$5</c:f>
              <c:strCache>
                <c:ptCount val="1"/>
                <c:pt idx="0">
                  <c:v>Микропредприятие (до 15 человек)</c:v>
                </c:pt>
              </c:strCache>
            </c:strRef>
          </c:tx>
          <c:spPr>
            <a:solidFill>
              <a:srgbClr val="F79646">
                <a:lumMod val="40000"/>
                <a:lumOff val="60000"/>
              </a:srgbClr>
            </a:solidFill>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Лист1!$B$5:$F$5</c:f>
              <c:numCache>
                <c:formatCode>#,#00</c:formatCode>
                <c:ptCount val="5"/>
                <c:pt idx="0">
                  <c:v>1.7</c:v>
                </c:pt>
                <c:pt idx="1">
                  <c:v>0.9</c:v>
                </c:pt>
                <c:pt idx="2">
                  <c:v>1.2</c:v>
                </c:pt>
                <c:pt idx="3">
                  <c:v>1.2</c:v>
                </c:pt>
                <c:pt idx="4">
                  <c:v>1.25</c:v>
                </c:pt>
              </c:numCache>
            </c:numRef>
          </c:val>
          <c:extLst>
            <c:ext xmlns:c16="http://schemas.microsoft.com/office/drawing/2014/chart" uri="{C3380CC4-5D6E-409C-BE32-E72D297353CC}">
              <c16:uniqueId val="{00000003-4F86-4FFF-89B6-D5C27A4A68DE}"/>
            </c:ext>
          </c:extLst>
        </c:ser>
        <c:dLbls>
          <c:showLegendKey val="0"/>
          <c:showVal val="0"/>
          <c:showCatName val="0"/>
          <c:showSerName val="0"/>
          <c:showPercent val="0"/>
          <c:showBubbleSize val="0"/>
        </c:dLbls>
        <c:gapWidth val="150"/>
        <c:axId val="1527346016"/>
        <c:axId val="1527350912"/>
      </c:barChart>
      <c:catAx>
        <c:axId val="1527346016"/>
        <c:scaling>
          <c:orientation val="maxMin"/>
        </c:scaling>
        <c:delete val="0"/>
        <c:axPos val="l"/>
        <c:numFmt formatCode="\О\с\н\о\в\н\о\й" sourceLinked="0"/>
        <c:majorTickMark val="none"/>
        <c:minorTickMark val="none"/>
        <c:tickLblPos val="nextTo"/>
        <c:crossAx val="1527350912"/>
        <c:crosses val="autoZero"/>
        <c:auto val="1"/>
        <c:lblAlgn val="ctr"/>
        <c:lblOffset val="100"/>
        <c:noMultiLvlLbl val="0"/>
      </c:catAx>
      <c:valAx>
        <c:axId val="1527350912"/>
        <c:scaling>
          <c:orientation val="minMax"/>
          <c:min val="0"/>
        </c:scaling>
        <c:delete val="1"/>
        <c:axPos val="t"/>
        <c:majorGridlines>
          <c:spPr>
            <a:ln>
              <a:solidFill>
                <a:sysClr val="window" lastClr="FFFFFF">
                  <a:lumMod val="85000"/>
                </a:sysClr>
              </a:solidFill>
            </a:ln>
          </c:spPr>
        </c:majorGridlines>
        <c:numFmt formatCode="#,#00" sourceLinked="1"/>
        <c:majorTickMark val="out"/>
        <c:minorTickMark val="none"/>
        <c:tickLblPos val="nextTo"/>
        <c:crossAx val="1527346016"/>
        <c:crosses val="autoZero"/>
        <c:crossBetween val="between"/>
      </c:valAx>
    </c:plotArea>
    <c:legend>
      <c:legendPos val="b"/>
      <c:layout>
        <c:manualLayout>
          <c:xMode val="edge"/>
          <c:yMode val="edge"/>
          <c:x val="0"/>
          <c:y val="0.79665831543784305"/>
          <c:w val="0.99727133791820322"/>
          <c:h val="0.1556164996420901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111262628484289"/>
          <c:y val="2.5794692330125397E-2"/>
          <c:w val="0.59108476663880694"/>
          <c:h val="0.69592470879156632"/>
        </c:manualLayout>
      </c:layout>
      <c:barChart>
        <c:barDir val="bar"/>
        <c:grouping val="clustered"/>
        <c:varyColors val="0"/>
        <c:ser>
          <c:idx val="0"/>
          <c:order val="0"/>
          <c:tx>
            <c:strRef>
              <c:f>Лист1!$A$2</c:f>
              <c:strCache>
                <c:ptCount val="1"/>
                <c:pt idx="0">
                  <c:v>Крупное предприятие (свыше 251 человек )</c:v>
                </c:pt>
              </c:strCache>
            </c:strRef>
          </c:tx>
          <c:spPr>
            <a:solidFill>
              <a:srgbClr val="8368A4"/>
            </a:solidFill>
            <a:ln>
              <a:solidFill>
                <a:srgbClr val="813F7C"/>
              </a:solid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Лист1!$B$2:$F$2</c:f>
              <c:numCache>
                <c:formatCode>#,#00</c:formatCode>
                <c:ptCount val="5"/>
                <c:pt idx="0">
                  <c:v>3.3</c:v>
                </c:pt>
                <c:pt idx="1">
                  <c:v>7</c:v>
                </c:pt>
                <c:pt idx="2">
                  <c:v>10</c:v>
                </c:pt>
                <c:pt idx="3">
                  <c:v>2.7</c:v>
                </c:pt>
                <c:pt idx="4">
                  <c:v>5.75</c:v>
                </c:pt>
              </c:numCache>
            </c:numRef>
          </c:val>
          <c:extLst>
            <c:ext xmlns:c16="http://schemas.microsoft.com/office/drawing/2014/chart" uri="{C3380CC4-5D6E-409C-BE32-E72D297353CC}">
              <c16:uniqueId val="{00000000-C4A9-49CE-9437-1186F7604289}"/>
            </c:ext>
          </c:extLst>
        </c:ser>
        <c:ser>
          <c:idx val="1"/>
          <c:order val="1"/>
          <c:tx>
            <c:strRef>
              <c:f>Лист1!$A$3</c:f>
              <c:strCache>
                <c:ptCount val="1"/>
                <c:pt idx="0">
                  <c:v>Среднее предприятие (от 101 до 250 человек)</c:v>
                </c:pt>
              </c:strCache>
            </c:strRef>
          </c:tx>
          <c:spPr>
            <a:solidFill>
              <a:srgbClr val="8064A2">
                <a:lumMod val="60000"/>
                <a:lumOff val="40000"/>
              </a:srgbClr>
            </a:solidFill>
          </c:spPr>
          <c:invertIfNegative val="0"/>
          <c:dLbls>
            <c:spPr>
              <a:no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Лист1!$B$3:$F$3</c:f>
              <c:numCache>
                <c:formatCode>#,#00</c:formatCode>
                <c:ptCount val="5"/>
                <c:pt idx="0">
                  <c:v>6</c:v>
                </c:pt>
                <c:pt idx="1">
                  <c:v>15</c:v>
                </c:pt>
                <c:pt idx="2">
                  <c:v>7.2</c:v>
                </c:pt>
                <c:pt idx="3">
                  <c:v>2.8</c:v>
                </c:pt>
                <c:pt idx="4">
                  <c:v>7.75</c:v>
                </c:pt>
              </c:numCache>
            </c:numRef>
          </c:val>
          <c:extLst>
            <c:ext xmlns:c16="http://schemas.microsoft.com/office/drawing/2014/chart" uri="{C3380CC4-5D6E-409C-BE32-E72D297353CC}">
              <c16:uniqueId val="{00000001-C4A9-49CE-9437-1186F7604289}"/>
            </c:ext>
          </c:extLst>
        </c:ser>
        <c:ser>
          <c:idx val="2"/>
          <c:order val="2"/>
          <c:tx>
            <c:strRef>
              <c:f>Лист1!$A$4</c:f>
              <c:strCache>
                <c:ptCount val="1"/>
                <c:pt idx="0">
                  <c:v>Малое предприятие (от 16 до 100 человек)</c:v>
                </c:pt>
              </c:strCache>
            </c:strRef>
          </c:tx>
          <c:spPr>
            <a:solidFill>
              <a:srgbClr val="4F81BD">
                <a:lumMod val="40000"/>
                <a:lumOff val="60000"/>
              </a:srgbClr>
            </a:solidFill>
            <a:ln>
              <a:no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Лист1!$B$4:$F$4</c:f>
              <c:numCache>
                <c:formatCode>#,#00</c:formatCode>
                <c:ptCount val="5"/>
                <c:pt idx="0">
                  <c:v>3.3</c:v>
                </c:pt>
                <c:pt idx="1">
                  <c:v>3.6</c:v>
                </c:pt>
                <c:pt idx="2">
                  <c:v>4.5</c:v>
                </c:pt>
                <c:pt idx="3">
                  <c:v>3.9</c:v>
                </c:pt>
                <c:pt idx="4">
                  <c:v>3.8250000000000002</c:v>
                </c:pt>
              </c:numCache>
            </c:numRef>
          </c:val>
          <c:extLst>
            <c:ext xmlns:c16="http://schemas.microsoft.com/office/drawing/2014/chart" uri="{C3380CC4-5D6E-409C-BE32-E72D297353CC}">
              <c16:uniqueId val="{00000002-C4A9-49CE-9437-1186F7604289}"/>
            </c:ext>
          </c:extLst>
        </c:ser>
        <c:ser>
          <c:idx val="3"/>
          <c:order val="3"/>
          <c:tx>
            <c:strRef>
              <c:f>Лист1!$A$5</c:f>
              <c:strCache>
                <c:ptCount val="1"/>
                <c:pt idx="0">
                  <c:v>Микропредприятие (до 15 человек)</c:v>
                </c:pt>
              </c:strCache>
            </c:strRef>
          </c:tx>
          <c:spPr>
            <a:solidFill>
              <a:srgbClr val="F79646">
                <a:lumMod val="40000"/>
                <a:lumOff val="60000"/>
              </a:srgbClr>
            </a:solidFill>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Лист1!$B$5:$F$5</c:f>
              <c:numCache>
                <c:formatCode>#,#00</c:formatCode>
                <c:ptCount val="5"/>
                <c:pt idx="0">
                  <c:v>3.3</c:v>
                </c:pt>
                <c:pt idx="1">
                  <c:v>3</c:v>
                </c:pt>
                <c:pt idx="2">
                  <c:v>4.5999999999999996</c:v>
                </c:pt>
                <c:pt idx="3">
                  <c:v>4.5</c:v>
                </c:pt>
                <c:pt idx="4">
                  <c:v>3.8499999999999996</c:v>
                </c:pt>
              </c:numCache>
            </c:numRef>
          </c:val>
          <c:extLst>
            <c:ext xmlns:c16="http://schemas.microsoft.com/office/drawing/2014/chart" uri="{C3380CC4-5D6E-409C-BE32-E72D297353CC}">
              <c16:uniqueId val="{00000003-C4A9-49CE-9437-1186F7604289}"/>
            </c:ext>
          </c:extLst>
        </c:ser>
        <c:dLbls>
          <c:showLegendKey val="0"/>
          <c:showVal val="0"/>
          <c:showCatName val="0"/>
          <c:showSerName val="0"/>
          <c:showPercent val="0"/>
          <c:showBubbleSize val="0"/>
        </c:dLbls>
        <c:gapWidth val="150"/>
        <c:axId val="1527352544"/>
        <c:axId val="1527345472"/>
      </c:barChart>
      <c:catAx>
        <c:axId val="1527352544"/>
        <c:scaling>
          <c:orientation val="maxMin"/>
        </c:scaling>
        <c:delete val="0"/>
        <c:axPos val="l"/>
        <c:numFmt formatCode="\О\с\н\о\в\н\о\й" sourceLinked="0"/>
        <c:majorTickMark val="none"/>
        <c:minorTickMark val="none"/>
        <c:tickLblPos val="nextTo"/>
        <c:crossAx val="1527345472"/>
        <c:crosses val="autoZero"/>
        <c:auto val="1"/>
        <c:lblAlgn val="ctr"/>
        <c:lblOffset val="100"/>
        <c:noMultiLvlLbl val="0"/>
      </c:catAx>
      <c:valAx>
        <c:axId val="1527345472"/>
        <c:scaling>
          <c:orientation val="minMax"/>
          <c:min val="0"/>
        </c:scaling>
        <c:delete val="1"/>
        <c:axPos val="t"/>
        <c:majorGridlines>
          <c:spPr>
            <a:ln>
              <a:solidFill>
                <a:sysClr val="window" lastClr="FFFFFF">
                  <a:lumMod val="85000"/>
                </a:sysClr>
              </a:solidFill>
            </a:ln>
          </c:spPr>
        </c:majorGridlines>
        <c:numFmt formatCode="#,#00" sourceLinked="1"/>
        <c:majorTickMark val="out"/>
        <c:minorTickMark val="none"/>
        <c:tickLblPos val="nextTo"/>
        <c:crossAx val="1527352544"/>
        <c:crosses val="autoZero"/>
        <c:crossBetween val="between"/>
      </c:valAx>
    </c:plotArea>
    <c:legend>
      <c:legendPos val="b"/>
      <c:layout>
        <c:manualLayout>
          <c:xMode val="edge"/>
          <c:yMode val="edge"/>
          <c:x val="1.204840545374306E-2"/>
          <c:y val="0.77910062924826717"/>
          <c:w val="0.98399972127377877"/>
          <c:h val="0.17744885254727771"/>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Лист3!$B$3</c:f>
              <c:strCache>
                <c:ptCount val="1"/>
                <c:pt idx="0">
                  <c:v>Удовлетворительно</c:v>
                </c:pt>
              </c:strCache>
            </c:strRef>
          </c:tx>
          <c:spPr>
            <a:solidFill>
              <a:schemeClr val="accent6">
                <a:lumMod val="60000"/>
                <a:lumOff val="40000"/>
              </a:schemeClr>
            </a:solidFill>
            <a:ln>
              <a:noFill/>
            </a:ln>
            <a:effectLst/>
          </c:spPr>
          <c:invertIfNegative val="0"/>
          <c:dLbls>
            <c:dLbl>
              <c:idx val="0"/>
              <c:spPr>
                <a:solidFill>
                  <a:schemeClr val="accent6">
                    <a:lumMod val="60000"/>
                    <a:lumOff val="40000"/>
                  </a:schemeClr>
                </a:solidFill>
                <a:ln>
                  <a:solidFill>
                    <a:schemeClr val="dk1">
                      <a:lumMod val="25000"/>
                      <a:lumOff val="75000"/>
                    </a:schemeClr>
                  </a:solidFill>
                </a:ln>
                <a:effectLst>
                  <a:softEdge rad="0"/>
                </a:effectLst>
              </c:spPr>
              <c:txPr>
                <a:bodyPr rot="0" spcFirstLastPara="1" vertOverflow="clip" horzOverflow="clip" vert="horz" wrap="square" lIns="72000" tIns="18288" rIns="36576" bIns="18288"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7AE-46BB-AEB6-E0F57FA250F1}"/>
                </c:ext>
              </c:extLst>
            </c:dLbl>
            <c:dLbl>
              <c:idx val="1"/>
              <c:spPr>
                <a:solidFill>
                  <a:schemeClr val="accent6">
                    <a:lumMod val="60000"/>
                    <a:lumOff val="40000"/>
                  </a:schemeClr>
                </a:solidFill>
                <a:ln>
                  <a:solidFill>
                    <a:schemeClr val="dk1">
                      <a:lumMod val="25000"/>
                      <a:lumOff val="75000"/>
                    </a:schemeClr>
                  </a:solidFill>
                </a:ln>
                <a:effectLst>
                  <a:softEdge rad="0"/>
                </a:effectLst>
              </c:spPr>
              <c:txPr>
                <a:bodyPr rot="0" spcFirstLastPara="1" vertOverflow="clip" horzOverflow="clip" vert="horz" wrap="square" lIns="72000" tIns="18288" rIns="36576" bIns="18288"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7AE-46BB-AEB6-E0F57FA250F1}"/>
                </c:ext>
              </c:extLst>
            </c:dLbl>
            <c:dLbl>
              <c:idx val="2"/>
              <c:spPr>
                <a:solidFill>
                  <a:schemeClr val="accent6">
                    <a:lumMod val="60000"/>
                    <a:lumOff val="40000"/>
                  </a:schemeClr>
                </a:solidFill>
                <a:ln>
                  <a:solidFill>
                    <a:schemeClr val="dk1">
                      <a:lumMod val="25000"/>
                      <a:lumOff val="75000"/>
                    </a:schemeClr>
                  </a:solidFill>
                </a:ln>
                <a:effectLst>
                  <a:softEdge rad="0"/>
                </a:effectLst>
              </c:spPr>
              <c:txPr>
                <a:bodyPr rot="0" spcFirstLastPara="1" vertOverflow="clip" horzOverflow="clip" vert="horz" wrap="square" lIns="72000" tIns="18288" rIns="36576" bIns="18288"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F7AE-46BB-AEB6-E0F57FA250F1}"/>
                </c:ext>
              </c:extLst>
            </c:dLbl>
            <c:dLbl>
              <c:idx val="3"/>
              <c:spPr>
                <a:solidFill>
                  <a:schemeClr val="accent6">
                    <a:lumMod val="60000"/>
                    <a:lumOff val="40000"/>
                  </a:schemeClr>
                </a:solidFill>
                <a:ln>
                  <a:solidFill>
                    <a:schemeClr val="dk1">
                      <a:lumMod val="25000"/>
                      <a:lumOff val="75000"/>
                    </a:schemeClr>
                  </a:solidFill>
                </a:ln>
                <a:effectLst>
                  <a:softEdge rad="0"/>
                </a:effectLst>
              </c:spPr>
              <c:txPr>
                <a:bodyPr rot="0" spcFirstLastPara="1" vertOverflow="clip" horzOverflow="clip" vert="horz" wrap="square" lIns="72000" tIns="18288" rIns="36576" bIns="18288"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7AE-46BB-AEB6-E0F57FA250F1}"/>
                </c:ext>
              </c:extLst>
            </c:dLbl>
            <c:dLbl>
              <c:idx val="4"/>
              <c:spPr>
                <a:solidFill>
                  <a:schemeClr val="accent6">
                    <a:lumMod val="60000"/>
                    <a:lumOff val="40000"/>
                  </a:schemeClr>
                </a:solidFill>
                <a:ln>
                  <a:solidFill>
                    <a:schemeClr val="dk1">
                      <a:lumMod val="25000"/>
                      <a:lumOff val="75000"/>
                    </a:schemeClr>
                  </a:solidFill>
                </a:ln>
                <a:effectLst>
                  <a:softEdge rad="0"/>
                </a:effectLst>
              </c:spPr>
              <c:txPr>
                <a:bodyPr rot="0" spcFirstLastPara="1" vertOverflow="clip" horzOverflow="clip" vert="horz" wrap="square" lIns="72000" tIns="18288" rIns="36576" bIns="18288"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F7AE-46BB-AEB6-E0F57FA250F1}"/>
                </c:ext>
              </c:extLst>
            </c:dLbl>
            <c:dLbl>
              <c:idx val="5"/>
              <c:spPr>
                <a:solidFill>
                  <a:schemeClr val="accent6">
                    <a:lumMod val="60000"/>
                    <a:lumOff val="40000"/>
                  </a:schemeClr>
                </a:solidFill>
                <a:ln>
                  <a:solidFill>
                    <a:schemeClr val="dk1">
                      <a:lumMod val="25000"/>
                      <a:lumOff val="75000"/>
                    </a:schemeClr>
                  </a:solidFill>
                </a:ln>
                <a:effectLst>
                  <a:softEdge rad="0"/>
                </a:effectLst>
              </c:spPr>
              <c:txPr>
                <a:bodyPr rot="0" spcFirstLastPara="1" vertOverflow="clip" horzOverflow="clip" vert="horz" wrap="square" lIns="72000" tIns="18288" rIns="36576" bIns="18288"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F7AE-46BB-AEB6-E0F57FA250F1}"/>
                </c:ext>
              </c:extLst>
            </c:dLbl>
            <c:dLbl>
              <c:idx val="6"/>
              <c:spPr>
                <a:solidFill>
                  <a:schemeClr val="accent6">
                    <a:lumMod val="60000"/>
                    <a:lumOff val="40000"/>
                  </a:schemeClr>
                </a:solidFill>
                <a:ln>
                  <a:solidFill>
                    <a:schemeClr val="dk1">
                      <a:lumMod val="25000"/>
                      <a:lumOff val="75000"/>
                    </a:schemeClr>
                  </a:solidFill>
                </a:ln>
                <a:effectLst>
                  <a:softEdge rad="0"/>
                </a:effectLst>
              </c:spPr>
              <c:txPr>
                <a:bodyPr rot="0" spcFirstLastPara="1" vertOverflow="clip" horzOverflow="clip" vert="horz" wrap="square" lIns="72000" tIns="18288" rIns="36576" bIns="18288"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F7AE-46BB-AEB6-E0F57FA250F1}"/>
                </c:ext>
              </c:extLst>
            </c:dLbl>
            <c:dLbl>
              <c:idx val="7"/>
              <c:spPr>
                <a:solidFill>
                  <a:schemeClr val="accent6">
                    <a:lumMod val="60000"/>
                    <a:lumOff val="40000"/>
                  </a:schemeClr>
                </a:solidFill>
                <a:ln>
                  <a:solidFill>
                    <a:schemeClr val="dk1">
                      <a:lumMod val="25000"/>
                      <a:lumOff val="75000"/>
                    </a:schemeClr>
                  </a:solidFill>
                </a:ln>
                <a:effectLst>
                  <a:softEdge rad="0"/>
                </a:effectLst>
              </c:spPr>
              <c:txPr>
                <a:bodyPr rot="0" spcFirstLastPara="1" vertOverflow="clip" horzOverflow="clip" vert="horz" wrap="square" lIns="72000" tIns="18288" rIns="36576" bIns="18288"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F7AE-46BB-AEB6-E0F57FA250F1}"/>
                </c:ext>
              </c:extLst>
            </c:dLbl>
            <c:spPr>
              <a:solidFill>
                <a:schemeClr val="lt1"/>
              </a:solidFill>
              <a:ln>
                <a:solidFill>
                  <a:schemeClr val="dk1">
                    <a:lumMod val="25000"/>
                    <a:lumOff val="75000"/>
                  </a:schemeClr>
                </a:solidFill>
              </a:ln>
              <a:effectLst>
                <a:softEdge rad="0"/>
              </a:effectLst>
            </c:spPr>
            <c:txPr>
              <a:bodyPr rot="0" spcFirstLastPara="1" vertOverflow="clip" horzOverflow="clip" vert="horz" wrap="square" lIns="72000" tIns="18288" rIns="36576" bIns="18288"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Лист3!$C$1:$J$2</c:f>
              <c:multiLvlStrCache>
                <c:ptCount val="8"/>
                <c:lvl>
                  <c:pt idx="0">
                    <c:v>Стоимость</c:v>
                  </c:pt>
                  <c:pt idx="1">
                    <c:v>Качество</c:v>
                  </c:pt>
                  <c:pt idx="2">
                    <c:v>Стоимость</c:v>
                  </c:pt>
                  <c:pt idx="3">
                    <c:v>Качество</c:v>
                  </c:pt>
                  <c:pt idx="4">
                    <c:v>Стоимость</c:v>
                  </c:pt>
                  <c:pt idx="5">
                    <c:v>Качество</c:v>
                  </c:pt>
                  <c:pt idx="6">
                    <c:v>Стоимость</c:v>
                  </c:pt>
                  <c:pt idx="7">
                    <c:v>Качество</c:v>
                  </c:pt>
                </c:lvl>
                <c:lvl>
                  <c:pt idx="0">
                    <c:v>Электроснабжение</c:v>
                  </c:pt>
                  <c:pt idx="2">
                    <c:v>Газоснабжение</c:v>
                  </c:pt>
                  <c:pt idx="4">
                    <c:v>Теплоснабжение</c:v>
                  </c:pt>
                  <c:pt idx="6">
                    <c:v>Водоснабжение</c:v>
                  </c:pt>
                </c:lvl>
              </c:multiLvlStrCache>
            </c:multiLvlStrRef>
          </c:cat>
          <c:val>
            <c:numRef>
              <c:f>Лист3!$C$3:$J$3</c:f>
              <c:numCache>
                <c:formatCode>#,#00</c:formatCode>
                <c:ptCount val="8"/>
                <c:pt idx="0">
                  <c:v>56.3</c:v>
                </c:pt>
                <c:pt idx="1">
                  <c:v>82.6</c:v>
                </c:pt>
                <c:pt idx="2">
                  <c:v>55.9</c:v>
                </c:pt>
                <c:pt idx="3">
                  <c:v>74.400000000000006</c:v>
                </c:pt>
                <c:pt idx="4">
                  <c:v>43.5</c:v>
                </c:pt>
                <c:pt idx="5">
                  <c:v>71.900000000000006</c:v>
                </c:pt>
                <c:pt idx="6">
                  <c:v>54.1</c:v>
                </c:pt>
                <c:pt idx="7">
                  <c:v>68.599999999999994</c:v>
                </c:pt>
              </c:numCache>
            </c:numRef>
          </c:val>
          <c:extLst>
            <c:ext xmlns:c16="http://schemas.microsoft.com/office/drawing/2014/chart" uri="{C3380CC4-5D6E-409C-BE32-E72D297353CC}">
              <c16:uniqueId val="{00000008-F7AE-46BB-AEB6-E0F57FA250F1}"/>
            </c:ext>
          </c:extLst>
        </c:ser>
        <c:ser>
          <c:idx val="1"/>
          <c:order val="1"/>
          <c:tx>
            <c:strRef>
              <c:f>Лист3!$B$4</c:f>
              <c:strCache>
                <c:ptCount val="1"/>
                <c:pt idx="0">
                  <c:v>Неудовлетворительно</c:v>
                </c:pt>
              </c:strCache>
            </c:strRef>
          </c:tx>
          <c:spPr>
            <a:solidFill>
              <a:srgbClr val="D8859F"/>
            </a:solidFill>
            <a:ln w="25420">
              <a:noFill/>
            </a:ln>
          </c:spPr>
          <c:invertIfNegative val="0"/>
          <c:dLbls>
            <c:dLbl>
              <c:idx val="0"/>
              <c:spPr>
                <a:solidFill>
                  <a:srgbClr val="F4949B"/>
                </a:solidFill>
                <a:ln w="25420">
                  <a:noFill/>
                </a:ln>
              </c:spPr>
              <c:txPr>
                <a:bodyPr rot="0" spcFirstLastPara="1" vertOverflow="ellipsis" horzOverflow="clip" vert="horz" wrap="square" lIns="38100" tIns="19050" rIns="38100" bIns="19050" anchor="ctr" anchorCtr="1">
                  <a:no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F7AE-46BB-AEB6-E0F57FA250F1}"/>
                </c:ext>
              </c:extLst>
            </c:dLbl>
            <c:dLbl>
              <c:idx val="1"/>
              <c:spPr>
                <a:solidFill>
                  <a:srgbClr val="F4949B"/>
                </a:solidFill>
                <a:ln w="25420">
                  <a:noFill/>
                </a:ln>
              </c:spPr>
              <c:txPr>
                <a:bodyPr rot="0" spcFirstLastPara="1" vertOverflow="ellipsis" horzOverflow="clip" vert="horz" wrap="square" lIns="38100" tIns="19050" rIns="38100" bIns="19050" anchor="ctr" anchorCtr="1">
                  <a:no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F7AE-46BB-AEB6-E0F57FA250F1}"/>
                </c:ext>
              </c:extLst>
            </c:dLbl>
            <c:dLbl>
              <c:idx val="2"/>
              <c:spPr>
                <a:solidFill>
                  <a:srgbClr val="F4949B"/>
                </a:solidFill>
                <a:ln w="25420">
                  <a:noFill/>
                </a:ln>
              </c:spPr>
              <c:txPr>
                <a:bodyPr rot="0" spcFirstLastPara="1" vertOverflow="ellipsis" horzOverflow="clip" vert="horz" wrap="square" lIns="38100" tIns="19050" rIns="38100" bIns="19050" anchor="ctr" anchorCtr="1">
                  <a:no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F7AE-46BB-AEB6-E0F57FA250F1}"/>
                </c:ext>
              </c:extLst>
            </c:dLbl>
            <c:dLbl>
              <c:idx val="3"/>
              <c:spPr>
                <a:solidFill>
                  <a:srgbClr val="F4949B"/>
                </a:solidFill>
                <a:ln w="25420">
                  <a:noFill/>
                </a:ln>
              </c:spPr>
              <c:txPr>
                <a:bodyPr rot="0" spcFirstLastPara="1" vertOverflow="ellipsis" horzOverflow="clip" vert="horz" wrap="square" lIns="38100" tIns="19050" rIns="38100" bIns="19050" anchor="ctr" anchorCtr="1">
                  <a:no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F7AE-46BB-AEB6-E0F57FA250F1}"/>
                </c:ext>
              </c:extLst>
            </c:dLbl>
            <c:dLbl>
              <c:idx val="4"/>
              <c:spPr>
                <a:solidFill>
                  <a:srgbClr val="F4949B"/>
                </a:solidFill>
                <a:ln w="25420">
                  <a:noFill/>
                </a:ln>
              </c:spPr>
              <c:txPr>
                <a:bodyPr rot="0" spcFirstLastPara="1" vertOverflow="ellipsis" horzOverflow="clip" vert="horz" wrap="square" lIns="38100" tIns="19050" rIns="38100" bIns="19050" anchor="ctr" anchorCtr="1">
                  <a:no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F7AE-46BB-AEB6-E0F57FA250F1}"/>
                </c:ext>
              </c:extLst>
            </c:dLbl>
            <c:dLbl>
              <c:idx val="5"/>
              <c:spPr>
                <a:solidFill>
                  <a:srgbClr val="F4949B"/>
                </a:solidFill>
                <a:ln w="25420">
                  <a:noFill/>
                </a:ln>
              </c:spPr>
              <c:txPr>
                <a:bodyPr rot="0" spcFirstLastPara="1" vertOverflow="ellipsis" horzOverflow="clip" vert="horz" wrap="square" lIns="38100" tIns="19050" rIns="38100" bIns="19050" anchor="ctr" anchorCtr="1">
                  <a:no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F7AE-46BB-AEB6-E0F57FA250F1}"/>
                </c:ext>
              </c:extLst>
            </c:dLbl>
            <c:dLbl>
              <c:idx val="6"/>
              <c:spPr>
                <a:solidFill>
                  <a:srgbClr val="F4949B"/>
                </a:solidFill>
                <a:ln w="25420">
                  <a:noFill/>
                </a:ln>
              </c:spPr>
              <c:txPr>
                <a:bodyPr rot="0" spcFirstLastPara="1" vertOverflow="ellipsis" horzOverflow="clip" vert="horz" wrap="square" lIns="38100" tIns="19050" rIns="38100" bIns="19050" anchor="ctr" anchorCtr="1">
                  <a:no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F7AE-46BB-AEB6-E0F57FA250F1}"/>
                </c:ext>
              </c:extLst>
            </c:dLbl>
            <c:dLbl>
              <c:idx val="7"/>
              <c:spPr>
                <a:solidFill>
                  <a:srgbClr val="F4949B"/>
                </a:solidFill>
                <a:ln w="25420">
                  <a:noFill/>
                </a:ln>
              </c:spPr>
              <c:txPr>
                <a:bodyPr rot="0" spcFirstLastPara="1" vertOverflow="ellipsis" horzOverflow="clip" vert="horz" wrap="square" lIns="38100" tIns="19050" rIns="38100" bIns="19050" anchor="ctr" anchorCtr="1">
                  <a:no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0-F7AE-46BB-AEB6-E0F57FA250F1}"/>
                </c:ext>
              </c:extLst>
            </c:dLbl>
            <c:spPr>
              <a:solidFill>
                <a:srgbClr val="F4949B"/>
              </a:solidFill>
              <a:ln w="25420">
                <a:noFill/>
              </a:ln>
            </c:spPr>
            <c:txPr>
              <a:bodyPr rot="0" spcFirstLastPara="1" vertOverflow="ellipsis" vert="horz" wrap="square" lIns="38100" tIns="19050" rIns="38100" bIns="19050"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Лист3!$C$1:$J$2</c:f>
              <c:multiLvlStrCache>
                <c:ptCount val="8"/>
                <c:lvl>
                  <c:pt idx="0">
                    <c:v>Стоимость</c:v>
                  </c:pt>
                  <c:pt idx="1">
                    <c:v>Качество</c:v>
                  </c:pt>
                  <c:pt idx="2">
                    <c:v>Стоимость</c:v>
                  </c:pt>
                  <c:pt idx="3">
                    <c:v>Качество</c:v>
                  </c:pt>
                  <c:pt idx="4">
                    <c:v>Стоимость</c:v>
                  </c:pt>
                  <c:pt idx="5">
                    <c:v>Качество</c:v>
                  </c:pt>
                  <c:pt idx="6">
                    <c:v>Стоимость</c:v>
                  </c:pt>
                  <c:pt idx="7">
                    <c:v>Качество</c:v>
                  </c:pt>
                </c:lvl>
                <c:lvl>
                  <c:pt idx="0">
                    <c:v>Электроснабжение</c:v>
                  </c:pt>
                  <c:pt idx="2">
                    <c:v>Газоснабжение</c:v>
                  </c:pt>
                  <c:pt idx="4">
                    <c:v>Теплоснабжение</c:v>
                  </c:pt>
                  <c:pt idx="6">
                    <c:v>Водоснабжение</c:v>
                  </c:pt>
                </c:lvl>
              </c:multiLvlStrCache>
            </c:multiLvlStrRef>
          </c:cat>
          <c:val>
            <c:numRef>
              <c:f>Лист3!$C$4:$J$4</c:f>
              <c:numCache>
                <c:formatCode>#,#00</c:formatCode>
                <c:ptCount val="8"/>
                <c:pt idx="0">
                  <c:v>43.7</c:v>
                </c:pt>
                <c:pt idx="1">
                  <c:v>17.399999999999999</c:v>
                </c:pt>
                <c:pt idx="2">
                  <c:v>44.1</c:v>
                </c:pt>
                <c:pt idx="3">
                  <c:v>25.6</c:v>
                </c:pt>
                <c:pt idx="4">
                  <c:v>56.5</c:v>
                </c:pt>
                <c:pt idx="5">
                  <c:v>28.1</c:v>
                </c:pt>
                <c:pt idx="6">
                  <c:v>45.9</c:v>
                </c:pt>
                <c:pt idx="7">
                  <c:v>31.4</c:v>
                </c:pt>
              </c:numCache>
            </c:numRef>
          </c:val>
          <c:extLst>
            <c:ext xmlns:c16="http://schemas.microsoft.com/office/drawing/2014/chart" uri="{C3380CC4-5D6E-409C-BE32-E72D297353CC}">
              <c16:uniqueId val="{00000011-F7AE-46BB-AEB6-E0F57FA250F1}"/>
            </c:ext>
          </c:extLst>
        </c:ser>
        <c:dLbls>
          <c:showLegendKey val="0"/>
          <c:showVal val="0"/>
          <c:showCatName val="0"/>
          <c:showSerName val="0"/>
          <c:showPercent val="0"/>
          <c:showBubbleSize val="0"/>
        </c:dLbls>
        <c:gapWidth val="150"/>
        <c:overlap val="100"/>
        <c:axId val="1527348736"/>
        <c:axId val="1527347104"/>
      </c:barChart>
      <c:catAx>
        <c:axId val="1527348736"/>
        <c:scaling>
          <c:orientation val="minMax"/>
        </c:scaling>
        <c:delete val="0"/>
        <c:axPos val="l"/>
        <c:numFmt formatCode="General" sourceLinked="1"/>
        <c:majorTickMark val="none"/>
        <c:minorTickMark val="none"/>
        <c:tickLblPos val="nextTo"/>
        <c:spPr>
          <a:noFill/>
          <a:ln w="9533" cap="flat" cmpd="sng" algn="ctr">
            <a:solidFill>
              <a:schemeClr val="tx1">
                <a:lumMod val="15000"/>
                <a:lumOff val="85000"/>
              </a:schemeClr>
            </a:solidFill>
            <a:round/>
          </a:ln>
          <a:effectLst/>
        </c:spPr>
        <c:txPr>
          <a:bodyPr rot="-60000000" spcFirstLastPara="1" vertOverflow="ellipsis" vert="horz" wrap="square" anchor="ctr" anchorCtr="1"/>
          <a:lstStyle/>
          <a:p>
            <a:pPr>
              <a:defRPr sz="11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7347104"/>
        <c:crosses val="autoZero"/>
        <c:auto val="1"/>
        <c:lblAlgn val="ctr"/>
        <c:lblOffset val="100"/>
        <c:noMultiLvlLbl val="0"/>
      </c:catAx>
      <c:valAx>
        <c:axId val="1527347104"/>
        <c:scaling>
          <c:orientation val="minMax"/>
          <c:max val="100"/>
        </c:scaling>
        <c:delete val="1"/>
        <c:axPos val="b"/>
        <c:numFmt formatCode="#,#00" sourceLinked="1"/>
        <c:majorTickMark val="out"/>
        <c:minorTickMark val="none"/>
        <c:tickLblPos val="nextTo"/>
        <c:crossAx val="1527348736"/>
        <c:crosses val="autoZero"/>
        <c:crossBetween val="between"/>
      </c:valAx>
      <c:spPr>
        <a:noFill/>
        <a:ln w="25420">
          <a:noFill/>
        </a:ln>
      </c:spPr>
    </c:plotArea>
    <c:legend>
      <c:legendPos val="b"/>
      <c:overlay val="0"/>
      <c:spPr>
        <a:noFill/>
        <a:ln w="25420">
          <a:noFill/>
        </a:ln>
      </c:spPr>
      <c:txPr>
        <a:bodyPr rot="0" spcFirstLastPara="1" vertOverflow="ellipsis" vert="horz" wrap="square" anchor="ctr" anchorCtr="1"/>
        <a:lstStyle/>
        <a:p>
          <a:pPr>
            <a:defRPr sz="10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28598" cap="flat" cmpd="sng" algn="ctr">
      <a:solidFill>
        <a:srgbClr val="C00000"/>
      </a:solidFill>
      <a:prstDash val="sysDash"/>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31695916084579"/>
          <c:y val="0.20018567749247845"/>
          <c:w val="0.82494388834373256"/>
          <c:h val="0.65954718650221389"/>
        </c:manualLayout>
      </c:layout>
      <c:barChart>
        <c:barDir val="bar"/>
        <c:grouping val="percentStacked"/>
        <c:varyColors val="0"/>
        <c:ser>
          <c:idx val="0"/>
          <c:order val="0"/>
          <c:tx>
            <c:strRef>
              <c:f>Лист1!$B$1</c:f>
              <c:strCache>
                <c:ptCount val="1"/>
                <c:pt idx="0">
                  <c:v>Удовлетворен</c:v>
                </c:pt>
              </c:strCache>
            </c:strRef>
          </c:tx>
          <c:spPr>
            <a:solidFill>
              <a:srgbClr val="78973B"/>
            </a:solidFill>
            <a:ln w="25391">
              <a:noFill/>
            </a:ln>
          </c:spPr>
          <c:invertIfNegative val="0"/>
          <c:dLbls>
            <c:spPr>
              <a:solidFill>
                <a:schemeClr val="bg1"/>
              </a:solidFill>
              <a:ln w="12696">
                <a:solidFill>
                  <a:srgbClr val="78973B"/>
                </a:solid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Стоимость</c:v>
                </c:pt>
                <c:pt idx="1">
                  <c:v>Качество</c:v>
                </c:pt>
                <c:pt idx="2">
                  <c:v>Доступность</c:v>
                </c:pt>
              </c:strCache>
            </c:strRef>
          </c:cat>
          <c:val>
            <c:numRef>
              <c:f>Лист1!$B$2:$B$4</c:f>
              <c:numCache>
                <c:formatCode>#,#00%</c:formatCode>
                <c:ptCount val="3"/>
                <c:pt idx="0">
                  <c:v>0.29499999999999998</c:v>
                </c:pt>
                <c:pt idx="1">
                  <c:v>0.64200000000000002</c:v>
                </c:pt>
                <c:pt idx="2">
                  <c:v>0.72499999999999998</c:v>
                </c:pt>
              </c:numCache>
            </c:numRef>
          </c:val>
          <c:extLst>
            <c:ext xmlns:c16="http://schemas.microsoft.com/office/drawing/2014/chart" uri="{C3380CC4-5D6E-409C-BE32-E72D297353CC}">
              <c16:uniqueId val="{00000000-770C-4E2F-A523-83BA7DFFF6AF}"/>
            </c:ext>
          </c:extLst>
        </c:ser>
        <c:ser>
          <c:idx val="1"/>
          <c:order val="1"/>
          <c:tx>
            <c:strRef>
              <c:f>Лист1!$C$1</c:f>
              <c:strCache>
                <c:ptCount val="1"/>
                <c:pt idx="0">
                  <c:v>Не удовлетворен</c:v>
                </c:pt>
              </c:strCache>
            </c:strRef>
          </c:tx>
          <c:spPr>
            <a:solidFill>
              <a:srgbClr val="B73B61"/>
            </a:solidFill>
            <a:ln w="25391">
              <a:noFill/>
            </a:ln>
          </c:spPr>
          <c:invertIfNegative val="0"/>
          <c:dLbls>
            <c:spPr>
              <a:solidFill>
                <a:schemeClr val="bg1"/>
              </a:solidFill>
              <a:ln w="12696">
                <a:solidFill>
                  <a:srgbClr val="A84A6C">
                    <a:lumMod val="60000"/>
                    <a:lumOff val="40000"/>
                  </a:srgbClr>
                </a:solid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Стоимость</c:v>
                </c:pt>
                <c:pt idx="1">
                  <c:v>Качество</c:v>
                </c:pt>
                <c:pt idx="2">
                  <c:v>Доступность</c:v>
                </c:pt>
              </c:strCache>
            </c:strRef>
          </c:cat>
          <c:val>
            <c:numRef>
              <c:f>Лист1!$C$2:$C$4</c:f>
              <c:numCache>
                <c:formatCode>#,#00%</c:formatCode>
                <c:ptCount val="3"/>
                <c:pt idx="0">
                  <c:v>0.56299999999999994</c:v>
                </c:pt>
                <c:pt idx="1">
                  <c:v>0.23699999999999999</c:v>
                </c:pt>
                <c:pt idx="2">
                  <c:v>0.17699999999999999</c:v>
                </c:pt>
              </c:numCache>
            </c:numRef>
          </c:val>
          <c:extLst>
            <c:ext xmlns:c16="http://schemas.microsoft.com/office/drawing/2014/chart" uri="{C3380CC4-5D6E-409C-BE32-E72D297353CC}">
              <c16:uniqueId val="{00000001-770C-4E2F-A523-83BA7DFFF6AF}"/>
            </c:ext>
          </c:extLst>
        </c:ser>
        <c:ser>
          <c:idx val="2"/>
          <c:order val="2"/>
          <c:tx>
            <c:strRef>
              <c:f>Лист1!$D$1</c:f>
              <c:strCache>
                <c:ptCount val="1"/>
                <c:pt idx="0">
                  <c:v>Затрудняюсь ответить</c:v>
                </c:pt>
              </c:strCache>
            </c:strRef>
          </c:tx>
          <c:spPr>
            <a:solidFill>
              <a:srgbClr val="AEABAB"/>
            </a:solidFill>
            <a:ln w="25391">
              <a:noFill/>
            </a:ln>
          </c:spPr>
          <c:invertIfNegative val="0"/>
          <c:dLbls>
            <c:spPr>
              <a:solidFill>
                <a:schemeClr val="bg1"/>
              </a:solidFill>
              <a:ln w="12696">
                <a:solidFill>
                  <a:srgbClr val="AEABAB"/>
                </a:solid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Стоимость</c:v>
                </c:pt>
                <c:pt idx="1">
                  <c:v>Качество</c:v>
                </c:pt>
                <c:pt idx="2">
                  <c:v>Доступность</c:v>
                </c:pt>
              </c:strCache>
            </c:strRef>
          </c:cat>
          <c:val>
            <c:numRef>
              <c:f>Лист1!$D$2:$D$4</c:f>
              <c:numCache>
                <c:formatCode>#,#00%</c:formatCode>
                <c:ptCount val="3"/>
                <c:pt idx="0">
                  <c:v>0.14099999999999999</c:v>
                </c:pt>
                <c:pt idx="1">
                  <c:v>0.121</c:v>
                </c:pt>
                <c:pt idx="2">
                  <c:v>9.8000000000000004E-2</c:v>
                </c:pt>
              </c:numCache>
            </c:numRef>
          </c:val>
          <c:extLst>
            <c:ext xmlns:c16="http://schemas.microsoft.com/office/drawing/2014/chart" uri="{C3380CC4-5D6E-409C-BE32-E72D297353CC}">
              <c16:uniqueId val="{00000002-770C-4E2F-A523-83BA7DFFF6AF}"/>
            </c:ext>
          </c:extLst>
        </c:ser>
        <c:dLbls>
          <c:showLegendKey val="0"/>
          <c:showVal val="0"/>
          <c:showCatName val="0"/>
          <c:showSerName val="0"/>
          <c:showPercent val="0"/>
          <c:showBubbleSize val="0"/>
        </c:dLbls>
        <c:gapWidth val="150"/>
        <c:overlap val="100"/>
        <c:axId val="1527347648"/>
        <c:axId val="1527350368"/>
      </c:barChart>
      <c:catAx>
        <c:axId val="1527347648"/>
        <c:scaling>
          <c:orientation val="minMax"/>
        </c:scaling>
        <c:delete val="0"/>
        <c:axPos val="l"/>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vert="horz"/>
          <a:lstStyle/>
          <a:p>
            <a:pPr>
              <a:defRPr/>
            </a:pPr>
            <a:endParaRPr lang="ru-RU"/>
          </a:p>
        </c:txPr>
        <c:crossAx val="1527350368"/>
        <c:crosses val="autoZero"/>
        <c:auto val="1"/>
        <c:lblAlgn val="ctr"/>
        <c:lblOffset val="100"/>
        <c:noMultiLvlLbl val="0"/>
      </c:catAx>
      <c:valAx>
        <c:axId val="1527350368"/>
        <c:scaling>
          <c:orientation val="minMax"/>
        </c:scaling>
        <c:delete val="1"/>
        <c:axPos val="b"/>
        <c:majorGridlines>
          <c:spPr>
            <a:ln w="9522" cap="flat" cmpd="sng" algn="ctr">
              <a:solidFill>
                <a:schemeClr val="tx1">
                  <a:lumMod val="15000"/>
                  <a:lumOff val="85000"/>
                </a:schemeClr>
              </a:solidFill>
              <a:round/>
            </a:ln>
            <a:effectLst/>
          </c:spPr>
        </c:majorGridlines>
        <c:numFmt formatCode="0%" sourceLinked="1"/>
        <c:majorTickMark val="out"/>
        <c:minorTickMark val="none"/>
        <c:tickLblPos val="nextTo"/>
        <c:crossAx val="1527347648"/>
        <c:crosses val="autoZero"/>
        <c:crossBetween val="between"/>
        <c:majorUnit val="0.2"/>
      </c:valAx>
      <c:spPr>
        <a:noFill/>
        <a:ln w="25391">
          <a:noFill/>
        </a:ln>
      </c:spPr>
    </c:plotArea>
    <c:legend>
      <c:legendPos val="t"/>
      <c:layout>
        <c:manualLayout>
          <c:xMode val="edge"/>
          <c:yMode val="edge"/>
          <c:x val="0.17872750219300526"/>
          <c:y val="4.2665106050932822E-2"/>
          <c:w val="0.63211495854960009"/>
          <c:h val="0.10811378307441299"/>
        </c:manualLayout>
      </c:layout>
      <c:overlay val="0"/>
      <c:spPr>
        <a:noFill/>
        <a:ln w="25391">
          <a:noFill/>
        </a:ln>
      </c:spPr>
      <c:txPr>
        <a:bodyPr rot="0" vert="horz"/>
        <a:lstStyle/>
        <a:p>
          <a:pPr>
            <a:defRPr/>
          </a:pPr>
          <a:endParaRPr lang="ru-RU"/>
        </a:p>
      </c:txPr>
    </c:legend>
    <c:plotVisOnly val="1"/>
    <c:dispBlanksAs val="gap"/>
    <c:showDLblsOverMax val="0"/>
  </c:chart>
  <c:spPr>
    <a:solidFill>
      <a:schemeClr val="bg1"/>
    </a:solid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C9A7D1"/>
            </a:solidFill>
            <a:ln w="25347">
              <a:noFill/>
            </a:ln>
          </c:spPr>
          <c:invertIfNegative val="0"/>
          <c:dLbls>
            <c:spPr>
              <a:noFill/>
              <a:ln w="25347">
                <a:noFill/>
              </a:ln>
            </c:spPr>
            <c:txPr>
              <a:bodyPr rot="0" spcFirstLastPara="1" vertOverflow="ellipsis" vert="horz" wrap="square" lIns="38100" tIns="19050" rIns="38100" bIns="19050" anchor="ctr" anchorCtr="1">
                <a:spAutoFit/>
              </a:bodyPr>
              <a:lstStyle/>
              <a:p>
                <a:pPr>
                  <a:defRPr sz="1098"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Лист1!$A$4:$A$8</c:f>
              <c:strCache>
                <c:ptCount val="5"/>
                <c:pt idx="0">
                  <c:v>Кемеровская область</c:v>
                </c:pt>
                <c:pt idx="1">
                  <c:v>Новосибирская область</c:v>
                </c:pt>
                <c:pt idx="2">
                  <c:v>Томская область</c:v>
                </c:pt>
                <c:pt idx="3">
                  <c:v>Алтайский край</c:v>
                </c:pt>
                <c:pt idx="4">
                  <c:v>Омская область</c:v>
                </c:pt>
              </c:strCache>
            </c:strRef>
          </c:cat>
          <c:val>
            <c:numRef>
              <c:f>Лист1!$B$4:$B$8</c:f>
              <c:numCache>
                <c:formatCode>#,#00%</c:formatCode>
                <c:ptCount val="5"/>
                <c:pt idx="0">
                  <c:v>0.83099999999999996</c:v>
                </c:pt>
                <c:pt idx="1">
                  <c:v>0.70599999999999996</c:v>
                </c:pt>
                <c:pt idx="2">
                  <c:v>0.69099999999999995</c:v>
                </c:pt>
                <c:pt idx="3">
                  <c:v>0.66100000000000003</c:v>
                </c:pt>
                <c:pt idx="4">
                  <c:v>0.58299999999999996</c:v>
                </c:pt>
              </c:numCache>
            </c:numRef>
          </c:val>
          <c:extLst>
            <c:ext xmlns:c16="http://schemas.microsoft.com/office/drawing/2014/chart" uri="{C3380CC4-5D6E-409C-BE32-E72D297353CC}">
              <c16:uniqueId val="{00000000-0D0F-4FBC-B988-8425B1EAB988}"/>
            </c:ext>
          </c:extLst>
        </c:ser>
        <c:dLbls>
          <c:showLegendKey val="0"/>
          <c:showVal val="0"/>
          <c:showCatName val="0"/>
          <c:showSerName val="0"/>
          <c:showPercent val="0"/>
          <c:showBubbleSize val="0"/>
        </c:dLbls>
        <c:gapWidth val="131"/>
        <c:overlap val="-27"/>
        <c:axId val="1737033152"/>
        <c:axId val="1737028256"/>
      </c:barChart>
      <c:catAx>
        <c:axId val="1737033152"/>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9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37028256"/>
        <c:crosses val="autoZero"/>
        <c:auto val="1"/>
        <c:lblAlgn val="ctr"/>
        <c:lblOffset val="100"/>
        <c:noMultiLvlLbl val="0"/>
      </c:catAx>
      <c:valAx>
        <c:axId val="1737028256"/>
        <c:scaling>
          <c:orientation val="minMax"/>
        </c:scaling>
        <c:delete val="1"/>
        <c:axPos val="l"/>
        <c:numFmt formatCode="#,#00%" sourceLinked="1"/>
        <c:majorTickMark val="out"/>
        <c:minorTickMark val="none"/>
        <c:tickLblPos val="nextTo"/>
        <c:crossAx val="1737033152"/>
        <c:crosses val="autoZero"/>
        <c:crossBetween val="between"/>
      </c:valAx>
      <c:spPr>
        <a:noFill/>
        <a:ln w="25347">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C9A7D1"/>
            </a:solidFill>
            <a:ln w="25368">
              <a:noFill/>
            </a:ln>
          </c:spPr>
          <c:invertIfNegative val="0"/>
          <c:dLbls>
            <c:spPr>
              <a:noFill/>
              <a:ln w="25368">
                <a:noFill/>
              </a:ln>
            </c:spPr>
            <c:txPr>
              <a:bodyPr rot="0" spcFirstLastPara="1" vertOverflow="ellipsis" vert="horz" wrap="square" lIns="38100" tIns="19050" rIns="38100" bIns="19050" anchor="ctr" anchorCtr="1">
                <a:spAutoFit/>
              </a:bodyPr>
              <a:lstStyle/>
              <a:p>
                <a:pPr>
                  <a:defRPr sz="10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'Покрытие общ'!$C$3:$C$7</c:f>
              <c:strCache>
                <c:ptCount val="5"/>
                <c:pt idx="0">
                  <c:v>Томская область</c:v>
                </c:pt>
                <c:pt idx="1">
                  <c:v>Кемеровская область</c:v>
                </c:pt>
                <c:pt idx="2">
                  <c:v>Омская область</c:v>
                </c:pt>
                <c:pt idx="3">
                  <c:v>Новосибирская область</c:v>
                </c:pt>
                <c:pt idx="4">
                  <c:v>Алтайский край</c:v>
                </c:pt>
              </c:strCache>
            </c:strRef>
          </c:cat>
          <c:val>
            <c:numRef>
              <c:f>'Покрытие общ'!$D$3:$D$7</c:f>
              <c:numCache>
                <c:formatCode>#,#00%</c:formatCode>
                <c:ptCount val="5"/>
                <c:pt idx="0">
                  <c:v>0.77749999999999997</c:v>
                </c:pt>
                <c:pt idx="1">
                  <c:v>0.77500000000000002</c:v>
                </c:pt>
                <c:pt idx="2">
                  <c:v>0.75</c:v>
                </c:pt>
                <c:pt idx="3">
                  <c:v>0.59750000000000003</c:v>
                </c:pt>
                <c:pt idx="4">
                  <c:v>0.47</c:v>
                </c:pt>
              </c:numCache>
            </c:numRef>
          </c:val>
          <c:extLst>
            <c:ext xmlns:c16="http://schemas.microsoft.com/office/drawing/2014/chart" uri="{C3380CC4-5D6E-409C-BE32-E72D297353CC}">
              <c16:uniqueId val="{00000000-FA2E-4FDC-AABB-74B5D6DF59E1}"/>
            </c:ext>
          </c:extLst>
        </c:ser>
        <c:dLbls>
          <c:showLegendKey val="0"/>
          <c:showVal val="0"/>
          <c:showCatName val="0"/>
          <c:showSerName val="0"/>
          <c:showPercent val="0"/>
          <c:showBubbleSize val="0"/>
        </c:dLbls>
        <c:gapWidth val="152"/>
        <c:overlap val="-27"/>
        <c:axId val="1737029888"/>
        <c:axId val="1737030432"/>
      </c:barChart>
      <c:catAx>
        <c:axId val="1737029888"/>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37030432"/>
        <c:crosses val="autoZero"/>
        <c:auto val="1"/>
        <c:lblAlgn val="ctr"/>
        <c:lblOffset val="100"/>
        <c:noMultiLvlLbl val="0"/>
      </c:catAx>
      <c:valAx>
        <c:axId val="1737030432"/>
        <c:scaling>
          <c:orientation val="minMax"/>
        </c:scaling>
        <c:delete val="1"/>
        <c:axPos val="l"/>
        <c:numFmt formatCode="#,#00%" sourceLinked="1"/>
        <c:majorTickMark val="out"/>
        <c:minorTickMark val="none"/>
        <c:tickLblPos val="nextTo"/>
        <c:crossAx val="1737029888"/>
        <c:crosses val="autoZero"/>
        <c:crossBetween val="between"/>
      </c:valAx>
      <c:spPr>
        <a:noFill/>
        <a:ln w="25368">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C9A7D1"/>
            </a:solidFill>
            <a:ln w="25398">
              <a:noFill/>
            </a:ln>
          </c:spPr>
          <c:invertIfNegative val="0"/>
          <c:dLbls>
            <c:spPr>
              <a:noFill/>
              <a:ln w="25398">
                <a:noFill/>
              </a:ln>
            </c:spPr>
            <c:txPr>
              <a:bodyPr rot="0" spcFirstLastPara="1" vertOverflow="ellipsis" vert="horz" wrap="square" lIns="38100" tIns="19050" rIns="38100" bIns="19050" anchor="ctr" anchorCtr="0">
                <a:spAutoFit/>
              </a:bodyPr>
              <a:lstStyle/>
              <a:p>
                <a:pPr algn="ct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Лист1!$A$3:$A$7</c:f>
              <c:strCache>
                <c:ptCount val="5"/>
                <c:pt idx="0">
                  <c:v>Кемеровская область</c:v>
                </c:pt>
                <c:pt idx="1">
                  <c:v>Алтайский край</c:v>
                </c:pt>
                <c:pt idx="2">
                  <c:v>Новосибирская область</c:v>
                </c:pt>
                <c:pt idx="3">
                  <c:v>Омская область</c:v>
                </c:pt>
                <c:pt idx="4">
                  <c:v>Томская область</c:v>
                </c:pt>
              </c:strCache>
            </c:strRef>
          </c:cat>
          <c:val>
            <c:numRef>
              <c:f>Лист1!$B$3:$B$7</c:f>
              <c:numCache>
                <c:formatCode>0</c:formatCode>
                <c:ptCount val="5"/>
                <c:pt idx="0">
                  <c:v>175</c:v>
                </c:pt>
                <c:pt idx="1">
                  <c:v>93</c:v>
                </c:pt>
                <c:pt idx="2">
                  <c:v>85.022497187851513</c:v>
                </c:pt>
                <c:pt idx="3">
                  <c:v>52</c:v>
                </c:pt>
                <c:pt idx="4">
                  <c:v>10.998727735368959</c:v>
                </c:pt>
              </c:numCache>
            </c:numRef>
          </c:val>
          <c:extLst>
            <c:ext xmlns:c16="http://schemas.microsoft.com/office/drawing/2014/chart" uri="{C3380CC4-5D6E-409C-BE32-E72D297353CC}">
              <c16:uniqueId val="{00000000-4821-4EE6-8A00-72A219A0B827}"/>
            </c:ext>
          </c:extLst>
        </c:ser>
        <c:dLbls>
          <c:showLegendKey val="0"/>
          <c:showVal val="0"/>
          <c:showCatName val="0"/>
          <c:showSerName val="0"/>
          <c:showPercent val="0"/>
          <c:showBubbleSize val="0"/>
        </c:dLbls>
        <c:gapWidth val="150"/>
        <c:overlap val="-27"/>
        <c:axId val="1737031520"/>
        <c:axId val="1737027712"/>
      </c:barChart>
      <c:catAx>
        <c:axId val="1737031520"/>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37027712"/>
        <c:crosses val="autoZero"/>
        <c:auto val="1"/>
        <c:lblAlgn val="ctr"/>
        <c:lblOffset val="100"/>
        <c:noMultiLvlLbl val="0"/>
      </c:catAx>
      <c:valAx>
        <c:axId val="1737027712"/>
        <c:scaling>
          <c:orientation val="minMax"/>
        </c:scaling>
        <c:delete val="1"/>
        <c:axPos val="l"/>
        <c:numFmt formatCode="0" sourceLinked="1"/>
        <c:majorTickMark val="out"/>
        <c:minorTickMark val="none"/>
        <c:tickLblPos val="nextTo"/>
        <c:crossAx val="1737031520"/>
        <c:crosses val="autoZero"/>
        <c:crossBetween val="between"/>
      </c:valAx>
      <c:spPr>
        <a:noFill/>
        <a:ln w="25398">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C9A7D1"/>
            </a:solidFill>
            <a:ln w="25314">
              <a:noFill/>
            </a:ln>
          </c:spPr>
          <c:invertIfNegative val="0"/>
          <c:dLbls>
            <c:spPr>
              <a:noFill/>
              <a:ln w="25314">
                <a:noFill/>
              </a:ln>
            </c:spPr>
            <c:txPr>
              <a:bodyPr rot="0" spcFirstLastPara="1" vertOverflow="ellipsis" vert="horz" wrap="square" lIns="38100" tIns="19050" rIns="38100" bIns="19050" anchor="ctr" anchorCtr="1">
                <a:spAutoFit/>
              </a:bodyPr>
              <a:lstStyle/>
              <a:p>
                <a:pPr>
                  <a:defRPr sz="1096"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Евросиб</c:v>
                </c:pt>
                <c:pt idx="1">
                  <c:v>Клещиха</c:v>
                </c:pt>
                <c:pt idx="2">
                  <c:v>ФЕСКО</c:v>
                </c:pt>
              </c:strCache>
            </c:strRef>
          </c:cat>
          <c:val>
            <c:numRef>
              <c:f>Лист1!$B$2:$B$4</c:f>
              <c:numCache>
                <c:formatCode>\О\с\н\о\в\н\о\й</c:formatCode>
                <c:ptCount val="3"/>
                <c:pt idx="0">
                  <c:v>6000</c:v>
                </c:pt>
                <c:pt idx="1">
                  <c:v>4700</c:v>
                </c:pt>
                <c:pt idx="2">
                  <c:v>1300</c:v>
                </c:pt>
              </c:numCache>
            </c:numRef>
          </c:val>
          <c:extLst>
            <c:ext xmlns:c16="http://schemas.microsoft.com/office/drawing/2014/chart" uri="{C3380CC4-5D6E-409C-BE32-E72D297353CC}">
              <c16:uniqueId val="{00000000-4A3F-4F3F-9C11-B5433E702CFF}"/>
            </c:ext>
          </c:extLst>
        </c:ser>
        <c:dLbls>
          <c:showLegendKey val="0"/>
          <c:showVal val="0"/>
          <c:showCatName val="0"/>
          <c:showSerName val="0"/>
          <c:showPercent val="0"/>
          <c:showBubbleSize val="0"/>
        </c:dLbls>
        <c:gapWidth val="186"/>
        <c:overlap val="-27"/>
        <c:axId val="1737030976"/>
        <c:axId val="1737034784"/>
      </c:barChart>
      <c:catAx>
        <c:axId val="1737030976"/>
        <c:scaling>
          <c:orientation val="minMax"/>
        </c:scaling>
        <c:delete val="0"/>
        <c:axPos val="b"/>
        <c:numFmt formatCode="General" sourceLinked="1"/>
        <c:majorTickMark val="none"/>
        <c:minorTickMark val="none"/>
        <c:tickLblPos val="nextTo"/>
        <c:spPr>
          <a:noFill/>
          <a:ln w="9493" cap="flat" cmpd="sng" algn="ctr">
            <a:solidFill>
              <a:schemeClr val="tx1">
                <a:lumMod val="15000"/>
                <a:lumOff val="85000"/>
              </a:schemeClr>
            </a:solidFill>
            <a:round/>
          </a:ln>
          <a:effectLst/>
        </c:spPr>
        <c:txPr>
          <a:bodyPr rot="-60000000" spcFirstLastPara="1" vertOverflow="ellipsis" vert="horz" wrap="square" anchor="ctr" anchorCtr="1"/>
          <a:lstStyle/>
          <a:p>
            <a:pPr>
              <a:defRPr sz="1096"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37034784"/>
        <c:crosses val="autoZero"/>
        <c:auto val="1"/>
        <c:lblAlgn val="ctr"/>
        <c:lblOffset val="100"/>
        <c:noMultiLvlLbl val="0"/>
      </c:catAx>
      <c:valAx>
        <c:axId val="1737034784"/>
        <c:scaling>
          <c:orientation val="minMax"/>
        </c:scaling>
        <c:delete val="1"/>
        <c:axPos val="l"/>
        <c:numFmt formatCode="\О\с\н\о\в\н\о\й" sourceLinked="1"/>
        <c:majorTickMark val="out"/>
        <c:minorTickMark val="none"/>
        <c:tickLblPos val="nextTo"/>
        <c:crossAx val="1737030976"/>
        <c:crosses val="autoZero"/>
        <c:crossBetween val="between"/>
      </c:valAx>
      <c:spPr>
        <a:noFill/>
        <a:ln w="2531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650085747478287"/>
          <c:y val="0.25109857291492732"/>
          <c:w val="0.64117755683919953"/>
          <c:h val="0.7390299392929337"/>
        </c:manualLayout>
      </c:layout>
      <c:barChart>
        <c:barDir val="bar"/>
        <c:grouping val="stacked"/>
        <c:varyColors val="0"/>
        <c:ser>
          <c:idx val="0"/>
          <c:order val="0"/>
          <c:tx>
            <c:strRef>
              <c:f>Лист1!$B$1</c:f>
              <c:strCache>
                <c:ptCount val="1"/>
                <c:pt idx="0">
                  <c:v>Есть возможность</c:v>
                </c:pt>
              </c:strCache>
            </c:strRef>
          </c:tx>
          <c:spPr>
            <a:solidFill>
              <a:srgbClr val="78973B"/>
            </a:solidFill>
          </c:spPr>
          <c:invertIfNegative val="0"/>
          <c:dLbls>
            <c:spPr>
              <a:solidFill>
                <a:sysClr val="window" lastClr="FFFFFF"/>
              </a:solidFill>
              <a:ln>
                <a:solidFill>
                  <a:srgbClr val="78973B"/>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Среднее предприятие (от 101 до 250 человек)</c:v>
                </c:pt>
                <c:pt idx="1">
                  <c:v>Крупное предприятие (свыше 250 человек )</c:v>
                </c:pt>
                <c:pt idx="2">
                  <c:v>Малое предприятие (от 15 до 100 человек)</c:v>
                </c:pt>
                <c:pt idx="3">
                  <c:v>Микропредприятие (до 15 человек)</c:v>
                </c:pt>
              </c:strCache>
            </c:strRef>
          </c:cat>
          <c:val>
            <c:numRef>
              <c:f>Лист1!$B$2:$B$5</c:f>
              <c:numCache>
                <c:formatCode>#,#00%</c:formatCode>
                <c:ptCount val="4"/>
                <c:pt idx="0">
                  <c:v>0.626</c:v>
                </c:pt>
                <c:pt idx="1">
                  <c:v>0.56699999999999995</c:v>
                </c:pt>
                <c:pt idx="2">
                  <c:v>0.52400000000000002</c:v>
                </c:pt>
                <c:pt idx="3">
                  <c:v>0.44900000000000001</c:v>
                </c:pt>
              </c:numCache>
            </c:numRef>
          </c:val>
          <c:extLst>
            <c:ext xmlns:c16="http://schemas.microsoft.com/office/drawing/2014/chart" uri="{C3380CC4-5D6E-409C-BE32-E72D297353CC}">
              <c16:uniqueId val="{00000000-E1A2-4B48-AAFE-1D55FC1F4239}"/>
            </c:ext>
          </c:extLst>
        </c:ser>
        <c:ser>
          <c:idx val="1"/>
          <c:order val="1"/>
          <c:tx>
            <c:strRef>
              <c:f>Лист1!$C$1</c:f>
              <c:strCache>
                <c:ptCount val="1"/>
                <c:pt idx="0">
                  <c:v>Нет возможности</c:v>
                </c:pt>
              </c:strCache>
            </c:strRef>
          </c:tx>
          <c:spPr>
            <a:solidFill>
              <a:srgbClr val="7C3776"/>
            </a:solidFill>
            <a:ln>
              <a:noFill/>
            </a:ln>
          </c:spPr>
          <c:invertIfNegative val="0"/>
          <c:dLbls>
            <c:dLbl>
              <c:idx val="0"/>
              <c:layout>
                <c:manualLayout>
                  <c:x val="-1.7636684303350969E-2"/>
                  <c:y val="0"/>
                </c:manualLayout>
              </c:layout>
              <c:spPr>
                <a:solidFill>
                  <a:sysClr val="window" lastClr="FFFFFF"/>
                </a:solidFill>
                <a:ln>
                  <a:solidFill>
                    <a:srgbClr val="7C3776"/>
                  </a:solidFill>
                </a:ln>
                <a:effectLst/>
              </c:spPr>
              <c:txPr>
                <a:bodyPr wrap="square" lIns="38100" tIns="19050" rIns="38100" bIns="19050" anchor="ctr">
                  <a:spAutoFit/>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A2-4B48-AAFE-1D55FC1F4239}"/>
                </c:ext>
              </c:extLst>
            </c:dLbl>
            <c:dLbl>
              <c:idx val="2"/>
              <c:layout>
                <c:manualLayout>
                  <c:x val="-2.1555947481873904E-2"/>
                  <c:y val="0"/>
                </c:manualLayout>
              </c:layout>
              <c:spPr>
                <a:solidFill>
                  <a:sysClr val="window" lastClr="FFFFFF"/>
                </a:solidFill>
                <a:ln>
                  <a:solidFill>
                    <a:srgbClr val="7C3776"/>
                  </a:solidFill>
                </a:ln>
                <a:effectLst/>
              </c:spPr>
              <c:txPr>
                <a:bodyPr wrap="square" lIns="38100" tIns="19050" rIns="38100" bIns="19050" anchor="ctr">
                  <a:spAutoFit/>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A2-4B48-AAFE-1D55FC1F4239}"/>
                </c:ext>
              </c:extLst>
            </c:dLbl>
            <c:dLbl>
              <c:idx val="4"/>
              <c:layout>
                <c:manualLayout>
                  <c:x val="2.3424121165182128E-2"/>
                  <c:y val="-7.6554864086954027E-6"/>
                </c:manualLayout>
              </c:layout>
              <c:spPr>
                <a:solidFill>
                  <a:sysClr val="window" lastClr="FFFFFF"/>
                </a:solidFill>
                <a:ln>
                  <a:solidFill>
                    <a:srgbClr val="7C3776"/>
                  </a:solidFill>
                </a:ln>
                <a:effectLst/>
              </c:spPr>
              <c:txPr>
                <a:bodyPr wrap="square" lIns="38100" tIns="19050" rIns="38100" bIns="19050" anchor="ctr">
                  <a:spAutoFit/>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A2-4B48-AAFE-1D55FC1F4239}"/>
                </c:ext>
              </c:extLst>
            </c:dLbl>
            <c:spPr>
              <a:solidFill>
                <a:sysClr val="window" lastClr="FFFFFF"/>
              </a:solidFill>
              <a:ln>
                <a:solidFill>
                  <a:srgbClr val="7C3776"/>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Среднее предприятие (от 101 до 250 человек)</c:v>
                </c:pt>
                <c:pt idx="1">
                  <c:v>Крупное предприятие (свыше 250 человек )</c:v>
                </c:pt>
                <c:pt idx="2">
                  <c:v>Малое предприятие (от 15 до 100 человек)</c:v>
                </c:pt>
                <c:pt idx="3">
                  <c:v>Микропредприятие (до 15 человек)</c:v>
                </c:pt>
              </c:strCache>
            </c:strRef>
          </c:cat>
          <c:val>
            <c:numRef>
              <c:f>Лист1!$C$2:$C$5</c:f>
              <c:numCache>
                <c:formatCode>#,#00%</c:formatCode>
                <c:ptCount val="4"/>
                <c:pt idx="0">
                  <c:v>0.308</c:v>
                </c:pt>
                <c:pt idx="1">
                  <c:v>0.254</c:v>
                </c:pt>
                <c:pt idx="2">
                  <c:v>0.36699999999999999</c:v>
                </c:pt>
                <c:pt idx="3">
                  <c:v>0.46</c:v>
                </c:pt>
              </c:numCache>
            </c:numRef>
          </c:val>
          <c:extLst>
            <c:ext xmlns:c16="http://schemas.microsoft.com/office/drawing/2014/chart" uri="{C3380CC4-5D6E-409C-BE32-E72D297353CC}">
              <c16:uniqueId val="{00000004-E1A2-4B48-AAFE-1D55FC1F4239}"/>
            </c:ext>
          </c:extLst>
        </c:ser>
        <c:ser>
          <c:idx val="2"/>
          <c:order val="2"/>
          <c:tx>
            <c:strRef>
              <c:f>Лист1!$D$1</c:f>
              <c:strCache>
                <c:ptCount val="1"/>
                <c:pt idx="0">
                  <c:v>Затрудняюсь ответить</c:v>
                </c:pt>
              </c:strCache>
            </c:strRef>
          </c:tx>
          <c:spPr>
            <a:solidFill>
              <a:srgbClr val="AEABAB"/>
            </a:solidFill>
          </c:spPr>
          <c:invertIfNegative val="0"/>
          <c:dLbls>
            <c:dLbl>
              <c:idx val="0"/>
              <c:layout>
                <c:manualLayout>
                  <c:x val="-1.959631589261232E-2"/>
                  <c:y val="0"/>
                </c:manualLayout>
              </c:layout>
              <c:spPr>
                <a:solidFill>
                  <a:sysClr val="window" lastClr="FFFFFF"/>
                </a:solidFill>
                <a:ln>
                  <a:solidFill>
                    <a:sysClr val="window" lastClr="FFFFFF">
                      <a:lumMod val="65000"/>
                    </a:sysClr>
                  </a:solidFill>
                </a:ln>
                <a:effectLst/>
              </c:spPr>
              <c:txPr>
                <a:bodyPr wrap="square" lIns="38100" tIns="19050" rIns="38100" bIns="19050" anchor="ctr">
                  <a:spAutoFit/>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A2-4B48-AAFE-1D55FC1F4239}"/>
                </c:ext>
              </c:extLst>
            </c:dLbl>
            <c:dLbl>
              <c:idx val="2"/>
              <c:layout>
                <c:manualLayout>
                  <c:x val="-2.7434842249657296E-2"/>
                  <c:y val="0"/>
                </c:manualLayout>
              </c:layout>
              <c:spPr>
                <a:solidFill>
                  <a:sysClr val="window" lastClr="FFFFFF"/>
                </a:solidFill>
                <a:ln>
                  <a:solidFill>
                    <a:sysClr val="window" lastClr="FFFFFF">
                      <a:lumMod val="65000"/>
                    </a:sysClr>
                  </a:solidFill>
                </a:ln>
                <a:effectLst/>
              </c:spPr>
              <c:txPr>
                <a:bodyPr wrap="square" lIns="38100" tIns="19050" rIns="38100" bIns="19050" anchor="ctr">
                  <a:spAutoFit/>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A2-4B48-AAFE-1D55FC1F4239}"/>
                </c:ext>
              </c:extLst>
            </c:dLbl>
            <c:dLbl>
              <c:idx val="3"/>
              <c:layout>
                <c:manualLayout>
                  <c:x val="-2.1555947481873904E-2"/>
                  <c:y val="0"/>
                </c:manualLayout>
              </c:layout>
              <c:spPr>
                <a:solidFill>
                  <a:sysClr val="window" lastClr="FFFFFF"/>
                </a:solidFill>
                <a:ln>
                  <a:solidFill>
                    <a:sysClr val="window" lastClr="FFFFFF">
                      <a:lumMod val="65000"/>
                    </a:sysClr>
                  </a:solidFill>
                </a:ln>
                <a:effectLst/>
              </c:spPr>
              <c:txPr>
                <a:bodyPr wrap="square" lIns="38100" tIns="19050" rIns="38100" bIns="19050" anchor="ctr">
                  <a:spAutoFit/>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A2-4B48-AAFE-1D55FC1F4239}"/>
                </c:ext>
              </c:extLst>
            </c:dLbl>
            <c:spPr>
              <a:solidFill>
                <a:sysClr val="window" lastClr="FFFFFF"/>
              </a:solidFill>
              <a:ln>
                <a:solidFill>
                  <a:sysClr val="window" lastClr="FFFFFF">
                    <a:lumMod val="65000"/>
                  </a:sysClr>
                </a:solid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Среднее предприятие (от 101 до 250 человек)</c:v>
                </c:pt>
                <c:pt idx="1">
                  <c:v>Крупное предприятие (свыше 250 человек )</c:v>
                </c:pt>
                <c:pt idx="2">
                  <c:v>Малое предприятие (от 15 до 100 человек)</c:v>
                </c:pt>
                <c:pt idx="3">
                  <c:v>Микропредприятие (до 15 человек)</c:v>
                </c:pt>
              </c:strCache>
            </c:strRef>
          </c:cat>
          <c:val>
            <c:numRef>
              <c:f>Лист1!$D$2:$D$5</c:f>
              <c:numCache>
                <c:formatCode>#,#00%</c:formatCode>
                <c:ptCount val="4"/>
                <c:pt idx="0">
                  <c:v>6.6000000000000003E-2</c:v>
                </c:pt>
                <c:pt idx="1">
                  <c:v>0.17899999999999999</c:v>
                </c:pt>
                <c:pt idx="2">
                  <c:v>0.109</c:v>
                </c:pt>
                <c:pt idx="3">
                  <c:v>0.09</c:v>
                </c:pt>
              </c:numCache>
            </c:numRef>
          </c:val>
          <c:extLst>
            <c:ext xmlns:c16="http://schemas.microsoft.com/office/drawing/2014/chart" uri="{C3380CC4-5D6E-409C-BE32-E72D297353CC}">
              <c16:uniqueId val="{00000008-E1A2-4B48-AAFE-1D55FC1F4239}"/>
            </c:ext>
          </c:extLst>
        </c:ser>
        <c:ser>
          <c:idx val="3"/>
          <c:order val="3"/>
          <c:spPr>
            <a:solidFill>
              <a:sysClr val="window" lastClr="FFFFFF">
                <a:lumMod val="75000"/>
              </a:sysClr>
            </a:solidFill>
          </c:spPr>
          <c:invertIfNegative val="0"/>
          <c:dLbls>
            <c:spPr>
              <a:solidFill>
                <a:sysClr val="window" lastClr="FFFFFF"/>
              </a:solidFill>
              <a:ln>
                <a:solidFill>
                  <a:sysClr val="window" lastClr="FFFFFF">
                    <a:lumMod val="75000"/>
                  </a:sysClr>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Среднее предприятие (от 101 до 250 человек)</c:v>
                </c:pt>
                <c:pt idx="1">
                  <c:v>Крупное предприятие (свыше 250 человек )</c:v>
                </c:pt>
                <c:pt idx="2">
                  <c:v>Малое предприятие (от 15 до 100 человек)</c:v>
                </c:pt>
                <c:pt idx="3">
                  <c:v>Микропредприятие (до 15 человек)</c:v>
                </c:pt>
              </c:strCache>
            </c:strRef>
          </c:cat>
          <c:val>
            <c:numLit>
              <c:formatCode>\О\с\н\о\в\н\о\й</c:formatCode>
              <c:ptCount val="1"/>
              <c:pt idx="0">
                <c:v>0</c:v>
              </c:pt>
            </c:numLit>
          </c:val>
          <c:extLst>
            <c:ext xmlns:c16="http://schemas.microsoft.com/office/drawing/2014/chart" uri="{C3380CC4-5D6E-409C-BE32-E72D297353CC}">
              <c16:uniqueId val="{00000009-E1A2-4B48-AAFE-1D55FC1F4239}"/>
            </c:ext>
          </c:extLst>
        </c:ser>
        <c:dLbls>
          <c:showLegendKey val="0"/>
          <c:showVal val="0"/>
          <c:showCatName val="0"/>
          <c:showSerName val="0"/>
          <c:showPercent val="0"/>
          <c:showBubbleSize val="0"/>
        </c:dLbls>
        <c:gapWidth val="150"/>
        <c:overlap val="100"/>
        <c:axId val="1407603360"/>
        <c:axId val="1407603904"/>
      </c:barChart>
      <c:catAx>
        <c:axId val="1407603360"/>
        <c:scaling>
          <c:orientation val="maxMin"/>
        </c:scaling>
        <c:delete val="0"/>
        <c:axPos val="l"/>
        <c:numFmt formatCode="General" sourceLinked="1"/>
        <c:majorTickMark val="out"/>
        <c:minorTickMark val="none"/>
        <c:tickLblPos val="nextTo"/>
        <c:crossAx val="1407603904"/>
        <c:crosses val="autoZero"/>
        <c:auto val="1"/>
        <c:lblAlgn val="ctr"/>
        <c:lblOffset val="100"/>
        <c:noMultiLvlLbl val="0"/>
      </c:catAx>
      <c:valAx>
        <c:axId val="1407603904"/>
        <c:scaling>
          <c:orientation val="minMax"/>
          <c:max val="1"/>
        </c:scaling>
        <c:delete val="0"/>
        <c:axPos val="t"/>
        <c:majorGridlines/>
        <c:numFmt formatCode="#,#00%" sourceLinked="1"/>
        <c:majorTickMark val="out"/>
        <c:minorTickMark val="none"/>
        <c:tickLblPos val="nextTo"/>
        <c:txPr>
          <a:bodyPr/>
          <a:lstStyle/>
          <a:p>
            <a:pPr>
              <a:defRPr>
                <a:solidFill>
                  <a:sysClr val="windowText" lastClr="000000"/>
                </a:solidFill>
              </a:defRPr>
            </a:pPr>
            <a:endParaRPr lang="ru-RU"/>
          </a:p>
        </c:txPr>
        <c:crossAx val="1407603360"/>
        <c:crosses val="autoZero"/>
        <c:crossBetween val="between"/>
        <c:majorUnit val="0.2"/>
      </c:valAx>
      <c:spPr>
        <a:noFill/>
        <a:ln w="25237">
          <a:noFill/>
        </a:ln>
      </c:spPr>
    </c:plotArea>
    <c:legend>
      <c:legendPos val="t"/>
      <c:legendEntry>
        <c:idx val="3"/>
        <c:delete val="1"/>
      </c:legendEntry>
      <c:layout>
        <c:manualLayout>
          <c:xMode val="edge"/>
          <c:yMode val="edge"/>
          <c:x val="2.9405352108764181E-2"/>
          <c:y val="2.7256208358570559E-4"/>
          <c:w val="0.935743969503812"/>
          <c:h val="0.11391852645638229"/>
        </c:manualLayout>
      </c:layout>
      <c:overlay val="0"/>
      <c:spPr>
        <a:noFill/>
      </c:spPr>
    </c:legend>
    <c:plotVisOnly val="1"/>
    <c:dispBlanksAs val="gap"/>
    <c:showDLblsOverMax val="0"/>
  </c:chart>
  <c:spPr>
    <a:ln>
      <a:noFill/>
    </a:ln>
  </c:spPr>
  <c:txPr>
    <a:bodyPr/>
    <a:lstStyle/>
    <a:p>
      <a:pPr>
        <a:defRPr sz="994">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31587552431904"/>
          <c:y val="2.334810496903552E-2"/>
          <c:w val="0.50379813776098503"/>
          <c:h val="0.97219026496769667"/>
        </c:manualLayout>
      </c:layout>
      <c:barChart>
        <c:barDir val="bar"/>
        <c:grouping val="clustered"/>
        <c:varyColors val="0"/>
        <c:ser>
          <c:idx val="0"/>
          <c:order val="0"/>
          <c:tx>
            <c:strRef>
              <c:f>Лист1!$B$1</c:f>
              <c:strCache>
                <c:ptCount val="1"/>
                <c:pt idx="0">
                  <c:v>% от числа опрошенных</c:v>
                </c:pt>
              </c:strCache>
            </c:strRef>
          </c:tx>
          <c:spPr>
            <a:solidFill>
              <a:srgbClr val="7C3776"/>
            </a:solidFill>
          </c:spPr>
          <c:invertIfNegative val="0"/>
          <c:dPt>
            <c:idx val="6"/>
            <c:invertIfNegative val="0"/>
            <c:bubble3D val="0"/>
            <c:spPr>
              <a:solidFill>
                <a:srgbClr val="78973B">
                  <a:lumMod val="60000"/>
                  <a:lumOff val="40000"/>
                </a:srgbClr>
              </a:solidFill>
            </c:spPr>
            <c:extLst>
              <c:ext xmlns:c16="http://schemas.microsoft.com/office/drawing/2014/chart" uri="{C3380CC4-5D6E-409C-BE32-E72D297353CC}">
                <c16:uniqueId val="{00000000-E72B-4ADB-BF07-254CCD82096F}"/>
              </c:ext>
            </c:extLst>
          </c:dPt>
          <c:dLbls>
            <c:dLbl>
              <c:idx val="6"/>
              <c:spPr>
                <a:solidFill>
                  <a:sysClr val="window" lastClr="FFFFFF"/>
                </a:solidFill>
                <a:ln>
                  <a:solidFill>
                    <a:srgbClr val="78973B">
                      <a:lumMod val="60000"/>
                      <a:lumOff val="40000"/>
                    </a:srgbClr>
                  </a:solidFill>
                </a:ln>
                <a:effectLst/>
              </c:spPr>
              <c:txPr>
                <a:bodyPr/>
                <a:lstStyle/>
                <a:p>
                  <a:pPr>
                    <a:defRPr sz="999"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0-E72B-4ADB-BF07-254CCD82096F}"/>
                </c:ext>
              </c:extLst>
            </c:dLbl>
            <c:spPr>
              <a:solidFill>
                <a:sysClr val="window" lastClr="FFFFFF"/>
              </a:solidFill>
              <a:ln>
                <a:solidFill>
                  <a:srgbClr val="7C3776"/>
                </a:solidFill>
              </a:ln>
              <a:effectLst/>
            </c:spPr>
            <c:txPr>
              <a:bodyPr wrap="square" lIns="38100" tIns="19050" rIns="38100" bIns="19050" anchor="ctr">
                <a:spAutoFit/>
              </a:bodyPr>
              <a:lstStyle/>
              <a:p>
                <a:pPr>
                  <a:defRPr sz="999"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Нестабильность законодательства, регулирующего предпринимательскую деятельность </c:v>
                </c:pt>
                <c:pt idx="1">
                  <c:v>Сложность/затянутость процедуры получения лицензий, средств государственной поддержки, разрешений, согласований и т. д.</c:v>
                </c:pt>
                <c:pt idx="2">
                  <c:v>Сложность получения доступа к земельным участкам</c:v>
                </c:pt>
                <c:pt idx="3">
                  <c:v>Ограничение/сложность доступа к закупкам компаний с госучастием и субъектов естественных монополий</c:v>
                </c:pt>
                <c:pt idx="4">
                  <c:v>Коррупция (взятки, дискриминация и предоставление преференций отдельным лицам)</c:v>
                </c:pt>
                <c:pt idx="5">
                  <c:v>Ограничение/сложность доступа к поставкам товаров, оказанию услуг и выполнению работ в рамках госзакупок</c:v>
                </c:pt>
                <c:pt idx="6">
                  <c:v>Нет ограничений</c:v>
                </c:pt>
                <c:pt idx="7">
                  <c:v>Усиленный контроль регулирующих органов, бюрократия (проверки, отчетность) (из строки «Другое»)</c:v>
                </c:pt>
                <c:pt idx="8">
                  <c:v>Высокие налоги/санкции/штрафы (из строки «Другое»)</c:v>
                </c:pt>
                <c:pt idx="9">
                  <c:v>Отсутствие поддержки со стороны органов власти/Отсутствие гибкости со стороны властей (из строки «Другое»)</c:v>
                </c:pt>
                <c:pt idx="10">
                  <c:v>Недоступность финансов, кредитов (из строки «Другое»)</c:v>
                </c:pt>
                <c:pt idx="11">
                  <c:v>Другое </c:v>
                </c:pt>
                <c:pt idx="12">
                  <c:v>Затрудняюсь ответить (из строки «Другое»)</c:v>
                </c:pt>
              </c:strCache>
            </c:strRef>
          </c:cat>
          <c:val>
            <c:numRef>
              <c:f>Лист1!$B$2:$B$14</c:f>
              <c:numCache>
                <c:formatCode>#,#00%</c:formatCode>
                <c:ptCount val="13"/>
                <c:pt idx="0">
                  <c:v>0.29899999999999999</c:v>
                </c:pt>
                <c:pt idx="1">
                  <c:v>0.222</c:v>
                </c:pt>
                <c:pt idx="2">
                  <c:v>0.11899999999999999</c:v>
                </c:pt>
                <c:pt idx="3">
                  <c:v>0.109</c:v>
                </c:pt>
                <c:pt idx="4">
                  <c:v>0.105</c:v>
                </c:pt>
                <c:pt idx="5">
                  <c:v>9.5000000000000001E-2</c:v>
                </c:pt>
                <c:pt idx="6">
                  <c:v>0.377</c:v>
                </c:pt>
                <c:pt idx="7">
                  <c:v>4.0000000000000001E-3</c:v>
                </c:pt>
                <c:pt idx="8">
                  <c:v>3.0000000000000001E-3</c:v>
                </c:pt>
                <c:pt idx="9">
                  <c:v>3.0000000000000001E-3</c:v>
                </c:pt>
                <c:pt idx="10">
                  <c:v>2E-3</c:v>
                </c:pt>
                <c:pt idx="11">
                  <c:v>5.0000000000000001E-3</c:v>
                </c:pt>
                <c:pt idx="12">
                  <c:v>1.6E-2</c:v>
                </c:pt>
              </c:numCache>
            </c:numRef>
          </c:val>
          <c:extLst>
            <c:ext xmlns:c16="http://schemas.microsoft.com/office/drawing/2014/chart" uri="{C3380CC4-5D6E-409C-BE32-E72D297353CC}">
              <c16:uniqueId val="{00000001-E72B-4ADB-BF07-254CCD82096F}"/>
            </c:ext>
          </c:extLst>
        </c:ser>
        <c:dLbls>
          <c:showLegendKey val="0"/>
          <c:showVal val="0"/>
          <c:showCatName val="0"/>
          <c:showSerName val="0"/>
          <c:showPercent val="0"/>
          <c:showBubbleSize val="0"/>
        </c:dLbls>
        <c:gapWidth val="150"/>
        <c:axId val="1407601728"/>
        <c:axId val="1407600640"/>
      </c:barChart>
      <c:catAx>
        <c:axId val="1407601728"/>
        <c:scaling>
          <c:orientation val="maxMin"/>
        </c:scaling>
        <c:delete val="0"/>
        <c:axPos val="l"/>
        <c:numFmt formatCode="General" sourceLinked="1"/>
        <c:majorTickMark val="out"/>
        <c:minorTickMark val="none"/>
        <c:tickLblPos val="nextTo"/>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407600640"/>
        <c:crosses val="autoZero"/>
        <c:auto val="1"/>
        <c:lblAlgn val="ctr"/>
        <c:lblOffset val="100"/>
        <c:noMultiLvlLbl val="0"/>
      </c:catAx>
      <c:valAx>
        <c:axId val="1407600640"/>
        <c:scaling>
          <c:orientation val="minMax"/>
        </c:scaling>
        <c:delete val="1"/>
        <c:axPos val="t"/>
        <c:majorGridlines/>
        <c:numFmt formatCode="#,#00%" sourceLinked="1"/>
        <c:majorTickMark val="out"/>
        <c:minorTickMark val="none"/>
        <c:tickLblPos val="nextTo"/>
        <c:crossAx val="1407601728"/>
        <c:crosses val="autoZero"/>
        <c:crossBetween val="between"/>
        <c:majorUnit val="0.1"/>
      </c:valAx>
      <c:spPr>
        <a:noFill/>
        <a:ln w="25378">
          <a:noFill/>
        </a:ln>
      </c:spPr>
    </c:plotArea>
    <c:plotVisOnly val="1"/>
    <c:dispBlanksAs val="gap"/>
    <c:showDLblsOverMax val="0"/>
  </c:chart>
  <c:spPr>
    <a:ln>
      <a:noFill/>
    </a:ln>
  </c:spPr>
  <c:txPr>
    <a:bodyPr/>
    <a:lstStyle/>
    <a:p>
      <a:pPr>
        <a:defRPr sz="999"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057618204552918"/>
          <c:y val="7.1367319960917303E-2"/>
          <c:w val="0.6434960780443818"/>
          <c:h val="0.92863283366444271"/>
        </c:manualLayout>
      </c:layout>
      <c:barChart>
        <c:barDir val="bar"/>
        <c:grouping val="clustered"/>
        <c:varyColors val="0"/>
        <c:ser>
          <c:idx val="0"/>
          <c:order val="0"/>
          <c:tx>
            <c:strRef>
              <c:f>Лист1!$B$1</c:f>
              <c:strCache>
                <c:ptCount val="1"/>
                <c:pt idx="0">
                  <c:v>Кемеровская область</c:v>
                </c:pt>
              </c:strCache>
            </c:strRef>
          </c:tx>
          <c:spPr>
            <a:solidFill>
              <a:srgbClr val="604A7B"/>
            </a:solidFill>
          </c:spPr>
          <c:invertIfNegative val="0"/>
          <c:dLbls>
            <c:spPr>
              <a:solidFill>
                <a:sysClr val="window" lastClr="FFFFFF"/>
              </a:solidFill>
              <a:ln>
                <a:solidFill>
                  <a:srgbClr val="7665AB"/>
                </a:solidFill>
              </a:ln>
              <a:effectLst/>
            </c:spPr>
            <c:txPr>
              <a:bodyPr/>
              <a:lstStyle/>
              <a:p>
                <a:pPr>
                  <a:defRPr sz="898"/>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ничего не покупали</c:v>
                </c:pt>
                <c:pt idx="1">
                  <c:v>продукты питания, напитки</c:v>
                </c:pt>
                <c:pt idx="2">
                  <c:v>уголь</c:v>
                </c:pt>
                <c:pt idx="3">
                  <c:v>товары для строительства, ремонта, инструменты, мебель</c:v>
                </c:pt>
                <c:pt idx="4">
                  <c:v>транспортные услуги</c:v>
                </c:pt>
              </c:strCache>
            </c:strRef>
          </c:cat>
          <c:val>
            <c:numRef>
              <c:f>Лист1!$B$2:$B$6</c:f>
              <c:numCache>
                <c:formatCode>#,#00%</c:formatCode>
                <c:ptCount val="5"/>
                <c:pt idx="0">
                  <c:v>0.68200000000000005</c:v>
                </c:pt>
                <c:pt idx="1">
                  <c:v>0.20399999999999999</c:v>
                </c:pt>
                <c:pt idx="2">
                  <c:v>3.5000000000000003E-2</c:v>
                </c:pt>
                <c:pt idx="3">
                  <c:v>1.7000000000000001E-2</c:v>
                </c:pt>
                <c:pt idx="4">
                  <c:v>1.4E-2</c:v>
                </c:pt>
              </c:numCache>
            </c:numRef>
          </c:val>
          <c:extLst>
            <c:ext xmlns:c16="http://schemas.microsoft.com/office/drawing/2014/chart" uri="{C3380CC4-5D6E-409C-BE32-E72D297353CC}">
              <c16:uniqueId val="{00000000-2B16-4623-990E-984939D35BF0}"/>
            </c:ext>
          </c:extLst>
        </c:ser>
        <c:ser>
          <c:idx val="1"/>
          <c:order val="1"/>
          <c:tx>
            <c:strRef>
              <c:f>Лист1!$C$1</c:f>
              <c:strCache>
                <c:ptCount val="1"/>
                <c:pt idx="0">
                  <c:v>Омская область</c:v>
                </c:pt>
              </c:strCache>
            </c:strRef>
          </c:tx>
          <c:spPr>
            <a:solidFill>
              <a:srgbClr val="B3A2C7"/>
            </a:solidFill>
            <a:ln>
              <a:noFill/>
            </a:ln>
          </c:spPr>
          <c:invertIfNegative val="0"/>
          <c:dLbls>
            <c:spPr>
              <a:solidFill>
                <a:sysClr val="window" lastClr="FFFFFF"/>
              </a:solidFill>
              <a:ln>
                <a:solidFill>
                  <a:srgbClr val="7665AB">
                    <a:lumMod val="60000"/>
                    <a:lumOff val="40000"/>
                  </a:srgbClr>
                </a:solidFill>
              </a:ln>
              <a:effectLst/>
            </c:spPr>
            <c:txPr>
              <a:bodyPr/>
              <a:lstStyle/>
              <a:p>
                <a:pPr>
                  <a:defRPr sz="898"/>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ничего не покупали</c:v>
                </c:pt>
                <c:pt idx="1">
                  <c:v>продукты питания, напитки</c:v>
                </c:pt>
                <c:pt idx="2">
                  <c:v>уголь</c:v>
                </c:pt>
                <c:pt idx="3">
                  <c:v>товары для строительства, ремонта, инструменты, мебель</c:v>
                </c:pt>
                <c:pt idx="4">
                  <c:v>транспортные услуги</c:v>
                </c:pt>
              </c:strCache>
            </c:strRef>
          </c:cat>
          <c:val>
            <c:numRef>
              <c:f>Лист1!$C$2:$C$6</c:f>
              <c:numCache>
                <c:formatCode>#,#00%</c:formatCode>
                <c:ptCount val="5"/>
                <c:pt idx="0">
                  <c:v>0.64800000000000002</c:v>
                </c:pt>
                <c:pt idx="1">
                  <c:v>0.29499999999999998</c:v>
                </c:pt>
                <c:pt idx="3">
                  <c:v>1.2E-2</c:v>
                </c:pt>
                <c:pt idx="4">
                  <c:v>4.0000000000000001E-3</c:v>
                </c:pt>
              </c:numCache>
            </c:numRef>
          </c:val>
          <c:extLst>
            <c:ext xmlns:c16="http://schemas.microsoft.com/office/drawing/2014/chart" uri="{C3380CC4-5D6E-409C-BE32-E72D297353CC}">
              <c16:uniqueId val="{00000001-2B16-4623-990E-984939D35BF0}"/>
            </c:ext>
          </c:extLst>
        </c:ser>
        <c:ser>
          <c:idx val="2"/>
          <c:order val="2"/>
          <c:tx>
            <c:strRef>
              <c:f>Лист1!$D$1</c:f>
              <c:strCache>
                <c:ptCount val="1"/>
                <c:pt idx="0">
                  <c:v>Томская область</c:v>
                </c:pt>
              </c:strCache>
            </c:strRef>
          </c:tx>
          <c:spPr>
            <a:solidFill>
              <a:srgbClr val="E6E0EC"/>
            </a:solidFill>
          </c:spPr>
          <c:invertIfNegative val="0"/>
          <c:dLbls>
            <c:dLbl>
              <c:idx val="1"/>
              <c:layout>
                <c:manualLayout>
                  <c:x val="0"/>
                  <c:y val="-4.13794984633848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16-4623-990E-984939D35BF0}"/>
                </c:ext>
              </c:extLst>
            </c:dLbl>
            <c:spPr>
              <a:solidFill>
                <a:sysClr val="window" lastClr="FFFFFF"/>
              </a:solidFill>
              <a:ln>
                <a:solidFill>
                  <a:srgbClr val="C9A7D1">
                    <a:lumMod val="75000"/>
                  </a:srgbClr>
                </a:solidFill>
              </a:ln>
              <a:effectLst/>
            </c:spPr>
            <c:txPr>
              <a:bodyPr/>
              <a:lstStyle/>
              <a:p>
                <a:pPr>
                  <a:defRPr sz="898"/>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ничего не покупали</c:v>
                </c:pt>
                <c:pt idx="1">
                  <c:v>продукты питания, напитки</c:v>
                </c:pt>
                <c:pt idx="2">
                  <c:v>уголь</c:v>
                </c:pt>
                <c:pt idx="3">
                  <c:v>товары для строительства, ремонта, инструменты, мебель</c:v>
                </c:pt>
                <c:pt idx="4">
                  <c:v>транспортные услуги</c:v>
                </c:pt>
              </c:strCache>
            </c:strRef>
          </c:cat>
          <c:val>
            <c:numRef>
              <c:f>Лист1!$D$2:$D$6</c:f>
              <c:numCache>
                <c:formatCode>#,#00%</c:formatCode>
                <c:ptCount val="5"/>
                <c:pt idx="0">
                  <c:v>0.66700000000000004</c:v>
                </c:pt>
                <c:pt idx="1">
                  <c:v>0.248</c:v>
                </c:pt>
                <c:pt idx="3">
                  <c:v>1.6E-2</c:v>
                </c:pt>
                <c:pt idx="4">
                  <c:v>1.2E-2</c:v>
                </c:pt>
              </c:numCache>
            </c:numRef>
          </c:val>
          <c:extLst>
            <c:ext xmlns:c16="http://schemas.microsoft.com/office/drawing/2014/chart" uri="{C3380CC4-5D6E-409C-BE32-E72D297353CC}">
              <c16:uniqueId val="{00000003-2B16-4623-990E-984939D35BF0}"/>
            </c:ext>
          </c:extLst>
        </c:ser>
        <c:dLbls>
          <c:showLegendKey val="0"/>
          <c:showVal val="0"/>
          <c:showCatName val="0"/>
          <c:showSerName val="0"/>
          <c:showPercent val="0"/>
          <c:showBubbleSize val="0"/>
        </c:dLbls>
        <c:gapWidth val="150"/>
        <c:axId val="1407602816"/>
        <c:axId val="1407604992"/>
      </c:barChart>
      <c:catAx>
        <c:axId val="1407602816"/>
        <c:scaling>
          <c:orientation val="maxMin"/>
        </c:scaling>
        <c:delete val="0"/>
        <c:axPos val="l"/>
        <c:numFmt formatCode="General" sourceLinked="1"/>
        <c:majorTickMark val="out"/>
        <c:minorTickMark val="none"/>
        <c:tickLblPos val="nextTo"/>
        <c:crossAx val="1407604992"/>
        <c:crosses val="autoZero"/>
        <c:auto val="1"/>
        <c:lblAlgn val="ctr"/>
        <c:lblOffset val="100"/>
        <c:noMultiLvlLbl val="0"/>
      </c:catAx>
      <c:valAx>
        <c:axId val="1407604992"/>
        <c:scaling>
          <c:orientation val="minMax"/>
          <c:max val="0.8"/>
        </c:scaling>
        <c:delete val="0"/>
        <c:axPos val="t"/>
        <c:majorGridlines>
          <c:spPr>
            <a:ln>
              <a:solidFill>
                <a:sysClr val="window" lastClr="FFFFFF">
                  <a:lumMod val="75000"/>
                </a:sysClr>
              </a:solidFill>
            </a:ln>
          </c:spPr>
        </c:majorGridlines>
        <c:numFmt formatCode="#,#00%" sourceLinked="1"/>
        <c:majorTickMark val="out"/>
        <c:minorTickMark val="none"/>
        <c:tickLblPos val="nextTo"/>
        <c:txPr>
          <a:bodyPr/>
          <a:lstStyle/>
          <a:p>
            <a:pPr>
              <a:defRPr sz="798">
                <a:solidFill>
                  <a:sysClr val="windowText" lastClr="000000"/>
                </a:solidFill>
              </a:defRPr>
            </a:pPr>
            <a:endParaRPr lang="ru-RU"/>
          </a:p>
        </c:txPr>
        <c:crossAx val="1407602816"/>
        <c:crosses val="autoZero"/>
        <c:crossBetween val="between"/>
        <c:majorUnit val="0.2"/>
      </c:valAx>
      <c:spPr>
        <a:noFill/>
        <a:ln w="25337">
          <a:noFill/>
        </a:ln>
      </c:spPr>
    </c:plotArea>
    <c:legend>
      <c:legendPos val="r"/>
      <c:layout>
        <c:manualLayout>
          <c:xMode val="edge"/>
          <c:yMode val="edge"/>
          <c:x val="0.65253562672254906"/>
          <c:y val="0.42293909689860198"/>
          <c:w val="0.20831976042520384"/>
          <c:h val="0.19587149820558147"/>
        </c:manualLayout>
      </c:layout>
      <c:overlay val="0"/>
      <c:spPr>
        <a:solidFill>
          <a:sysClr val="window" lastClr="FFFFFF"/>
        </a:solidFill>
      </c:spPr>
    </c:legend>
    <c:plotVisOnly val="1"/>
    <c:dispBlanksAs val="gap"/>
    <c:showDLblsOverMax val="0"/>
  </c:chart>
  <c:spPr>
    <a:ln>
      <a:noFill/>
    </a:ln>
  </c:spPr>
  <c:txPr>
    <a:bodyPr/>
    <a:lstStyle/>
    <a:p>
      <a:pPr algn="just">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9274840632881095"/>
          <c:y val="8.4342624827682885E-2"/>
          <c:w val="0.47131255721049164"/>
          <c:h val="0.90492628332437675"/>
        </c:manualLayout>
      </c:layout>
      <c:barChart>
        <c:barDir val="bar"/>
        <c:grouping val="stacked"/>
        <c:varyColors val="0"/>
        <c:ser>
          <c:idx val="0"/>
          <c:order val="0"/>
          <c:tx>
            <c:strRef>
              <c:f>Лист1!$B$1</c:f>
              <c:strCache>
                <c:ptCount val="1"/>
                <c:pt idx="0">
                  <c:v>Удовлетворен</c:v>
                </c:pt>
              </c:strCache>
            </c:strRef>
          </c:tx>
          <c:spPr>
            <a:solidFill>
              <a:srgbClr val="78973B">
                <a:lumMod val="60000"/>
                <a:lumOff val="40000"/>
              </a:srgbClr>
            </a:solidFill>
          </c:spPr>
          <c:invertIfNegative val="0"/>
          <c:dLbls>
            <c:spPr>
              <a:solidFill>
                <a:sysClr val="window" lastClr="FFFFFF"/>
              </a:solidFill>
              <a:ln>
                <a:solidFill>
                  <a:srgbClr val="78973B">
                    <a:lumMod val="60000"/>
                    <a:lumOff val="40000"/>
                  </a:srgbClr>
                </a:solidFill>
              </a:ln>
              <a:effectLst/>
            </c:spPr>
            <c:txPr>
              <a:bodyPr/>
              <a:lstStyle/>
              <a:p>
                <a:pPr>
                  <a:defRPr sz="898"/>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продукты питания, напитки</c:v>
                </c:pt>
                <c:pt idx="1">
                  <c:v>уголь</c:v>
                </c:pt>
                <c:pt idx="2">
                  <c:v>товары для строительства, ремонта, инструменты, мебель</c:v>
                </c:pt>
                <c:pt idx="3">
                  <c:v>транспортные услуги</c:v>
                </c:pt>
                <c:pt idx="4">
                  <c:v>товары легкой промышленности (одежда, обувь, текстиль)</c:v>
                </c:pt>
                <c:pt idx="5">
                  <c:v>услуги ЖКХ</c:v>
                </c:pt>
                <c:pt idx="6">
                  <c:v>аптечные услуги</c:v>
                </c:pt>
                <c:pt idx="7">
                  <c:v>услуги по ремонту, строительству, автосервис</c:v>
                </c:pt>
                <c:pt idx="8">
                  <c:v>услуги образования</c:v>
                </c:pt>
                <c:pt idx="9">
                  <c:v>автомобиль, запчасти к автомобилю</c:v>
                </c:pt>
                <c:pt idx="10">
                  <c:v>услуги детского отдыха и оздоровления</c:v>
                </c:pt>
                <c:pt idx="11">
                  <c:v>дороги, бензин</c:v>
                </c:pt>
                <c:pt idx="12">
                  <c:v>услуги общественного питания</c:v>
                </c:pt>
                <c:pt idx="13">
                  <c:v>медицинские услуги</c:v>
                </c:pt>
                <c:pt idx="14">
                  <c:v>гостиничные и туристические услуги</c:v>
                </c:pt>
                <c:pt idx="15">
                  <c:v>рынок животноводства</c:v>
                </c:pt>
                <c:pt idx="16">
                  <c:v>услуги связи</c:v>
                </c:pt>
                <c:pt idx="17">
                  <c:v>прочие непродовольственные товары розничной торговли</c:v>
                </c:pt>
                <c:pt idx="18">
                  <c:v>прочие услуги</c:v>
                </c:pt>
              </c:strCache>
            </c:strRef>
          </c:cat>
          <c:val>
            <c:numRef>
              <c:f>Лист1!$B$2:$B$20</c:f>
              <c:numCache>
                <c:formatCode>#,#00%</c:formatCode>
                <c:ptCount val="19"/>
                <c:pt idx="0">
                  <c:v>0.78</c:v>
                </c:pt>
                <c:pt idx="1">
                  <c:v>0.78600000000000003</c:v>
                </c:pt>
                <c:pt idx="2">
                  <c:v>0.749</c:v>
                </c:pt>
                <c:pt idx="3">
                  <c:v>0.85699999999999998</c:v>
                </c:pt>
                <c:pt idx="4">
                  <c:v>0.65900000000000003</c:v>
                </c:pt>
                <c:pt idx="6">
                  <c:v>0.56000000000000005</c:v>
                </c:pt>
                <c:pt idx="7">
                  <c:v>0.51700000000000002</c:v>
                </c:pt>
                <c:pt idx="8">
                  <c:v>0.124</c:v>
                </c:pt>
                <c:pt idx="9">
                  <c:v>1</c:v>
                </c:pt>
                <c:pt idx="10">
                  <c:v>1</c:v>
                </c:pt>
                <c:pt idx="11">
                  <c:v>3.7999999999999999E-2</c:v>
                </c:pt>
                <c:pt idx="12">
                  <c:v>1</c:v>
                </c:pt>
                <c:pt idx="13">
                  <c:v>1</c:v>
                </c:pt>
                <c:pt idx="14">
                  <c:v>1</c:v>
                </c:pt>
                <c:pt idx="15">
                  <c:v>0.67700000000000005</c:v>
                </c:pt>
                <c:pt idx="16">
                  <c:v>1</c:v>
                </c:pt>
                <c:pt idx="17">
                  <c:v>0.94699999999999995</c:v>
                </c:pt>
                <c:pt idx="18">
                  <c:v>0.51800000000000002</c:v>
                </c:pt>
              </c:numCache>
            </c:numRef>
          </c:val>
          <c:extLst>
            <c:ext xmlns:c16="http://schemas.microsoft.com/office/drawing/2014/chart" uri="{C3380CC4-5D6E-409C-BE32-E72D297353CC}">
              <c16:uniqueId val="{00000000-A01F-45F9-A226-86F93510855A}"/>
            </c:ext>
          </c:extLst>
        </c:ser>
        <c:ser>
          <c:idx val="1"/>
          <c:order val="1"/>
          <c:tx>
            <c:strRef>
              <c:f>Лист1!$C$1</c:f>
              <c:strCache>
                <c:ptCount val="1"/>
                <c:pt idx="0">
                  <c:v>Не удовлетворен</c:v>
                </c:pt>
              </c:strCache>
            </c:strRef>
          </c:tx>
          <c:spPr>
            <a:solidFill>
              <a:srgbClr val="D6A3D2"/>
            </a:solidFill>
            <a:ln>
              <a:noFill/>
            </a:ln>
          </c:spPr>
          <c:invertIfNegative val="0"/>
          <c:dLbls>
            <c:dLbl>
              <c:idx val="4"/>
              <c:layout>
                <c:manualLayout>
                  <c:x val="2.3424121165182128E-2"/>
                  <c:y val="-7.6554864086954027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1F-45F9-A226-86F93510855A}"/>
                </c:ext>
              </c:extLst>
            </c:dLbl>
            <c:spPr>
              <a:solidFill>
                <a:sysClr val="window" lastClr="FFFFFF"/>
              </a:solidFill>
              <a:ln>
                <a:solidFill>
                  <a:srgbClr val="D6A3D2"/>
                </a:solidFill>
              </a:ln>
              <a:effectLst/>
            </c:spPr>
            <c:txPr>
              <a:bodyPr/>
              <a:lstStyle/>
              <a:p>
                <a:pPr>
                  <a:defRPr sz="898">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продукты питания, напитки</c:v>
                </c:pt>
                <c:pt idx="1">
                  <c:v>уголь</c:v>
                </c:pt>
                <c:pt idx="2">
                  <c:v>товары для строительства, ремонта, инструменты, мебель</c:v>
                </c:pt>
                <c:pt idx="3">
                  <c:v>транспортные услуги</c:v>
                </c:pt>
                <c:pt idx="4">
                  <c:v>товары легкой промышленности (одежда, обувь, текстиль)</c:v>
                </c:pt>
                <c:pt idx="5">
                  <c:v>услуги ЖКХ</c:v>
                </c:pt>
                <c:pt idx="6">
                  <c:v>аптечные услуги</c:v>
                </c:pt>
                <c:pt idx="7">
                  <c:v>услуги по ремонту, строительству, автосервис</c:v>
                </c:pt>
                <c:pt idx="8">
                  <c:v>услуги образования</c:v>
                </c:pt>
                <c:pt idx="9">
                  <c:v>автомобиль, запчасти к автомобилю</c:v>
                </c:pt>
                <c:pt idx="10">
                  <c:v>услуги детского отдыха и оздоровления</c:v>
                </c:pt>
                <c:pt idx="11">
                  <c:v>дороги, бензин</c:v>
                </c:pt>
                <c:pt idx="12">
                  <c:v>услуги общественного питания</c:v>
                </c:pt>
                <c:pt idx="13">
                  <c:v>медицинские услуги</c:v>
                </c:pt>
                <c:pt idx="14">
                  <c:v>гостиничные и туристические услуги</c:v>
                </c:pt>
                <c:pt idx="15">
                  <c:v>рынок животноводства</c:v>
                </c:pt>
                <c:pt idx="16">
                  <c:v>услуги связи</c:v>
                </c:pt>
                <c:pt idx="17">
                  <c:v>прочие непродовольственные товары розничной торговли</c:v>
                </c:pt>
                <c:pt idx="18">
                  <c:v>прочие услуги</c:v>
                </c:pt>
              </c:strCache>
            </c:strRef>
          </c:cat>
          <c:val>
            <c:numRef>
              <c:f>Лист1!$C$2:$C$20</c:f>
              <c:numCache>
                <c:formatCode>#,#00%</c:formatCode>
                <c:ptCount val="19"/>
                <c:pt idx="0">
                  <c:v>0.14699999999999999</c:v>
                </c:pt>
                <c:pt idx="1">
                  <c:v>7.4999999999999997E-2</c:v>
                </c:pt>
                <c:pt idx="2">
                  <c:v>1.2E-2</c:v>
                </c:pt>
                <c:pt idx="3">
                  <c:v>0.14299999999999999</c:v>
                </c:pt>
                <c:pt idx="5">
                  <c:v>0.66700000000000004</c:v>
                </c:pt>
                <c:pt idx="6">
                  <c:v>0.44</c:v>
                </c:pt>
                <c:pt idx="7">
                  <c:v>0.48299999999999998</c:v>
                </c:pt>
                <c:pt idx="8">
                  <c:v>0.876</c:v>
                </c:pt>
                <c:pt idx="11">
                  <c:v>0.96199999999999997</c:v>
                </c:pt>
                <c:pt idx="15">
                  <c:v>0.32300000000000001</c:v>
                </c:pt>
                <c:pt idx="18">
                  <c:v>0.48199999999999998</c:v>
                </c:pt>
              </c:numCache>
            </c:numRef>
          </c:val>
          <c:extLst>
            <c:ext xmlns:c16="http://schemas.microsoft.com/office/drawing/2014/chart" uri="{C3380CC4-5D6E-409C-BE32-E72D297353CC}">
              <c16:uniqueId val="{00000002-A01F-45F9-A226-86F93510855A}"/>
            </c:ext>
          </c:extLst>
        </c:ser>
        <c:ser>
          <c:idx val="2"/>
          <c:order val="2"/>
          <c:tx>
            <c:strRef>
              <c:f>Лист1!$D$1</c:f>
              <c:strCache>
                <c:ptCount val="1"/>
                <c:pt idx="0">
                  <c:v>Затрудняются ответить</c:v>
                </c:pt>
              </c:strCache>
            </c:strRef>
          </c:tx>
          <c:spPr>
            <a:solidFill>
              <a:sysClr val="window" lastClr="FFFFFF">
                <a:lumMod val="85000"/>
              </a:sysClr>
            </a:solidFill>
          </c:spPr>
          <c:invertIfNegative val="0"/>
          <c:dLbls>
            <c:spPr>
              <a:solidFill>
                <a:sysClr val="window" lastClr="FFFFFF">
                  <a:lumMod val="85000"/>
                </a:sysClr>
              </a:solidFill>
              <a:ln>
                <a:solidFill>
                  <a:sysClr val="window" lastClr="FFFFFF">
                    <a:lumMod val="85000"/>
                  </a:sysClr>
                </a:solidFill>
              </a:ln>
            </c:spPr>
            <c:txPr>
              <a:bodyPr/>
              <a:lstStyle/>
              <a:p>
                <a:pPr>
                  <a:defRPr sz="898"/>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продукты питания, напитки</c:v>
                </c:pt>
                <c:pt idx="1">
                  <c:v>уголь</c:v>
                </c:pt>
                <c:pt idx="2">
                  <c:v>товары для строительства, ремонта, инструменты, мебель</c:v>
                </c:pt>
                <c:pt idx="3">
                  <c:v>транспортные услуги</c:v>
                </c:pt>
                <c:pt idx="4">
                  <c:v>товары легкой промышленности (одежда, обувь, текстиль)</c:v>
                </c:pt>
                <c:pt idx="5">
                  <c:v>услуги ЖКХ</c:v>
                </c:pt>
                <c:pt idx="6">
                  <c:v>аптечные услуги</c:v>
                </c:pt>
                <c:pt idx="7">
                  <c:v>услуги по ремонту, строительству, автосервис</c:v>
                </c:pt>
                <c:pt idx="8">
                  <c:v>услуги образования</c:v>
                </c:pt>
                <c:pt idx="9">
                  <c:v>автомобиль, запчасти к автомобилю</c:v>
                </c:pt>
                <c:pt idx="10">
                  <c:v>услуги детского отдыха и оздоровления</c:v>
                </c:pt>
                <c:pt idx="11">
                  <c:v>дороги, бензин</c:v>
                </c:pt>
                <c:pt idx="12">
                  <c:v>услуги общественного питания</c:v>
                </c:pt>
                <c:pt idx="13">
                  <c:v>медицинские услуги</c:v>
                </c:pt>
                <c:pt idx="14">
                  <c:v>гостиничные и туристические услуги</c:v>
                </c:pt>
                <c:pt idx="15">
                  <c:v>рынок животноводства</c:v>
                </c:pt>
                <c:pt idx="16">
                  <c:v>услуги связи</c:v>
                </c:pt>
                <c:pt idx="17">
                  <c:v>прочие непродовольственные товары розничной торговли</c:v>
                </c:pt>
                <c:pt idx="18">
                  <c:v>прочие услуги</c:v>
                </c:pt>
              </c:strCache>
            </c:strRef>
          </c:cat>
          <c:val>
            <c:numRef>
              <c:f>Лист1!$D$2:$D$20</c:f>
              <c:numCache>
                <c:formatCode>#,#00%</c:formatCode>
                <c:ptCount val="19"/>
                <c:pt idx="0">
                  <c:v>7.2999999999999995E-2</c:v>
                </c:pt>
                <c:pt idx="1">
                  <c:v>0.13800000000000001</c:v>
                </c:pt>
                <c:pt idx="2">
                  <c:v>0.23899999999999999</c:v>
                </c:pt>
                <c:pt idx="4">
                  <c:v>0.34100000000000003</c:v>
                </c:pt>
                <c:pt idx="5">
                  <c:v>0.33300000000000002</c:v>
                </c:pt>
                <c:pt idx="17">
                  <c:v>5.2999999999999999E-2</c:v>
                </c:pt>
              </c:numCache>
            </c:numRef>
          </c:val>
          <c:extLst>
            <c:ext xmlns:c16="http://schemas.microsoft.com/office/drawing/2014/chart" uri="{C3380CC4-5D6E-409C-BE32-E72D297353CC}">
              <c16:uniqueId val="{00000003-A01F-45F9-A226-86F93510855A}"/>
            </c:ext>
          </c:extLst>
        </c:ser>
        <c:dLbls>
          <c:showLegendKey val="0"/>
          <c:showVal val="0"/>
          <c:showCatName val="0"/>
          <c:showSerName val="0"/>
          <c:showPercent val="0"/>
          <c:showBubbleSize val="0"/>
        </c:dLbls>
        <c:gapWidth val="150"/>
        <c:overlap val="100"/>
        <c:axId val="1407601184"/>
        <c:axId val="1407602272"/>
      </c:barChart>
      <c:catAx>
        <c:axId val="1407601184"/>
        <c:scaling>
          <c:orientation val="maxMin"/>
        </c:scaling>
        <c:delete val="0"/>
        <c:axPos val="l"/>
        <c:numFmt formatCode="General" sourceLinked="1"/>
        <c:majorTickMark val="out"/>
        <c:minorTickMark val="none"/>
        <c:tickLblPos val="nextTo"/>
        <c:txPr>
          <a:bodyPr/>
          <a:lstStyle/>
          <a:p>
            <a:pPr>
              <a:defRPr sz="898"/>
            </a:pPr>
            <a:endParaRPr lang="ru-RU"/>
          </a:p>
        </c:txPr>
        <c:crossAx val="1407602272"/>
        <c:crosses val="autoZero"/>
        <c:auto val="1"/>
        <c:lblAlgn val="ctr"/>
        <c:lblOffset val="100"/>
        <c:noMultiLvlLbl val="0"/>
      </c:catAx>
      <c:valAx>
        <c:axId val="1407602272"/>
        <c:scaling>
          <c:orientation val="minMax"/>
          <c:max val="1"/>
        </c:scaling>
        <c:delete val="1"/>
        <c:axPos val="t"/>
        <c:majorGridlines/>
        <c:numFmt formatCode="#,#00%" sourceLinked="1"/>
        <c:majorTickMark val="out"/>
        <c:minorTickMark val="none"/>
        <c:tickLblPos val="nextTo"/>
        <c:crossAx val="1407601184"/>
        <c:crosses val="autoZero"/>
        <c:crossBetween val="between"/>
        <c:majorUnit val="0.2"/>
      </c:valAx>
      <c:spPr>
        <a:noFill/>
        <a:ln w="25356">
          <a:noFill/>
        </a:ln>
      </c:spPr>
    </c:plotArea>
    <c:legend>
      <c:legendPos val="t"/>
      <c:layout>
        <c:manualLayout>
          <c:xMode val="edge"/>
          <c:yMode val="edge"/>
          <c:x val="0.29797322382672642"/>
          <c:y val="2.7279151294899327E-4"/>
          <c:w val="0.61569072777341938"/>
          <c:h val="3.8162821430537966E-2"/>
        </c:manualLayout>
      </c:layout>
      <c:overlay val="0"/>
      <c:spPr>
        <a:noFill/>
      </c:spPr>
    </c:legend>
    <c:plotVisOnly val="1"/>
    <c:dispBlanksAs val="gap"/>
    <c:showDLblsOverMax val="0"/>
  </c:chart>
  <c:spPr>
    <a:ln>
      <a:noFill/>
    </a:ln>
  </c:spPr>
  <c:txPr>
    <a:bodyPr/>
    <a:lstStyle/>
    <a:p>
      <a:pPr algn="just">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9274840632881095"/>
          <c:y val="8.4342624827682885E-2"/>
          <c:w val="0.47131255721049164"/>
          <c:h val="0.90492628332437675"/>
        </c:manualLayout>
      </c:layout>
      <c:barChart>
        <c:barDir val="bar"/>
        <c:grouping val="stacked"/>
        <c:varyColors val="0"/>
        <c:ser>
          <c:idx val="0"/>
          <c:order val="0"/>
          <c:tx>
            <c:strRef>
              <c:f>Лист1!$B$1</c:f>
              <c:strCache>
                <c:ptCount val="1"/>
                <c:pt idx="0">
                  <c:v>Удовлетворен</c:v>
                </c:pt>
              </c:strCache>
            </c:strRef>
          </c:tx>
          <c:spPr>
            <a:solidFill>
              <a:srgbClr val="78973B">
                <a:lumMod val="60000"/>
                <a:lumOff val="40000"/>
              </a:srgbClr>
            </a:solidFill>
          </c:spPr>
          <c:invertIfNegative val="0"/>
          <c:dLbls>
            <c:spPr>
              <a:solidFill>
                <a:sysClr val="window" lastClr="FFFFFF"/>
              </a:solidFill>
              <a:ln>
                <a:solidFill>
                  <a:srgbClr val="78973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продукты питания, напитки</c:v>
                </c:pt>
                <c:pt idx="1">
                  <c:v>товары для строительства, ремонта, инструменты, мебель</c:v>
                </c:pt>
                <c:pt idx="2">
                  <c:v>дороги, бензин</c:v>
                </c:pt>
                <c:pt idx="3">
                  <c:v>товары легкой промышленности (одежда, обувь, текстиль)</c:v>
                </c:pt>
                <c:pt idx="4">
                  <c:v>транспортные услуги</c:v>
                </c:pt>
                <c:pt idx="5">
                  <c:v>аптечные услуги</c:v>
                </c:pt>
                <c:pt idx="6">
                  <c:v>медицинские услуги</c:v>
                </c:pt>
                <c:pt idx="7">
                  <c:v>услуги образования</c:v>
                </c:pt>
                <c:pt idx="8">
                  <c:v>услуги ЖКХ</c:v>
                </c:pt>
                <c:pt idx="9">
                  <c:v>автомобиль, запчасти к автомобилю</c:v>
                </c:pt>
                <c:pt idx="10">
                  <c:v>лес, древесина</c:v>
                </c:pt>
                <c:pt idx="11">
                  <c:v>услуги по ремонту, строительству, автосервис</c:v>
                </c:pt>
                <c:pt idx="12">
                  <c:v>прочие непродовольственные товары розничной торговли</c:v>
                </c:pt>
                <c:pt idx="13">
                  <c:v>прочие услуги</c:v>
                </c:pt>
              </c:strCache>
            </c:strRef>
          </c:cat>
          <c:val>
            <c:numRef>
              <c:f>Лист1!$B$2:$B$15</c:f>
              <c:numCache>
                <c:formatCode>#,#00%</c:formatCode>
                <c:ptCount val="14"/>
                <c:pt idx="0">
                  <c:v>0.71699999999999997</c:v>
                </c:pt>
                <c:pt idx="1">
                  <c:v>0.82</c:v>
                </c:pt>
                <c:pt idx="2">
                  <c:v>3.9E-2</c:v>
                </c:pt>
                <c:pt idx="3">
                  <c:v>0.64700000000000002</c:v>
                </c:pt>
                <c:pt idx="4">
                  <c:v>0.52500000000000002</c:v>
                </c:pt>
                <c:pt idx="5">
                  <c:v>1</c:v>
                </c:pt>
                <c:pt idx="6">
                  <c:v>0.25700000000000001</c:v>
                </c:pt>
                <c:pt idx="7">
                  <c:v>7.2999999999999995E-2</c:v>
                </c:pt>
                <c:pt idx="9">
                  <c:v>0.78700000000000003</c:v>
                </c:pt>
                <c:pt idx="10">
                  <c:v>1</c:v>
                </c:pt>
                <c:pt idx="12">
                  <c:v>1</c:v>
                </c:pt>
                <c:pt idx="13">
                  <c:v>1</c:v>
                </c:pt>
              </c:numCache>
            </c:numRef>
          </c:val>
          <c:extLst>
            <c:ext xmlns:c16="http://schemas.microsoft.com/office/drawing/2014/chart" uri="{C3380CC4-5D6E-409C-BE32-E72D297353CC}">
              <c16:uniqueId val="{00000000-00E4-4D39-9434-8681CB264851}"/>
            </c:ext>
          </c:extLst>
        </c:ser>
        <c:ser>
          <c:idx val="1"/>
          <c:order val="1"/>
          <c:tx>
            <c:strRef>
              <c:f>Лист1!$C$1</c:f>
              <c:strCache>
                <c:ptCount val="1"/>
                <c:pt idx="0">
                  <c:v>Не удовлетворен</c:v>
                </c:pt>
              </c:strCache>
            </c:strRef>
          </c:tx>
          <c:spPr>
            <a:solidFill>
              <a:srgbClr val="D6A3D2"/>
            </a:solidFill>
            <a:ln>
              <a:noFill/>
            </a:ln>
          </c:spPr>
          <c:invertIfNegative val="0"/>
          <c:dLbls>
            <c:dLbl>
              <c:idx val="4"/>
              <c:layout>
                <c:manualLayout>
                  <c:x val="2.3424121165182128E-2"/>
                  <c:y val="-7.6554864086954027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E4-4D39-9434-8681CB264851}"/>
                </c:ext>
              </c:extLst>
            </c:dLbl>
            <c:spPr>
              <a:solidFill>
                <a:sysClr val="window" lastClr="FFFFFF"/>
              </a:solidFill>
              <a:ln>
                <a:solidFill>
                  <a:srgbClr val="D6A3D2"/>
                </a:solid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продукты питания, напитки</c:v>
                </c:pt>
                <c:pt idx="1">
                  <c:v>товары для строительства, ремонта, инструменты, мебель</c:v>
                </c:pt>
                <c:pt idx="2">
                  <c:v>дороги, бензин</c:v>
                </c:pt>
                <c:pt idx="3">
                  <c:v>товары легкой промышленности (одежда, обувь, текстиль)</c:v>
                </c:pt>
                <c:pt idx="4">
                  <c:v>транспортные услуги</c:v>
                </c:pt>
                <c:pt idx="5">
                  <c:v>аптечные услуги</c:v>
                </c:pt>
                <c:pt idx="6">
                  <c:v>медицинские услуги</c:v>
                </c:pt>
                <c:pt idx="7">
                  <c:v>услуги образования</c:v>
                </c:pt>
                <c:pt idx="8">
                  <c:v>услуги ЖКХ</c:v>
                </c:pt>
                <c:pt idx="9">
                  <c:v>автомобиль, запчасти к автомобилю</c:v>
                </c:pt>
                <c:pt idx="10">
                  <c:v>лес, древесина</c:v>
                </c:pt>
                <c:pt idx="11">
                  <c:v>услуги по ремонту, строительству, автосервис</c:v>
                </c:pt>
                <c:pt idx="12">
                  <c:v>прочие непродовольственные товары розничной торговли</c:v>
                </c:pt>
                <c:pt idx="13">
                  <c:v>прочие услуги</c:v>
                </c:pt>
              </c:strCache>
            </c:strRef>
          </c:cat>
          <c:val>
            <c:numRef>
              <c:f>Лист1!$C$2:$C$15</c:f>
              <c:numCache>
                <c:formatCode>#,#00%</c:formatCode>
                <c:ptCount val="14"/>
                <c:pt idx="0">
                  <c:v>0.214</c:v>
                </c:pt>
                <c:pt idx="1">
                  <c:v>0.18</c:v>
                </c:pt>
                <c:pt idx="2">
                  <c:v>0.34200000000000003</c:v>
                </c:pt>
                <c:pt idx="7">
                  <c:v>0.92700000000000005</c:v>
                </c:pt>
                <c:pt idx="11">
                  <c:v>1</c:v>
                </c:pt>
              </c:numCache>
            </c:numRef>
          </c:val>
          <c:extLst>
            <c:ext xmlns:c16="http://schemas.microsoft.com/office/drawing/2014/chart" uri="{C3380CC4-5D6E-409C-BE32-E72D297353CC}">
              <c16:uniqueId val="{00000002-00E4-4D39-9434-8681CB264851}"/>
            </c:ext>
          </c:extLst>
        </c:ser>
        <c:ser>
          <c:idx val="2"/>
          <c:order val="2"/>
          <c:tx>
            <c:strRef>
              <c:f>Лист1!$D$1</c:f>
              <c:strCache>
                <c:ptCount val="1"/>
                <c:pt idx="0">
                  <c:v>Затрудняются ответить</c:v>
                </c:pt>
              </c:strCache>
            </c:strRef>
          </c:tx>
          <c:spPr>
            <a:solidFill>
              <a:sysClr val="window" lastClr="FFFFFF">
                <a:lumMod val="85000"/>
              </a:sysClr>
            </a:solidFill>
          </c:spPr>
          <c:invertIfNegative val="0"/>
          <c:dLbls>
            <c:spPr>
              <a:solidFill>
                <a:sysClr val="window" lastClr="FFFFFF">
                  <a:lumMod val="85000"/>
                </a:sysClr>
              </a:solidFill>
              <a:ln>
                <a:solidFill>
                  <a:sysClr val="window" lastClr="FFFFFF">
                    <a:lumMod val="85000"/>
                  </a:sysClr>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продукты питания, напитки</c:v>
                </c:pt>
                <c:pt idx="1">
                  <c:v>товары для строительства, ремонта, инструменты, мебель</c:v>
                </c:pt>
                <c:pt idx="2">
                  <c:v>дороги, бензин</c:v>
                </c:pt>
                <c:pt idx="3">
                  <c:v>товары легкой промышленности (одежда, обувь, текстиль)</c:v>
                </c:pt>
                <c:pt idx="4">
                  <c:v>транспортные услуги</c:v>
                </c:pt>
                <c:pt idx="5">
                  <c:v>аптечные услуги</c:v>
                </c:pt>
                <c:pt idx="6">
                  <c:v>медицинские услуги</c:v>
                </c:pt>
                <c:pt idx="7">
                  <c:v>услуги образования</c:v>
                </c:pt>
                <c:pt idx="8">
                  <c:v>услуги ЖКХ</c:v>
                </c:pt>
                <c:pt idx="9">
                  <c:v>автомобиль, запчасти к автомобилю</c:v>
                </c:pt>
                <c:pt idx="10">
                  <c:v>лес, древесина</c:v>
                </c:pt>
                <c:pt idx="11">
                  <c:v>услуги по ремонту, строительству, автосервис</c:v>
                </c:pt>
                <c:pt idx="12">
                  <c:v>прочие непродовольственные товары розничной торговли</c:v>
                </c:pt>
                <c:pt idx="13">
                  <c:v>прочие услуги</c:v>
                </c:pt>
              </c:strCache>
            </c:strRef>
          </c:cat>
          <c:val>
            <c:numRef>
              <c:f>Лист1!$D$2:$D$15</c:f>
              <c:numCache>
                <c:formatCode>General</c:formatCode>
                <c:ptCount val="14"/>
                <c:pt idx="0" formatCode="#,#00%">
                  <c:v>6.9000000000000006E-2</c:v>
                </c:pt>
                <c:pt idx="2" formatCode="#,#00%">
                  <c:v>0.61899999999999999</c:v>
                </c:pt>
                <c:pt idx="3" formatCode="#,#00%">
                  <c:v>0.35299999999999998</c:v>
                </c:pt>
                <c:pt idx="4" formatCode="#,#00%">
                  <c:v>0.47499999999999998</c:v>
                </c:pt>
                <c:pt idx="6" formatCode="#,#00%">
                  <c:v>0.74299999999999999</c:v>
                </c:pt>
                <c:pt idx="8" formatCode="#,#00%">
                  <c:v>1</c:v>
                </c:pt>
                <c:pt idx="9" formatCode="#,#00%">
                  <c:v>0.21299999999999999</c:v>
                </c:pt>
              </c:numCache>
            </c:numRef>
          </c:val>
          <c:extLst>
            <c:ext xmlns:c16="http://schemas.microsoft.com/office/drawing/2014/chart" uri="{C3380CC4-5D6E-409C-BE32-E72D297353CC}">
              <c16:uniqueId val="{00000003-00E4-4D39-9434-8681CB264851}"/>
            </c:ext>
          </c:extLst>
        </c:ser>
        <c:dLbls>
          <c:showLegendKey val="0"/>
          <c:showVal val="0"/>
          <c:showCatName val="0"/>
          <c:showSerName val="0"/>
          <c:showPercent val="0"/>
          <c:showBubbleSize val="0"/>
        </c:dLbls>
        <c:gapWidth val="150"/>
        <c:overlap val="100"/>
        <c:axId val="1407604448"/>
        <c:axId val="1407606080"/>
      </c:barChart>
      <c:catAx>
        <c:axId val="1407604448"/>
        <c:scaling>
          <c:orientation val="maxMin"/>
        </c:scaling>
        <c:delete val="0"/>
        <c:axPos val="l"/>
        <c:numFmt formatCode="General" sourceLinked="1"/>
        <c:majorTickMark val="out"/>
        <c:minorTickMark val="none"/>
        <c:tickLblPos val="nextTo"/>
        <c:crossAx val="1407606080"/>
        <c:crosses val="autoZero"/>
        <c:auto val="1"/>
        <c:lblAlgn val="ctr"/>
        <c:lblOffset val="100"/>
        <c:noMultiLvlLbl val="0"/>
      </c:catAx>
      <c:valAx>
        <c:axId val="1407606080"/>
        <c:scaling>
          <c:orientation val="minMax"/>
          <c:max val="1"/>
        </c:scaling>
        <c:delete val="1"/>
        <c:axPos val="t"/>
        <c:majorGridlines/>
        <c:numFmt formatCode="#,#00%" sourceLinked="1"/>
        <c:majorTickMark val="out"/>
        <c:minorTickMark val="none"/>
        <c:tickLblPos val="nextTo"/>
        <c:crossAx val="1407604448"/>
        <c:crosses val="autoZero"/>
        <c:crossBetween val="between"/>
        <c:majorUnit val="0.2"/>
      </c:valAx>
      <c:spPr>
        <a:noFill/>
        <a:ln w="25315">
          <a:noFill/>
        </a:ln>
      </c:spPr>
    </c:plotArea>
    <c:legend>
      <c:legendPos val="t"/>
      <c:layout>
        <c:manualLayout>
          <c:xMode val="edge"/>
          <c:yMode val="edge"/>
          <c:x val="0.29797322382672642"/>
          <c:y val="2.7284380150155652E-4"/>
          <c:w val="0.61569072777341938"/>
          <c:h val="3.8162424464383816E-2"/>
        </c:manualLayout>
      </c:layout>
      <c:overlay val="0"/>
      <c:spPr>
        <a:noFill/>
      </c:spPr>
      <c:txPr>
        <a:bodyPr/>
        <a:lstStyle/>
        <a:p>
          <a:pPr>
            <a:defRPr sz="897"/>
          </a:pPr>
          <a:endParaRPr lang="ru-RU"/>
        </a:p>
      </c:txPr>
    </c:legend>
    <c:plotVisOnly val="1"/>
    <c:dispBlanksAs val="gap"/>
    <c:showDLblsOverMax val="0"/>
  </c:chart>
  <c:spPr>
    <a:ln>
      <a:noFill/>
    </a:ln>
  </c:spPr>
  <c:txPr>
    <a:bodyPr/>
    <a:lstStyle/>
    <a:p>
      <a:pPr algn="just">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9274840632881095"/>
          <c:y val="8.4342624827682885E-2"/>
          <c:w val="0.47131255721049164"/>
          <c:h val="0.90492628332437675"/>
        </c:manualLayout>
      </c:layout>
      <c:barChart>
        <c:barDir val="bar"/>
        <c:grouping val="stacked"/>
        <c:varyColors val="0"/>
        <c:ser>
          <c:idx val="0"/>
          <c:order val="0"/>
          <c:tx>
            <c:strRef>
              <c:f>Лист1!$B$1</c:f>
              <c:strCache>
                <c:ptCount val="1"/>
                <c:pt idx="0">
                  <c:v>Удовлетворен</c:v>
                </c:pt>
              </c:strCache>
            </c:strRef>
          </c:tx>
          <c:spPr>
            <a:solidFill>
              <a:srgbClr val="78973B">
                <a:lumMod val="60000"/>
                <a:lumOff val="40000"/>
              </a:srgbClr>
            </a:solidFill>
          </c:spPr>
          <c:invertIfNegative val="0"/>
          <c:dLbls>
            <c:spPr>
              <a:solidFill>
                <a:sysClr val="window" lastClr="FFFFFF"/>
              </a:solidFill>
              <a:ln>
                <a:solidFill>
                  <a:srgbClr val="78973B">
                    <a:lumMod val="60000"/>
                    <a:lumOff val="40000"/>
                  </a:srgb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продукты питания, напитки</c:v>
                </c:pt>
                <c:pt idx="1">
                  <c:v>товары для строительства, ремонта, инструменты, мебель</c:v>
                </c:pt>
                <c:pt idx="2">
                  <c:v>транспортные услуги</c:v>
                </c:pt>
                <c:pt idx="3">
                  <c:v>лес, древесина</c:v>
                </c:pt>
                <c:pt idx="4">
                  <c:v>дороги, бензин</c:v>
                </c:pt>
                <c:pt idx="5">
                  <c:v>услуги общественного питания</c:v>
                </c:pt>
                <c:pt idx="6">
                  <c:v>аптечные услуги</c:v>
                </c:pt>
                <c:pt idx="7">
                  <c:v>гостиничные и туристические услуги</c:v>
                </c:pt>
                <c:pt idx="8">
                  <c:v>товары легкой промышленности (одежда, обувь, текстиль)</c:v>
                </c:pt>
                <c:pt idx="9">
                  <c:v>услуги ЖКХ</c:v>
                </c:pt>
                <c:pt idx="10">
                  <c:v>услуги по ремонту, строительству, автосервис</c:v>
                </c:pt>
                <c:pt idx="11">
                  <c:v>рынок животноводства</c:v>
                </c:pt>
                <c:pt idx="12">
                  <c:v>услуги образования</c:v>
                </c:pt>
                <c:pt idx="13">
                  <c:v>медицинские услуги</c:v>
                </c:pt>
                <c:pt idx="14">
                  <c:v>прочие непродовольственные товары розничной торговли</c:v>
                </c:pt>
                <c:pt idx="15">
                  <c:v>прочие услуги</c:v>
                </c:pt>
              </c:strCache>
            </c:strRef>
          </c:cat>
          <c:val>
            <c:numRef>
              <c:f>Лист1!$B$2:$B$17</c:f>
              <c:numCache>
                <c:formatCode>#,#00%</c:formatCode>
                <c:ptCount val="16"/>
                <c:pt idx="0">
                  <c:v>0.84</c:v>
                </c:pt>
                <c:pt idx="1">
                  <c:v>0.86199999999999999</c:v>
                </c:pt>
                <c:pt idx="2">
                  <c:v>0.65300000000000002</c:v>
                </c:pt>
                <c:pt idx="3">
                  <c:v>0.69</c:v>
                </c:pt>
                <c:pt idx="4">
                  <c:v>0.35799999999999998</c:v>
                </c:pt>
                <c:pt idx="5">
                  <c:v>0.51700000000000002</c:v>
                </c:pt>
                <c:pt idx="6">
                  <c:v>0.5</c:v>
                </c:pt>
                <c:pt idx="7">
                  <c:v>1</c:v>
                </c:pt>
                <c:pt idx="8">
                  <c:v>5.8000000000000003E-2</c:v>
                </c:pt>
                <c:pt idx="11">
                  <c:v>1</c:v>
                </c:pt>
                <c:pt idx="12">
                  <c:v>1</c:v>
                </c:pt>
                <c:pt idx="13">
                  <c:v>1</c:v>
                </c:pt>
                <c:pt idx="14">
                  <c:v>0.81200000000000006</c:v>
                </c:pt>
                <c:pt idx="15">
                  <c:v>1</c:v>
                </c:pt>
              </c:numCache>
            </c:numRef>
          </c:val>
          <c:extLst>
            <c:ext xmlns:c16="http://schemas.microsoft.com/office/drawing/2014/chart" uri="{C3380CC4-5D6E-409C-BE32-E72D297353CC}">
              <c16:uniqueId val="{00000000-AE1D-4A26-9376-C95152664171}"/>
            </c:ext>
          </c:extLst>
        </c:ser>
        <c:ser>
          <c:idx val="1"/>
          <c:order val="1"/>
          <c:tx>
            <c:strRef>
              <c:f>Лист1!$C$1</c:f>
              <c:strCache>
                <c:ptCount val="1"/>
                <c:pt idx="0">
                  <c:v>Не удовлетворен</c:v>
                </c:pt>
              </c:strCache>
            </c:strRef>
          </c:tx>
          <c:spPr>
            <a:solidFill>
              <a:srgbClr val="D6A3D2"/>
            </a:solidFill>
            <a:ln>
              <a:noFill/>
            </a:ln>
          </c:spPr>
          <c:invertIfNegative val="0"/>
          <c:dLbls>
            <c:dLbl>
              <c:idx val="4"/>
              <c:layout>
                <c:manualLayout>
                  <c:x val="2.3424121165182128E-2"/>
                  <c:y val="-7.6554864086954027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1D-4A26-9376-C95152664171}"/>
                </c:ext>
              </c:extLst>
            </c:dLbl>
            <c:spPr>
              <a:solidFill>
                <a:sysClr val="window" lastClr="FFFFFF"/>
              </a:solidFill>
              <a:ln>
                <a:solidFill>
                  <a:srgbClr val="D6A3D2"/>
                </a:solid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продукты питания, напитки</c:v>
                </c:pt>
                <c:pt idx="1">
                  <c:v>товары для строительства, ремонта, инструменты, мебель</c:v>
                </c:pt>
                <c:pt idx="2">
                  <c:v>транспортные услуги</c:v>
                </c:pt>
                <c:pt idx="3">
                  <c:v>лес, древесина</c:v>
                </c:pt>
                <c:pt idx="4">
                  <c:v>дороги, бензин</c:v>
                </c:pt>
                <c:pt idx="5">
                  <c:v>услуги общественного питания</c:v>
                </c:pt>
                <c:pt idx="6">
                  <c:v>аптечные услуги</c:v>
                </c:pt>
                <c:pt idx="7">
                  <c:v>гостиничные и туристические услуги</c:v>
                </c:pt>
                <c:pt idx="8">
                  <c:v>товары легкой промышленности (одежда, обувь, текстиль)</c:v>
                </c:pt>
                <c:pt idx="9">
                  <c:v>услуги ЖКХ</c:v>
                </c:pt>
                <c:pt idx="10">
                  <c:v>услуги по ремонту, строительству, автосервис</c:v>
                </c:pt>
                <c:pt idx="11">
                  <c:v>рынок животноводства</c:v>
                </c:pt>
                <c:pt idx="12">
                  <c:v>услуги образования</c:v>
                </c:pt>
                <c:pt idx="13">
                  <c:v>медицинские услуги</c:v>
                </c:pt>
                <c:pt idx="14">
                  <c:v>прочие непродовольственные товары розничной торговли</c:v>
                </c:pt>
                <c:pt idx="15">
                  <c:v>прочие услуги</c:v>
                </c:pt>
              </c:strCache>
            </c:strRef>
          </c:cat>
          <c:val>
            <c:numRef>
              <c:f>Лист1!$C$2:$C$17</c:f>
              <c:numCache>
                <c:formatCode>#,#00%</c:formatCode>
                <c:ptCount val="16"/>
                <c:pt idx="0">
                  <c:v>0.124</c:v>
                </c:pt>
                <c:pt idx="1">
                  <c:v>1.4E-2</c:v>
                </c:pt>
                <c:pt idx="2">
                  <c:v>0.32300000000000001</c:v>
                </c:pt>
                <c:pt idx="4">
                  <c:v>0.64200000000000002</c:v>
                </c:pt>
                <c:pt idx="5">
                  <c:v>0.48299999999999998</c:v>
                </c:pt>
                <c:pt idx="14">
                  <c:v>0.188</c:v>
                </c:pt>
              </c:numCache>
            </c:numRef>
          </c:val>
          <c:extLst>
            <c:ext xmlns:c16="http://schemas.microsoft.com/office/drawing/2014/chart" uri="{C3380CC4-5D6E-409C-BE32-E72D297353CC}">
              <c16:uniqueId val="{00000002-AE1D-4A26-9376-C95152664171}"/>
            </c:ext>
          </c:extLst>
        </c:ser>
        <c:ser>
          <c:idx val="2"/>
          <c:order val="2"/>
          <c:tx>
            <c:strRef>
              <c:f>Лист1!$D$1</c:f>
              <c:strCache>
                <c:ptCount val="1"/>
                <c:pt idx="0">
                  <c:v>Затрудняются ответить</c:v>
                </c:pt>
              </c:strCache>
            </c:strRef>
          </c:tx>
          <c:spPr>
            <a:solidFill>
              <a:sysClr val="window" lastClr="FFFFFF">
                <a:lumMod val="85000"/>
              </a:sysClr>
            </a:solidFill>
          </c:spPr>
          <c:invertIfNegative val="0"/>
          <c:dLbls>
            <c:dLbl>
              <c:idx val="0"/>
              <c:layout>
                <c:manualLayout>
                  <c:x val="5.8793456427182131E-3"/>
                  <c:y val="0"/>
                </c:manualLayout>
              </c:layout>
              <c:spPr>
                <a:solidFill>
                  <a:sysClr val="window" lastClr="FFFFFF">
                    <a:lumMod val="85000"/>
                  </a:sysClr>
                </a:solidFill>
                <a:ln>
                  <a:solidFill>
                    <a:sysClr val="window" lastClr="FFFFFF">
                      <a:lumMod val="85000"/>
                    </a:sysClr>
                  </a:solidFill>
                </a:ln>
              </c:spPr>
              <c:txPr>
                <a:bodyPr wrap="square" lIns="38100" tIns="19050" rIns="38100" bIns="19050" anchor="ctr">
                  <a:spAutoFit/>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1D-4A26-9376-C95152664171}"/>
                </c:ext>
              </c:extLst>
            </c:dLbl>
            <c:dLbl>
              <c:idx val="1"/>
              <c:layout>
                <c:manualLayout>
                  <c:x val="2.5477164451778812E-2"/>
                  <c:y val="0"/>
                </c:manualLayout>
              </c:layout>
              <c:spPr>
                <a:solidFill>
                  <a:sysClr val="window" lastClr="FFFFFF">
                    <a:lumMod val="85000"/>
                  </a:sysClr>
                </a:solidFill>
                <a:ln>
                  <a:solidFill>
                    <a:sysClr val="window" lastClr="FFFFFF">
                      <a:lumMod val="85000"/>
                    </a:sysClr>
                  </a:solidFill>
                </a:ln>
              </c:spPr>
              <c:txPr>
                <a:bodyPr wrap="square" lIns="38100" tIns="19050" rIns="38100" bIns="19050" anchor="ctr">
                  <a:spAutoFit/>
                </a:bodyPr>
                <a:lstStyle/>
                <a:p>
                  <a:pPr>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1D-4A26-9376-C95152664171}"/>
                </c:ext>
              </c:extLst>
            </c:dLbl>
            <c:spPr>
              <a:solidFill>
                <a:sysClr val="window" lastClr="FFFFFF">
                  <a:lumMod val="85000"/>
                </a:sysClr>
              </a:solidFill>
              <a:ln>
                <a:solidFill>
                  <a:sysClr val="window" lastClr="FFFFFF">
                    <a:lumMod val="85000"/>
                  </a:sysClr>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продукты питания, напитки</c:v>
                </c:pt>
                <c:pt idx="1">
                  <c:v>товары для строительства, ремонта, инструменты, мебель</c:v>
                </c:pt>
                <c:pt idx="2">
                  <c:v>транспортные услуги</c:v>
                </c:pt>
                <c:pt idx="3">
                  <c:v>лес, древесина</c:v>
                </c:pt>
                <c:pt idx="4">
                  <c:v>дороги, бензин</c:v>
                </c:pt>
                <c:pt idx="5">
                  <c:v>услуги общественного питания</c:v>
                </c:pt>
                <c:pt idx="6">
                  <c:v>аптечные услуги</c:v>
                </c:pt>
                <c:pt idx="7">
                  <c:v>гостиничные и туристические услуги</c:v>
                </c:pt>
                <c:pt idx="8">
                  <c:v>товары легкой промышленности (одежда, обувь, текстиль)</c:v>
                </c:pt>
                <c:pt idx="9">
                  <c:v>услуги ЖКХ</c:v>
                </c:pt>
                <c:pt idx="10">
                  <c:v>услуги по ремонту, строительству, автосервис</c:v>
                </c:pt>
                <c:pt idx="11">
                  <c:v>рынок животноводства</c:v>
                </c:pt>
                <c:pt idx="12">
                  <c:v>услуги образования</c:v>
                </c:pt>
                <c:pt idx="13">
                  <c:v>медицинские услуги</c:v>
                </c:pt>
                <c:pt idx="14">
                  <c:v>прочие непродовольственные товары розничной торговли</c:v>
                </c:pt>
                <c:pt idx="15">
                  <c:v>прочие услуги</c:v>
                </c:pt>
              </c:strCache>
            </c:strRef>
          </c:cat>
          <c:val>
            <c:numRef>
              <c:f>Лист1!$D$2:$D$17</c:f>
              <c:numCache>
                <c:formatCode>#,#00%</c:formatCode>
                <c:ptCount val="16"/>
                <c:pt idx="0">
                  <c:v>3.5000000000000003E-2</c:v>
                </c:pt>
                <c:pt idx="1">
                  <c:v>0.124</c:v>
                </c:pt>
                <c:pt idx="2">
                  <c:v>2.4E-2</c:v>
                </c:pt>
                <c:pt idx="3">
                  <c:v>0.31</c:v>
                </c:pt>
                <c:pt idx="6">
                  <c:v>0.5</c:v>
                </c:pt>
                <c:pt idx="8">
                  <c:v>0.94199999999999995</c:v>
                </c:pt>
                <c:pt idx="9">
                  <c:v>1</c:v>
                </c:pt>
                <c:pt idx="10">
                  <c:v>1</c:v>
                </c:pt>
              </c:numCache>
            </c:numRef>
          </c:val>
          <c:extLst>
            <c:ext xmlns:c16="http://schemas.microsoft.com/office/drawing/2014/chart" uri="{C3380CC4-5D6E-409C-BE32-E72D297353CC}">
              <c16:uniqueId val="{00000005-AE1D-4A26-9376-C95152664171}"/>
            </c:ext>
          </c:extLst>
        </c:ser>
        <c:dLbls>
          <c:showLegendKey val="0"/>
          <c:showVal val="0"/>
          <c:showCatName val="0"/>
          <c:showSerName val="0"/>
          <c:showPercent val="0"/>
          <c:showBubbleSize val="0"/>
        </c:dLbls>
        <c:gapWidth val="150"/>
        <c:overlap val="100"/>
        <c:axId val="1407605536"/>
        <c:axId val="1407599008"/>
      </c:barChart>
      <c:catAx>
        <c:axId val="1407605536"/>
        <c:scaling>
          <c:orientation val="maxMin"/>
        </c:scaling>
        <c:delete val="0"/>
        <c:axPos val="l"/>
        <c:numFmt formatCode="General" sourceLinked="1"/>
        <c:majorTickMark val="out"/>
        <c:minorTickMark val="none"/>
        <c:tickLblPos val="nextTo"/>
        <c:crossAx val="1407599008"/>
        <c:crosses val="autoZero"/>
        <c:auto val="1"/>
        <c:lblAlgn val="ctr"/>
        <c:lblOffset val="100"/>
        <c:noMultiLvlLbl val="0"/>
      </c:catAx>
      <c:valAx>
        <c:axId val="1407599008"/>
        <c:scaling>
          <c:orientation val="minMax"/>
          <c:max val="1"/>
        </c:scaling>
        <c:delete val="1"/>
        <c:axPos val="t"/>
        <c:majorGridlines/>
        <c:numFmt formatCode="#,#00%" sourceLinked="1"/>
        <c:majorTickMark val="out"/>
        <c:minorTickMark val="none"/>
        <c:tickLblPos val="nextTo"/>
        <c:crossAx val="1407605536"/>
        <c:crosses val="autoZero"/>
        <c:crossBetween val="between"/>
        <c:majorUnit val="0.2"/>
      </c:valAx>
      <c:spPr>
        <a:noFill/>
        <a:ln w="25341">
          <a:noFill/>
        </a:ln>
      </c:spPr>
    </c:plotArea>
    <c:legend>
      <c:legendPos val="t"/>
      <c:layout>
        <c:manualLayout>
          <c:xMode val="edge"/>
          <c:yMode val="edge"/>
          <c:x val="0.29797302065794906"/>
          <c:y val="2.7284875394632466E-4"/>
          <c:w val="0.61569090035320484"/>
          <c:h val="3.8162623181230135E-2"/>
        </c:manualLayout>
      </c:layout>
      <c:overlay val="0"/>
      <c:spPr>
        <a:noFill/>
      </c:spPr>
    </c:legend>
    <c:plotVisOnly val="1"/>
    <c:dispBlanksAs val="gap"/>
    <c:showDLblsOverMax val="0"/>
  </c:chart>
  <c:spPr>
    <a:ln>
      <a:noFill/>
    </a:ln>
  </c:spPr>
  <c:txPr>
    <a:bodyPr/>
    <a:lstStyle/>
    <a:p>
      <a:pPr algn="just">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744060323242457"/>
          <c:y val="0.16746044244470204"/>
          <c:w val="0.6593103973829133"/>
          <c:h val="0.80208961379830002"/>
        </c:manualLayout>
      </c:layout>
      <c:barChart>
        <c:barDir val="bar"/>
        <c:grouping val="percentStacked"/>
        <c:varyColors val="0"/>
        <c:ser>
          <c:idx val="0"/>
          <c:order val="0"/>
          <c:tx>
            <c:strRef>
              <c:f>Лист1!$B$1</c:f>
              <c:strCache>
                <c:ptCount val="1"/>
                <c:pt idx="0">
                  <c:v>Удовлетворительно</c:v>
                </c:pt>
              </c:strCache>
            </c:strRef>
          </c:tx>
          <c:spPr>
            <a:solidFill>
              <a:srgbClr val="78973B"/>
            </a:solidFill>
            <a:ln w="25354">
              <a:noFill/>
            </a:ln>
          </c:spPr>
          <c:invertIfNegative val="0"/>
          <c:dLbls>
            <c:spPr>
              <a:solidFill>
                <a:sysClr val="window" lastClr="FFFFFF">
                  <a:lumMod val="95000"/>
                </a:sysClr>
              </a:solidFill>
              <a:ln>
                <a:solidFill>
                  <a:srgbClr val="78973B"/>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УДОВЛЕТВОРЕННОСТЬ УРОВНЕМ ДОСТУПНОСТИ ИНФОРМАЦИИ</c:v>
                </c:pt>
                <c:pt idx="1">
                  <c:v>УДОВЛЕТВОРЕННОСТЬ УРОВНЕМ ПОНЯТНОСТИ ИНФОРМАЦИИ</c:v>
                </c:pt>
                <c:pt idx="2">
                  <c:v>УДОВЛЕТВОРЕННОСТЬ УРОВНЕМ УДОБСТВА ПОЛУЧЕНИЯ ИНФОРМАЦИИ</c:v>
                </c:pt>
              </c:strCache>
            </c:strRef>
          </c:cat>
          <c:val>
            <c:numRef>
              <c:f>Лист1!$B$2:$B$4</c:f>
              <c:numCache>
                <c:formatCode>#,#00%</c:formatCode>
                <c:ptCount val="3"/>
                <c:pt idx="0">
                  <c:v>0.66300000000000003</c:v>
                </c:pt>
                <c:pt idx="1">
                  <c:v>0.68</c:v>
                </c:pt>
                <c:pt idx="2">
                  <c:v>0.67200000000000004</c:v>
                </c:pt>
              </c:numCache>
            </c:numRef>
          </c:val>
          <c:extLst>
            <c:ext xmlns:c16="http://schemas.microsoft.com/office/drawing/2014/chart" uri="{C3380CC4-5D6E-409C-BE32-E72D297353CC}">
              <c16:uniqueId val="{00000000-B351-41C6-9B40-973BAE5619D8}"/>
            </c:ext>
          </c:extLst>
        </c:ser>
        <c:ser>
          <c:idx val="1"/>
          <c:order val="1"/>
          <c:tx>
            <c:strRef>
              <c:f>Лист1!$C$1</c:f>
              <c:strCache>
                <c:ptCount val="1"/>
                <c:pt idx="0">
                  <c:v>Неудовлетворительно</c:v>
                </c:pt>
              </c:strCache>
            </c:strRef>
          </c:tx>
          <c:spPr>
            <a:solidFill>
              <a:srgbClr val="B73B61"/>
            </a:solidFill>
            <a:ln w="25354">
              <a:noFill/>
            </a:ln>
          </c:spPr>
          <c:invertIfNegative val="0"/>
          <c:dLbls>
            <c:spPr>
              <a:solidFill>
                <a:sysClr val="window" lastClr="FFFFFF">
                  <a:lumMod val="95000"/>
                </a:sysClr>
              </a:solidFill>
              <a:ln>
                <a:solidFill>
                  <a:srgbClr val="B73B61"/>
                </a:solid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УДОВЛЕТВОРЕННОСТЬ УРОВНЕМ ДОСТУПНОСТИ ИНФОРМАЦИИ</c:v>
                </c:pt>
                <c:pt idx="1">
                  <c:v>УДОВЛЕТВОРЕННОСТЬ УРОВНЕМ ПОНЯТНОСТИ ИНФОРМАЦИИ</c:v>
                </c:pt>
                <c:pt idx="2">
                  <c:v>УДОВЛЕТВОРЕННОСТЬ УРОВНЕМ УДОБСТВА ПОЛУЧЕНИЯ ИНФОРМАЦИИ</c:v>
                </c:pt>
              </c:strCache>
            </c:strRef>
          </c:cat>
          <c:val>
            <c:numRef>
              <c:f>Лист1!$C$2:$C$4</c:f>
              <c:numCache>
                <c:formatCode>#,#00%</c:formatCode>
                <c:ptCount val="3"/>
                <c:pt idx="0">
                  <c:v>0.20899999999999999</c:v>
                </c:pt>
                <c:pt idx="1">
                  <c:v>0.18</c:v>
                </c:pt>
                <c:pt idx="2">
                  <c:v>0.222</c:v>
                </c:pt>
              </c:numCache>
            </c:numRef>
          </c:val>
          <c:extLst>
            <c:ext xmlns:c16="http://schemas.microsoft.com/office/drawing/2014/chart" uri="{C3380CC4-5D6E-409C-BE32-E72D297353CC}">
              <c16:uniqueId val="{00000001-B351-41C6-9B40-973BAE5619D8}"/>
            </c:ext>
          </c:extLst>
        </c:ser>
        <c:dLbls>
          <c:showLegendKey val="0"/>
          <c:showVal val="0"/>
          <c:showCatName val="0"/>
          <c:showSerName val="0"/>
          <c:showPercent val="0"/>
          <c:showBubbleSize val="0"/>
        </c:dLbls>
        <c:gapWidth val="150"/>
        <c:overlap val="100"/>
        <c:axId val="1407599552"/>
        <c:axId val="1407600096"/>
      </c:barChart>
      <c:catAx>
        <c:axId val="1407599552"/>
        <c:scaling>
          <c:orientation val="maxMin"/>
        </c:scaling>
        <c:delete val="0"/>
        <c:axPos val="l"/>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vert="horz"/>
          <a:lstStyle/>
          <a:p>
            <a:pPr>
              <a:defRPr sz="898"/>
            </a:pPr>
            <a:endParaRPr lang="ru-RU"/>
          </a:p>
        </c:txPr>
        <c:crossAx val="1407600096"/>
        <c:crosses val="autoZero"/>
        <c:auto val="1"/>
        <c:lblAlgn val="ctr"/>
        <c:lblOffset val="100"/>
        <c:noMultiLvlLbl val="0"/>
      </c:catAx>
      <c:valAx>
        <c:axId val="1407600096"/>
        <c:scaling>
          <c:orientation val="minMax"/>
        </c:scaling>
        <c:delete val="1"/>
        <c:axPos val="t"/>
        <c:majorGridlines>
          <c:spPr>
            <a:ln w="9508" cap="flat" cmpd="sng" algn="ctr">
              <a:solidFill>
                <a:schemeClr val="tx1">
                  <a:lumMod val="15000"/>
                  <a:lumOff val="85000"/>
                </a:schemeClr>
              </a:solidFill>
              <a:round/>
            </a:ln>
            <a:effectLst/>
          </c:spPr>
        </c:majorGridlines>
        <c:numFmt formatCode="0%" sourceLinked="1"/>
        <c:majorTickMark val="out"/>
        <c:minorTickMark val="none"/>
        <c:tickLblPos val="nextTo"/>
        <c:crossAx val="1407599552"/>
        <c:crosses val="autoZero"/>
        <c:crossBetween val="between"/>
      </c:valAx>
      <c:spPr>
        <a:noFill/>
        <a:ln w="25354">
          <a:noFill/>
        </a:ln>
      </c:spPr>
    </c:plotArea>
    <c:legend>
      <c:legendPos val="b"/>
      <c:layout>
        <c:manualLayout>
          <c:xMode val="edge"/>
          <c:yMode val="edge"/>
          <c:x val="0.29740234163956597"/>
          <c:y val="6.1320591968257489E-2"/>
          <c:w val="0.48624295469042472"/>
          <c:h val="8.2704890761894218E-2"/>
        </c:manualLayout>
      </c:layout>
      <c:overlay val="0"/>
      <c:spPr>
        <a:noFill/>
        <a:ln w="25354">
          <a:noFill/>
        </a:ln>
      </c:spPr>
      <c:txPr>
        <a:bodyPr rot="0" vert="horz"/>
        <a:lstStyle/>
        <a:p>
          <a:pPr>
            <a:defRPr/>
          </a:pPr>
          <a:endParaRPr lang="ru-RU"/>
        </a:p>
      </c:txPr>
    </c:legend>
    <c:plotVisOnly val="1"/>
    <c:dispBlanksAs val="gap"/>
    <c:showDLblsOverMax val="0"/>
  </c:chart>
  <c:spPr>
    <a:solidFill>
      <a:schemeClr val="bg1"/>
    </a:solidFill>
    <a:ln>
      <a:noFill/>
    </a:ln>
    <a:effectLst/>
  </c:spPr>
  <c:txPr>
    <a:bodyPr/>
    <a:lstStyle/>
    <a:p>
      <a:pPr>
        <a:defRPr sz="998">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588369224932237"/>
          <c:y val="2.5794692330125397E-2"/>
          <c:w val="0.44933719128482597"/>
          <c:h val="0.73149836197482632"/>
        </c:manualLayout>
      </c:layout>
      <c:barChart>
        <c:barDir val="bar"/>
        <c:grouping val="clustered"/>
        <c:varyColors val="0"/>
        <c:ser>
          <c:idx val="0"/>
          <c:order val="0"/>
          <c:tx>
            <c:strRef>
              <c:f>Лист1!$A$2</c:f>
              <c:strCache>
                <c:ptCount val="1"/>
                <c:pt idx="0">
                  <c:v>Крупное предприятие (свыше 251 человек)</c:v>
                </c:pt>
              </c:strCache>
            </c:strRef>
          </c:tx>
          <c:spPr>
            <a:solidFill>
              <a:srgbClr val="8368A4"/>
            </a:solidFill>
            <a:ln>
              <a:solidFill>
                <a:srgbClr val="813F7C"/>
              </a:solid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Лист1!$B$2:$F$2</c:f>
              <c:numCache>
                <c:formatCode>#,#00</c:formatCode>
                <c:ptCount val="5"/>
                <c:pt idx="0">
                  <c:v>8.6999999999999993</c:v>
                </c:pt>
                <c:pt idx="1">
                  <c:v>13.4</c:v>
                </c:pt>
                <c:pt idx="2">
                  <c:v>10.9</c:v>
                </c:pt>
                <c:pt idx="3">
                  <c:v>2.6</c:v>
                </c:pt>
                <c:pt idx="4">
                  <c:v>8.9</c:v>
                </c:pt>
              </c:numCache>
            </c:numRef>
          </c:val>
          <c:extLst>
            <c:ext xmlns:c16="http://schemas.microsoft.com/office/drawing/2014/chart" uri="{C3380CC4-5D6E-409C-BE32-E72D297353CC}">
              <c16:uniqueId val="{00000000-C4D8-4FF7-91A5-8491E94613D3}"/>
            </c:ext>
          </c:extLst>
        </c:ser>
        <c:ser>
          <c:idx val="1"/>
          <c:order val="1"/>
          <c:tx>
            <c:strRef>
              <c:f>Лист1!$A$3</c:f>
              <c:strCache>
                <c:ptCount val="1"/>
                <c:pt idx="0">
                  <c:v>Среднее предприятие (от 101 до 250 человек)</c:v>
                </c:pt>
              </c:strCache>
            </c:strRef>
          </c:tx>
          <c:spPr>
            <a:solidFill>
              <a:srgbClr val="8064A2">
                <a:lumMod val="60000"/>
                <a:lumOff val="40000"/>
              </a:srgbClr>
            </a:solidFill>
          </c:spPr>
          <c:invertIfNegative val="0"/>
          <c:dLbls>
            <c:spPr>
              <a:no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Лист1!$B$3:$F$3</c:f>
              <c:numCache>
                <c:formatCode>#,#00</c:formatCode>
                <c:ptCount val="5"/>
                <c:pt idx="0">
                  <c:v>3.6</c:v>
                </c:pt>
                <c:pt idx="1">
                  <c:v>29.7</c:v>
                </c:pt>
                <c:pt idx="2">
                  <c:v>8.1</c:v>
                </c:pt>
                <c:pt idx="3">
                  <c:v>3.3</c:v>
                </c:pt>
                <c:pt idx="4">
                  <c:v>11.174999999999999</c:v>
                </c:pt>
              </c:numCache>
            </c:numRef>
          </c:val>
          <c:extLst>
            <c:ext xmlns:c16="http://schemas.microsoft.com/office/drawing/2014/chart" uri="{C3380CC4-5D6E-409C-BE32-E72D297353CC}">
              <c16:uniqueId val="{00000001-C4D8-4FF7-91A5-8491E94613D3}"/>
            </c:ext>
          </c:extLst>
        </c:ser>
        <c:ser>
          <c:idx val="2"/>
          <c:order val="2"/>
          <c:tx>
            <c:strRef>
              <c:f>Лист1!$A$4</c:f>
              <c:strCache>
                <c:ptCount val="1"/>
                <c:pt idx="0">
                  <c:v>Малое предприятие (от 16 до 100 человек)</c:v>
                </c:pt>
              </c:strCache>
            </c:strRef>
          </c:tx>
          <c:spPr>
            <a:solidFill>
              <a:srgbClr val="4F81BD">
                <a:lumMod val="40000"/>
                <a:lumOff val="60000"/>
              </a:srgbClr>
            </a:solidFill>
            <a:ln>
              <a:noFill/>
            </a:ln>
          </c:spPr>
          <c:invertIfNegative val="0"/>
          <c:dLbls>
            <c:dLbl>
              <c:idx val="0"/>
              <c:layout>
                <c:manualLayout>
                  <c:x val="-1.6064257028112521E-2"/>
                  <c:y val="-1.325605317971743E-17"/>
                </c:manualLayout>
              </c:layout>
              <c:spPr>
                <a:noFill/>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D8-4FF7-91A5-8491E94613D3}"/>
                </c:ext>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Лист1!$B$4:$F$4</c:f>
              <c:numCache>
                <c:formatCode>#,#00</c:formatCode>
                <c:ptCount val="5"/>
                <c:pt idx="0">
                  <c:v>35.799999999999997</c:v>
                </c:pt>
                <c:pt idx="1">
                  <c:v>1.6</c:v>
                </c:pt>
                <c:pt idx="2">
                  <c:v>3.2</c:v>
                </c:pt>
                <c:pt idx="3">
                  <c:v>3.7</c:v>
                </c:pt>
                <c:pt idx="4">
                  <c:v>11.075000000000001</c:v>
                </c:pt>
              </c:numCache>
            </c:numRef>
          </c:val>
          <c:extLst>
            <c:ext xmlns:c16="http://schemas.microsoft.com/office/drawing/2014/chart" uri="{C3380CC4-5D6E-409C-BE32-E72D297353CC}">
              <c16:uniqueId val="{00000003-C4D8-4FF7-91A5-8491E94613D3}"/>
            </c:ext>
          </c:extLst>
        </c:ser>
        <c:ser>
          <c:idx val="3"/>
          <c:order val="3"/>
          <c:tx>
            <c:strRef>
              <c:f>Лист1!$A$5</c:f>
              <c:strCache>
                <c:ptCount val="1"/>
                <c:pt idx="0">
                  <c:v>Микропредприятие (до 15 человек)</c:v>
                </c:pt>
              </c:strCache>
            </c:strRef>
          </c:tx>
          <c:spPr>
            <a:solidFill>
              <a:srgbClr val="F79646">
                <a:lumMod val="40000"/>
                <a:lumOff val="60000"/>
              </a:srgbClr>
            </a:solidFill>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Водоснабжение, водоотведение</c:v>
                </c:pt>
                <c:pt idx="1">
                  <c:v>Газоснабжение</c:v>
                </c:pt>
                <c:pt idx="2">
                  <c:v>Электроснабжение</c:v>
                </c:pt>
                <c:pt idx="3">
                  <c:v>Теплоснабжение</c:v>
                </c:pt>
                <c:pt idx="4">
                  <c:v>Среднее значение</c:v>
                </c:pt>
              </c:strCache>
            </c:strRef>
          </c:cat>
          <c:val>
            <c:numRef>
              <c:f>Лист1!$B$5:$F$5</c:f>
              <c:numCache>
                <c:formatCode>#,#00</c:formatCode>
                <c:ptCount val="5"/>
                <c:pt idx="0">
                  <c:v>2.7</c:v>
                </c:pt>
                <c:pt idx="1">
                  <c:v>0.9</c:v>
                </c:pt>
                <c:pt idx="2">
                  <c:v>2</c:v>
                </c:pt>
                <c:pt idx="3">
                  <c:v>2.1</c:v>
                </c:pt>
                <c:pt idx="4">
                  <c:v>1.9249999999999998</c:v>
                </c:pt>
              </c:numCache>
            </c:numRef>
          </c:val>
          <c:extLst>
            <c:ext xmlns:c16="http://schemas.microsoft.com/office/drawing/2014/chart" uri="{C3380CC4-5D6E-409C-BE32-E72D297353CC}">
              <c16:uniqueId val="{00000004-C4D8-4FF7-91A5-8491E94613D3}"/>
            </c:ext>
          </c:extLst>
        </c:ser>
        <c:dLbls>
          <c:showLegendKey val="0"/>
          <c:showVal val="0"/>
          <c:showCatName val="0"/>
          <c:showSerName val="0"/>
          <c:showPercent val="0"/>
          <c:showBubbleSize val="0"/>
        </c:dLbls>
        <c:gapWidth val="150"/>
        <c:axId val="1527348192"/>
        <c:axId val="1527349280"/>
      </c:barChart>
      <c:catAx>
        <c:axId val="1527348192"/>
        <c:scaling>
          <c:orientation val="maxMin"/>
        </c:scaling>
        <c:delete val="0"/>
        <c:axPos val="l"/>
        <c:numFmt formatCode="\О\с\н\о\в\н\о\й" sourceLinked="0"/>
        <c:majorTickMark val="none"/>
        <c:minorTickMark val="none"/>
        <c:tickLblPos val="nextTo"/>
        <c:crossAx val="1527349280"/>
        <c:crosses val="autoZero"/>
        <c:auto val="1"/>
        <c:lblAlgn val="ctr"/>
        <c:lblOffset val="100"/>
        <c:noMultiLvlLbl val="0"/>
      </c:catAx>
      <c:valAx>
        <c:axId val="1527349280"/>
        <c:scaling>
          <c:orientation val="minMax"/>
          <c:min val="0"/>
        </c:scaling>
        <c:delete val="1"/>
        <c:axPos val="t"/>
        <c:majorGridlines>
          <c:spPr>
            <a:ln>
              <a:solidFill>
                <a:sysClr val="window" lastClr="FFFFFF">
                  <a:lumMod val="85000"/>
                </a:sysClr>
              </a:solidFill>
            </a:ln>
          </c:spPr>
        </c:majorGridlines>
        <c:numFmt formatCode="#,#00" sourceLinked="1"/>
        <c:majorTickMark val="out"/>
        <c:minorTickMark val="none"/>
        <c:tickLblPos val="nextTo"/>
        <c:crossAx val="1527348192"/>
        <c:crosses val="autoZero"/>
        <c:crossBetween val="between"/>
      </c:valAx>
    </c:plotArea>
    <c:legend>
      <c:legendPos val="b"/>
      <c:layout>
        <c:manualLayout>
          <c:xMode val="edge"/>
          <c:yMode val="edge"/>
          <c:x val="0"/>
          <c:y val="0.8262132041187159"/>
          <c:w val="1"/>
          <c:h val="0.1737867958812841"/>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0.00375</cdr:y>
    </cdr:from>
    <cdr:to>
      <cdr:x>0</cdr:x>
      <cdr:y>0.00375</cdr:y>
    </cdr:to>
    <cdr:sp macro="" textlink="">
      <cdr:nvSpPr>
        <cdr:cNvPr id="3" name="Прямая соединительная линия 2"/>
        <cdr:cNvSpPr/>
      </cdr:nvSpPr>
      <cdr:spPr>
        <a:xfrm xmlns:a="http://schemas.openxmlformats.org/drawingml/2006/main">
          <a:off x="-1082650" y="-3343046"/>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0.00375</cdr:y>
    </cdr:from>
    <cdr:to>
      <cdr:x>0</cdr:x>
      <cdr:y>0.00375</cdr:y>
    </cdr:to>
    <cdr:sp macro="" textlink="">
      <cdr:nvSpPr>
        <cdr:cNvPr id="3" name="Прямая соединительная линия 2"/>
        <cdr:cNvSpPr/>
      </cdr:nvSpPr>
      <cdr:spPr>
        <a:xfrm xmlns:a="http://schemas.openxmlformats.org/drawingml/2006/main">
          <a:off x="-1082650" y="-3343046"/>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0.0015</cdr:y>
    </cdr:from>
    <cdr:to>
      <cdr:x>0</cdr:x>
      <cdr:y>0.0015</cdr:y>
    </cdr:to>
    <cdr:sp macro="" textlink="">
      <cdr:nvSpPr>
        <cdr:cNvPr id="3" name="Прямая соединительная линия 2"/>
        <cdr:cNvSpPr/>
      </cdr:nvSpPr>
      <cdr:spPr>
        <a:xfrm xmlns:a="http://schemas.openxmlformats.org/drawingml/2006/main">
          <a:off x="-1082650" y="-3343046"/>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0.00325</cdr:y>
    </cdr:from>
    <cdr:to>
      <cdr:x>0</cdr:x>
      <cdr:y>0.00325</cdr:y>
    </cdr:to>
    <cdr:sp macro="" textlink="">
      <cdr:nvSpPr>
        <cdr:cNvPr id="3" name="Прямая соединительная линия 2"/>
        <cdr:cNvSpPr/>
      </cdr:nvSpPr>
      <cdr:spPr>
        <a:xfrm xmlns:a="http://schemas.openxmlformats.org/drawingml/2006/main">
          <a:off x="-1082650" y="-3343046"/>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0.003</cdr:y>
    </cdr:from>
    <cdr:to>
      <cdr:x>0</cdr:x>
      <cdr:y>0.003</cdr:y>
    </cdr:to>
    <cdr:sp macro="" textlink="">
      <cdr:nvSpPr>
        <cdr:cNvPr id="3" name="Прямая соединительная линия 2"/>
        <cdr:cNvSpPr/>
      </cdr:nvSpPr>
      <cdr:spPr>
        <a:xfrm xmlns:a="http://schemas.openxmlformats.org/drawingml/2006/main">
          <a:off x="-1082650" y="-3343046"/>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Другая 79">
      <a:dk1>
        <a:srgbClr val="C00000"/>
      </a:dk1>
      <a:lt1>
        <a:srgbClr val="FFFFFF"/>
      </a:lt1>
      <a:dk2>
        <a:srgbClr val="002060"/>
      </a:dk2>
      <a:lt2>
        <a:srgbClr val="ADC1EA"/>
      </a:lt2>
      <a:accent1>
        <a:srgbClr val="002060"/>
      </a:accent1>
      <a:accent2>
        <a:srgbClr val="3366CC"/>
      </a:accent2>
      <a:accent3>
        <a:srgbClr val="526DB0"/>
      </a:accent3>
      <a:accent4>
        <a:srgbClr val="989AAC"/>
      </a:accent4>
      <a:accent5>
        <a:srgbClr val="3366CC"/>
      </a:accent5>
      <a:accent6>
        <a:srgbClr val="B4B392"/>
      </a:accent6>
      <a:hlink>
        <a:srgbClr val="CC9900"/>
      </a:hlink>
      <a:folHlink>
        <a:srgbClr val="969696"/>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6E3975"/>
    </a:accent1>
    <a:accent2>
      <a:srgbClr val="C9A7D1"/>
    </a:accent2>
    <a:accent3>
      <a:srgbClr val="A84A6C"/>
    </a:accent3>
    <a:accent4>
      <a:srgbClr val="BDB515"/>
    </a:accent4>
    <a:accent5>
      <a:srgbClr val="768753"/>
    </a:accent5>
    <a:accent6>
      <a:srgbClr val="665A91"/>
    </a:accent6>
    <a:hlink>
      <a:srgbClr val="0563C1"/>
    </a:hlink>
    <a:folHlink>
      <a:srgbClr val="954F72"/>
    </a:folHlink>
  </a:clrScheme>
  <a:fontScheme name="Sis_Corporation_1">
    <a:majorFont>
      <a:latin typeface="Arial Black"/>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0EA76-A14E-42BF-9323-DC0E12AC9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377</Pages>
  <Words>121479</Words>
  <Characters>692436</Characters>
  <Application>Microsoft Office Word</Application>
  <DocSecurity>0</DocSecurity>
  <Lines>5770</Lines>
  <Paragraphs>1624</Paragraphs>
  <ScaleCrop>false</ScaleCrop>
  <HeadingPairs>
    <vt:vector size="2" baseType="variant">
      <vt:variant>
        <vt:lpstr>Название</vt:lpstr>
      </vt:variant>
      <vt:variant>
        <vt:i4>1</vt:i4>
      </vt:variant>
    </vt:vector>
  </HeadingPairs>
  <TitlesOfParts>
    <vt:vector size="1" baseType="lpstr">
      <vt:lpstr/>
    </vt:vector>
  </TitlesOfParts>
  <Company>PNO</Company>
  <LinksUpToDate>false</LinksUpToDate>
  <CharactersWithSpaces>812291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Кузьмина Елена Анатольевна</dc:creator>
  <cp:keywords/>
  <dc:description/>
  <cp:lastModifiedBy>Полянских Маргарита Александровна</cp:lastModifiedBy>
  <cp:revision>5</cp:revision>
  <cp:lastPrinted>2020-03-02T06:26:00Z</cp:lastPrinted>
  <dcterms:created xsi:type="dcterms:W3CDTF">2020-03-10T04:01:00Z</dcterms:created>
  <dcterms:modified xsi:type="dcterms:W3CDTF">2020-03-10T04:21:00Z</dcterms:modified>
</cp:coreProperties>
</file>