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4"/>
        <w:ind w:firstLine="709"/>
        <w:jc w:val="center"/>
        <w:widowControl w:val="off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Объявление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54"/>
        <w:ind w:firstLine="709"/>
        <w:jc w:val="center"/>
        <w:widowControl w:val="off"/>
        <w:tabs>
          <w:tab w:val="left" w:pos="9356" w:leader="none"/>
        </w:tabs>
        <w:rPr>
          <w:sz w:val="28"/>
          <w:szCs w:val="28"/>
        </w:rPr>
      </w:pPr>
      <w:r>
        <w:rPr>
          <w:b/>
          <w:color w:val="000000"/>
          <w:sz w:val="28"/>
          <w:szCs w:val="26"/>
        </w:rPr>
        <w:t xml:space="preserve">о проведении </w:t>
      </w:r>
      <w:r>
        <w:rPr>
          <w:b/>
          <w:color w:val="000000"/>
          <w:sz w:val="28"/>
          <w:szCs w:val="26"/>
        </w:rPr>
        <w:t xml:space="preserve">конкурсн</w:t>
      </w:r>
      <w:r>
        <w:rPr>
          <w:b/>
          <w:color w:val="000000"/>
          <w:sz w:val="28"/>
          <w:szCs w:val="26"/>
        </w:rPr>
        <w:t xml:space="preserve">ого</w:t>
      </w:r>
      <w:r>
        <w:rPr>
          <w:b/>
          <w:color w:val="000000"/>
          <w:sz w:val="28"/>
          <w:szCs w:val="26"/>
        </w:rPr>
        <w:t xml:space="preserve"> отбор</w:t>
      </w:r>
      <w:r>
        <w:rPr>
          <w:b/>
          <w:color w:val="000000"/>
          <w:sz w:val="28"/>
          <w:szCs w:val="26"/>
        </w:rPr>
        <w:t xml:space="preserve">а</w:t>
      </w:r>
      <w:r>
        <w:rPr>
          <w:b/>
          <w:color w:val="000000"/>
          <w:sz w:val="28"/>
          <w:szCs w:val="26"/>
        </w:rPr>
        <w:t xml:space="preserve"> муниципальных образований Ново</w:t>
      </w:r>
      <w:r>
        <w:rPr>
          <w:b/>
          <w:color w:val="000000"/>
          <w:sz w:val="28"/>
          <w:szCs w:val="26"/>
        </w:rPr>
        <w:t xml:space="preserve">сибирской области на предоставление субсидий из областного бюджета Новосибирской области на реализацию мероприятий по созданию условий для развития сферы туризма, инфраструктуры досуга и отдыха на территориях муниципальных образований Новосибирской области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4"/>
        <w:ind w:firstLine="709"/>
        <w:jc w:val="both"/>
        <w:widowControl w:val="off"/>
        <w:tabs>
          <w:tab w:val="left" w:pos="9356" w:leader="none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Style w:val="854"/>
        <w:ind w:firstLine="709"/>
        <w:jc w:val="both"/>
        <w:widowControl w:val="off"/>
        <w:tabs>
          <w:tab w:val="left" w:pos="9356" w:leader="none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соответствии с </w:t>
      </w:r>
      <w:r>
        <w:rPr>
          <w:rFonts w:eastAsia="Calibri"/>
          <w:sz w:val="28"/>
          <w:szCs w:val="28"/>
        </w:rPr>
        <w:t xml:space="preserve">Порядком предоставления и распределения субсидий из областного бюджета Новосибирской области бюджетам муниципальных образований Новосибирской области на реализац</w:t>
      </w:r>
      <w:r>
        <w:rPr>
          <w:rFonts w:eastAsia="Calibri"/>
          <w:sz w:val="28"/>
          <w:szCs w:val="28"/>
        </w:rPr>
        <w:t xml:space="preserve">ию мероприятий по созданию условий для развития сферы туризма, инфраструктуры досуга и отдыха на территориях муниципальных образований Новосибирской области в рамках государственной программы Новосибирской области «Развитие туризма в Новосибирской области»</w:t>
      </w:r>
      <w:r>
        <w:rPr>
          <w:rFonts w:eastAsia="Calibri"/>
          <w:sz w:val="28"/>
          <w:szCs w:val="28"/>
        </w:rPr>
        <w:t xml:space="preserve">, являющимся </w:t>
      </w:r>
      <w:r>
        <w:rPr>
          <w:rFonts w:eastAsia="Calibri"/>
          <w:sz w:val="28"/>
          <w:szCs w:val="28"/>
        </w:rPr>
        <w:t xml:space="preserve">приложени</w:t>
      </w:r>
      <w:r>
        <w:rPr>
          <w:rFonts w:eastAsia="Calibri"/>
          <w:sz w:val="28"/>
          <w:szCs w:val="28"/>
        </w:rPr>
        <w:t xml:space="preserve">ем</w:t>
      </w:r>
      <w:r>
        <w:rPr>
          <w:rFonts w:eastAsia="Calibri"/>
          <w:sz w:val="28"/>
          <w:szCs w:val="28"/>
        </w:rPr>
        <w:t xml:space="preserve"> №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4 к государственной программе Новосибирской области «Развитие туризма в Новосибирской области», утвержденной постановлением Правительства Новосибирской области от 3</w:t>
      </w:r>
      <w:r>
        <w:rPr>
          <w:rFonts w:eastAsia="Calibri"/>
          <w:sz w:val="28"/>
          <w:szCs w:val="28"/>
        </w:rPr>
        <w:t xml:space="preserve">0</w:t>
      </w:r>
      <w:r>
        <w:rPr>
          <w:rFonts w:eastAsia="Calibri"/>
          <w:sz w:val="28"/>
          <w:szCs w:val="28"/>
        </w:rPr>
        <w:t xml:space="preserve">.12.2021 № 576</w:t>
      </w:r>
      <w:r>
        <w:rPr>
          <w:rFonts w:eastAsia="Calibri"/>
          <w:sz w:val="28"/>
          <w:szCs w:val="28"/>
        </w:rPr>
        <w:t xml:space="preserve">-п</w:t>
      </w:r>
      <w:r>
        <w:rPr>
          <w:rFonts w:eastAsia="Calibri"/>
          <w:sz w:val="28"/>
          <w:szCs w:val="28"/>
        </w:rPr>
        <w:t xml:space="preserve"> министерство экономического развития </w:t>
      </w:r>
      <w:r>
        <w:rPr>
          <w:rFonts w:eastAsia="Calibri"/>
          <w:sz w:val="28"/>
          <w:szCs w:val="28"/>
        </w:rPr>
        <w:t xml:space="preserve">Новосибирской области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(далее – МЭР НСО) </w:t>
      </w:r>
      <w:r>
        <w:rPr>
          <w:rFonts w:eastAsia="Calibri"/>
          <w:sz w:val="28"/>
          <w:szCs w:val="28"/>
        </w:rPr>
        <w:t xml:space="preserve">объявляет: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Style w:val="854"/>
        <w:ind w:firstLine="709"/>
        <w:jc w:val="both"/>
        <w:widowControl w:val="off"/>
        <w:tabs>
          <w:tab w:val="left" w:pos="9356" w:leader="none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1. О</w:t>
      </w:r>
      <w:r>
        <w:rPr>
          <w:rFonts w:eastAsia="Calibri"/>
          <w:sz w:val="28"/>
          <w:szCs w:val="28"/>
        </w:rPr>
        <w:t xml:space="preserve"> проведени</w:t>
      </w:r>
      <w:r>
        <w:rPr>
          <w:rFonts w:eastAsia="Calibri"/>
          <w:sz w:val="28"/>
          <w:szCs w:val="28"/>
        </w:rPr>
        <w:t xml:space="preserve">и</w:t>
      </w:r>
      <w:r>
        <w:rPr>
          <w:rFonts w:eastAsia="Calibri"/>
          <w:sz w:val="28"/>
          <w:szCs w:val="28"/>
        </w:rPr>
        <w:t xml:space="preserve"> </w:t>
      </w:r>
      <w:r>
        <w:rPr>
          <w:color w:val="000000"/>
          <w:sz w:val="28"/>
          <w:szCs w:val="26"/>
        </w:rPr>
        <w:t xml:space="preserve">конкурсного отбора муниципальных образований Новосибирской области на предоставление субсидий </w:t>
      </w:r>
      <w:r>
        <w:rPr>
          <w:color w:val="000000"/>
          <w:sz w:val="28"/>
          <w:szCs w:val="26"/>
        </w:rPr>
        <w:t xml:space="preserve">из областного бюджета Новосибирской области </w:t>
      </w:r>
      <w:r>
        <w:rPr>
          <w:color w:val="000000"/>
          <w:sz w:val="28"/>
          <w:szCs w:val="26"/>
        </w:rPr>
        <w:t xml:space="preserve">на реализацию мероприятий по созданию условий для развития сферы туризма, инфраструктуры досуга и отдыха на территориях муниципальных образований Новосибирской области</w:t>
      </w:r>
      <w:r>
        <w:rPr>
          <w:color w:val="000000"/>
          <w:sz w:val="28"/>
          <w:szCs w:val="26"/>
        </w:rPr>
        <w:t xml:space="preserve"> (далее </w:t>
      </w:r>
      <w:r>
        <w:rPr>
          <w:color w:val="000000"/>
          <w:sz w:val="28"/>
          <w:szCs w:val="26"/>
        </w:rPr>
        <w:t xml:space="preserve">соответственно </w:t>
      </w:r>
      <w:r>
        <w:rPr>
          <w:color w:val="000000"/>
          <w:sz w:val="28"/>
          <w:szCs w:val="26"/>
        </w:rPr>
        <w:t xml:space="preserve">– конкурсный отбор</w:t>
      </w:r>
      <w:r>
        <w:rPr>
          <w:color w:val="000000"/>
          <w:sz w:val="28"/>
          <w:szCs w:val="26"/>
        </w:rPr>
        <w:t xml:space="preserve">, муниципальное образование, субсидия</w:t>
      </w:r>
      <w:r>
        <w:rPr>
          <w:color w:val="000000"/>
          <w:sz w:val="28"/>
          <w:szCs w:val="26"/>
        </w:rPr>
        <w:t xml:space="preserve">).</w:t>
      </w:r>
      <w:r>
        <w:rPr>
          <w:color w:val="000000"/>
          <w:sz w:val="28"/>
          <w:szCs w:val="26"/>
        </w:rPr>
        <w:t xml:space="preserve"> </w:t>
      </w:r>
      <w:r>
        <w:rPr>
          <w:rFonts w:eastAsia="Calibri"/>
          <w:sz w:val="28"/>
          <w:szCs w:val="28"/>
        </w:rPr>
      </w:r>
      <w:r>
        <w:rPr>
          <w:rFonts w:eastAsia="Calibri"/>
          <w:sz w:val="28"/>
          <w:szCs w:val="28"/>
        </w:rPr>
      </w:r>
    </w:p>
    <w:p>
      <w:pPr>
        <w:pStyle w:val="87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С</w:t>
      </w:r>
      <w:r>
        <w:rPr>
          <w:rFonts w:ascii="Times New Roman" w:hAnsi="Times New Roman" w:cs="Times New Roman"/>
          <w:sz w:val="28"/>
          <w:szCs w:val="28"/>
        </w:rPr>
        <w:t xml:space="preserve">рок начала приема заявок</w:t>
      </w:r>
      <w:r>
        <w:rPr>
          <w:rFonts w:ascii="Times New Roman" w:hAnsi="Times New Roman" w:cs="Times New Roman"/>
          <w:sz w:val="28"/>
          <w:szCs w:val="28"/>
        </w:rPr>
        <w:t xml:space="preserve"> на участие в конкурсном отборе (далее – заявка)</w:t>
      </w:r>
      <w:r>
        <w:rPr>
          <w:rFonts w:ascii="Times New Roman" w:hAnsi="Times New Roman" w:cs="Times New Roman"/>
          <w:sz w:val="28"/>
          <w:szCs w:val="28"/>
        </w:rPr>
        <w:t xml:space="preserve">: 07</w:t>
      </w:r>
      <w:r>
        <w:rPr>
          <w:rFonts w:ascii="Times New Roman" w:hAnsi="Times New Roman" w:cs="Times New Roman"/>
          <w:sz w:val="28"/>
          <w:szCs w:val="28"/>
        </w:rPr>
        <w:t xml:space="preserve">.0</w:t>
      </w:r>
      <w:r>
        <w:rPr>
          <w:rFonts w:ascii="Times New Roman" w:hAnsi="Times New Roman" w:cs="Times New Roman"/>
          <w:sz w:val="28"/>
          <w:szCs w:val="28"/>
        </w:rPr>
        <w:t xml:space="preserve">2.2025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 С</w:t>
      </w:r>
      <w:r>
        <w:rPr>
          <w:rFonts w:ascii="Times New Roman" w:hAnsi="Times New Roman" w:cs="Times New Roman"/>
          <w:sz w:val="28"/>
          <w:szCs w:val="28"/>
        </w:rPr>
        <w:t xml:space="preserve">рок окончания приема заявок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8.00 часов </w:t>
      </w:r>
      <w:r>
        <w:rPr>
          <w:rFonts w:ascii="Times New Roman" w:hAnsi="Times New Roman" w:cs="Times New Roman"/>
          <w:sz w:val="28"/>
          <w:szCs w:val="28"/>
        </w:rPr>
        <w:t xml:space="preserve">03.03.202</w:t>
      </w:r>
      <w:r>
        <w:rPr>
          <w:rFonts w:ascii="Times New Roman" w:hAnsi="Times New Roman" w:cs="Times New Roman"/>
          <w:sz w:val="28"/>
          <w:szCs w:val="28"/>
        </w:rPr>
        <w:t xml:space="preserve">5.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 Р</w:t>
      </w:r>
      <w:r>
        <w:rPr>
          <w:rFonts w:ascii="Times New Roman" w:hAnsi="Times New Roman" w:cs="Times New Roman"/>
          <w:sz w:val="28"/>
          <w:szCs w:val="28"/>
        </w:rPr>
        <w:t xml:space="preserve">егистрация сопроводительного письма осуществляется с использованием межведомственной системы электронного документооборота и делопроизводства Новосибирской области в день поступления заявки в </w:t>
      </w:r>
      <w:r>
        <w:rPr>
          <w:rFonts w:ascii="Times New Roman" w:hAnsi="Times New Roman" w:cs="Times New Roman"/>
          <w:sz w:val="28"/>
          <w:szCs w:val="28"/>
        </w:rPr>
        <w:t xml:space="preserve">МЭР НСО </w:t>
      </w:r>
      <w:r>
        <w:rPr>
          <w:rFonts w:ascii="Times New Roman" w:hAnsi="Times New Roman" w:cs="Times New Roman"/>
          <w:sz w:val="28"/>
          <w:szCs w:val="28"/>
        </w:rPr>
        <w:t xml:space="preserve">с указанием даты (число, месяц, год) и регистрационного номера.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5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. </w:t>
      </w:r>
      <w:r>
        <w:rPr>
          <w:sz w:val="28"/>
          <w:szCs w:val="28"/>
        </w:rPr>
        <w:t xml:space="preserve">Объявление о дате, времени и месте </w:t>
      </w:r>
      <w:r>
        <w:rPr>
          <w:sz w:val="28"/>
          <w:szCs w:val="28"/>
        </w:rPr>
        <w:t xml:space="preserve">заседания </w:t>
      </w:r>
      <w:r>
        <w:rPr>
          <w:sz w:val="28"/>
          <w:szCs w:val="28"/>
        </w:rPr>
        <w:t xml:space="preserve">конкурсной комиссии по проведению конкурсного отбора муниципальных образований Новосибирской области на предоставление субсидий </w:t>
      </w:r>
      <w:r>
        <w:rPr>
          <w:sz w:val="28"/>
          <w:szCs w:val="28"/>
        </w:rPr>
        <w:t xml:space="preserve">из областного бюджета Новосибирской области </w:t>
      </w:r>
      <w:r>
        <w:rPr>
          <w:sz w:val="28"/>
          <w:szCs w:val="28"/>
        </w:rPr>
        <w:t xml:space="preserve">на реализацию мероприятий по созданию условий для развития сферы туризма, инфраструктуры досуга и отдыха на территориях муниципальных образований Новосибирской области </w:t>
      </w:r>
      <w:r>
        <w:rPr>
          <w:sz w:val="28"/>
          <w:szCs w:val="28"/>
        </w:rPr>
        <w:t xml:space="preserve">будет дополнительно размещено на официальном сайте МЭР НСО </w:t>
      </w:r>
      <w:r>
        <w:rPr>
          <w:sz w:val="28"/>
          <w:szCs w:val="28"/>
        </w:rPr>
        <w:t xml:space="preserve">в информационно-телекоммуникационной сети «Интернет»</w:t>
      </w:r>
      <w:r>
        <w:rPr>
          <w:sz w:val="28"/>
          <w:szCs w:val="28"/>
        </w:rPr>
        <w:t xml:space="preserve"> в течение трех рабочих дней со дня окончания приема заявок.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. </w:t>
      </w:r>
      <w:r>
        <w:rPr>
          <w:sz w:val="28"/>
          <w:szCs w:val="28"/>
        </w:rPr>
        <w:t xml:space="preserve">Участниками отбора являются: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4"/>
        <w:ind w:firstLine="709"/>
        <w:jc w:val="both"/>
        <w:widowControl w:val="off"/>
        <w:tabs>
          <w:tab w:val="left" w:pos="935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муниципальны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 образования</w:t>
      </w:r>
      <w:r>
        <w:rPr>
          <w:sz w:val="28"/>
          <w:szCs w:val="28"/>
        </w:rPr>
        <w:t xml:space="preserve">, удовлетворяющие всем в совокупности обязательным условиям: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наличие правовых актов муниципальных образований, утверждающих порядок использования средств местного бюджета, требования о принятии которых установлены бюджетным законодательством Российской Федерации и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нормативными правовыми актами, регулирующими бюджетные правоотношения (в случае если указанные расходные обязательства софинансируются за счет средств субсидий и предусматривают предоставление из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местных бюджетов межбюджетных трансфертов бюджетам городских и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сельских поселений Новосибирской области (далее 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 поселения), субсидий юридическим лицам (за исключением субсидий муниципальным учреждениям), индивидуальным предпринимателям, а также физическим лицам</w:t>
      </w:r>
      <w:r>
        <w:rPr>
          <w:sz w:val="28"/>
          <w:szCs w:val="28"/>
        </w:rPr>
        <w:t xml:space="preserve"> –</w:t>
      </w:r>
      <w:r>
        <w:rPr>
          <w:sz w:val="28"/>
          <w:szCs w:val="28"/>
        </w:rPr>
        <w:t xml:space="preserve"> производителям товаров, работ, услуг, прочих субсидий юридическим лицам);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 наличие в </w:t>
      </w:r>
      <w:r>
        <w:rPr>
          <w:sz w:val="28"/>
          <w:szCs w:val="28"/>
        </w:rPr>
        <w:t xml:space="preserve">местных бюджетах бюджетных ассигнований на исполнение расходных обязательств муниципальных образований, в целях софинансирования которых предоставляются субсидии, в объеме, необходимом для их исполнения, включая объем планируемых к предоставлению субсидий;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) </w:t>
      </w:r>
      <w:r>
        <w:rPr>
          <w:sz w:val="28"/>
          <w:szCs w:val="28"/>
        </w:rPr>
        <w:t xml:space="preserve">заключение на срок, соответствующий сроку распределения субсидий между местными бюджетами, соглашений о предоставлении субсидий, предусматривающих обязательства муниципального образования по исполнению расходных обязательств, в целя</w:t>
      </w:r>
      <w:r>
        <w:rPr>
          <w:sz w:val="28"/>
          <w:szCs w:val="28"/>
        </w:rPr>
        <w:t xml:space="preserve">х софинансирования которых предоставляются субсидии, и ответственность за неисполнение предусмотренных указанными соглашениями обязательств, в соответствии с типовыми формами, утверждаемыми министерством финансов и налоговой политики Новосибирской области;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) </w:t>
      </w:r>
      <w:r>
        <w:rPr>
          <w:sz w:val="28"/>
          <w:szCs w:val="28"/>
        </w:rPr>
        <w:t xml:space="preserve">централизация закупок товаров, работ, услуг, финансовое обеспечение которых частично или полностью осуществляется за счет средств субсидии, в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соответствии с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consultantplus://offline/ref=4611F8299F03A57B5EFEF13AC711EA38648C87A1FC621A896E1EC278F9E6CE41AD79094C385F4D750FBAD9E70E8E280CE2907D2F73849EDC8A1B3129X5sBN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пунктом 1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и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consultantplus://offline/ref=4611F8299F03A57B5EFEF13AC711EA38648C87A1FC621A896E1EC278F9E6CE41AD79094C385F4D750FBAD8E50D8E280CE2907D2F73849EDC8A1B3129X5sBN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подпунктом 2 пункта 4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постановления Правительства Новосибирской области от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30.12.2013 №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597-п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 наделении полномочиями государственного казенного учреждения Новосибирской области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Управление контрактной системы</w:t>
      </w:r>
      <w:r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</w:t>
      </w:r>
      <w:r>
        <w:rPr>
          <w:sz w:val="28"/>
          <w:szCs w:val="28"/>
        </w:rPr>
        <w:t xml:space="preserve">) </w:t>
      </w:r>
      <w:r>
        <w:rPr>
          <w:sz w:val="28"/>
          <w:szCs w:val="28"/>
        </w:rPr>
        <w:t xml:space="preserve">включение в соглашения о предоставлении субсидий юридическим лицам (за исключением субсидий муниципальным учреждениям), индивидуальным предпринимателям, а также физическим лицам 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 производителям товаров, работ, услуг, прочих субсидий юридическим лицам, предоставляемых из местного бюджета за счет сред</w:t>
      </w:r>
      <w:r>
        <w:rPr>
          <w:sz w:val="28"/>
          <w:szCs w:val="28"/>
        </w:rPr>
        <w:t xml:space="preserve">ств субсидий, условия об отсутствии у получателей субсидий просроченной (неурегулированной) задолженности по денежным обязательствам перед муниципальным образованием (за исключением случаев, установленных местной администрацией муниципального образования);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4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) </w:t>
      </w:r>
      <w:r>
        <w:rPr>
          <w:sz w:val="28"/>
          <w:szCs w:val="28"/>
        </w:rPr>
        <w:t xml:space="preserve">наличие неиспользованного остатка субсидий, предоставленных ранее на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аналогичные цели, в объеме, не превышающем 5% от общего объема субсидий, запланированных к предоставлению в соответствующем финансовом году, или его отсутствие;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4"/>
        <w:ind w:firstLine="709"/>
        <w:jc w:val="both"/>
        <w:widowControl w:val="off"/>
        <w:tabs>
          <w:tab w:val="left" w:pos="935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7) сокращение объема субсидии в случае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если объем бюджетных ассигнований на исполнение расходных обязательств муниципального образования, в целях софинансирования которых предоставляются субсид</w:t>
      </w:r>
      <w:r>
        <w:rPr>
          <w:sz w:val="28"/>
          <w:szCs w:val="28"/>
        </w:rPr>
        <w:t xml:space="preserve">ии, установлен в местном бюджете ниже уровней, предусмотренных порядками предоставления субсидий, пропорционально снижению соответствующего уровня финансирования исполнения расходных обязательств муниципального образования за счет средств местного бюджета.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4"/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. </w:t>
      </w:r>
      <w:r>
        <w:rPr>
          <w:sz w:val="28"/>
          <w:szCs w:val="28"/>
        </w:rPr>
        <w:t xml:space="preserve">Субсидии</w:t>
      </w:r>
      <w:r>
        <w:rPr>
          <w:sz w:val="28"/>
          <w:szCs w:val="28"/>
        </w:rPr>
        <w:t xml:space="preserve"> муниципальным образованиям</w:t>
      </w:r>
      <w:r>
        <w:rPr>
          <w:sz w:val="28"/>
          <w:szCs w:val="28"/>
        </w:rPr>
        <w:t xml:space="preserve"> предоставляются </w:t>
      </w:r>
      <w:r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следующие мероприятия (далее – мероприятия):</w:t>
      </w:r>
      <w:r>
        <w:rPr>
          <w:sz w:val="28"/>
          <w:szCs w:val="28"/>
          <w:highlight w:val="yellow"/>
        </w:rPr>
        <w:t xml:space="preserve"> </w:t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pStyle w:val="854"/>
        <w:ind w:firstLine="709"/>
        <w:jc w:val="both"/>
        <w:widowControl w:val="off"/>
        <w:tabs>
          <w:tab w:val="left" w:pos="935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1)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проектирование,</w:t>
      </w:r>
      <w:r>
        <w:rPr>
          <w:sz w:val="28"/>
          <w:szCs w:val="28"/>
        </w:rPr>
        <w:t xml:space="preserve"> создание, капитальный ремонт, реконструкцию и модернизацию объектов туристской индустрии, находящихся в муниципальной собственности;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4"/>
        <w:ind w:firstLine="709"/>
        <w:jc w:val="both"/>
        <w:widowControl w:val="off"/>
        <w:tabs>
          <w:tab w:val="left" w:pos="935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2)</w:t>
      </w:r>
      <w:r>
        <w:rPr>
          <w:sz w:val="28"/>
          <w:szCs w:val="28"/>
        </w:rPr>
        <w:t xml:space="preserve"> ремонт, приобретение, доставку и монтаж необходимого технологического оборудования, реконструкцию и модернизацию объектов обеспечивающей инфрас</w:t>
      </w:r>
      <w:r>
        <w:rPr>
          <w:sz w:val="28"/>
          <w:szCs w:val="28"/>
        </w:rPr>
        <w:t xml:space="preserve">труктуры туристских объектов, находящихся в муниципальной собственности, в том числе систем коммуникаций и объектов водоснабжения, охранно-пожарной безопасности, водоотведения, канализации, вентиляции, тепло-, электро- и газоснабжения, связи;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4"/>
        <w:ind w:firstLine="709"/>
        <w:jc w:val="both"/>
        <w:widowControl w:val="off"/>
        <w:tabs>
          <w:tab w:val="left" w:pos="935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3)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благоустройство территории орг</w:t>
      </w:r>
      <w:r>
        <w:rPr>
          <w:sz w:val="28"/>
          <w:szCs w:val="28"/>
        </w:rPr>
        <w:t xml:space="preserve">анизуемой туристической зоны, находящейся в муниципальной собственности, в том числе проектирование, озеленение, ограждение, приобретение, доставку и установку (монтаж) малых архитектурных форм для летнего и зимнего отдыха, организацию детских игровых и сп</w:t>
      </w:r>
      <w:r>
        <w:rPr>
          <w:sz w:val="28"/>
          <w:szCs w:val="28"/>
        </w:rPr>
        <w:t xml:space="preserve">ортивных площадок, устройство дорожек и тротуаров, обустройство территорий пандусами, ступенями, лестницами, организацию площадки для сбора мусора, демонтаж дисгармоничных объектов, а также объектов, признанных в установленном порядке ветхими и аварийными;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4"/>
        <w:ind w:firstLine="709"/>
        <w:jc w:val="both"/>
        <w:widowControl w:val="off"/>
        <w:tabs>
          <w:tab w:val="left" w:pos="935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4)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органи</w:t>
      </w:r>
      <w:r>
        <w:rPr>
          <w:sz w:val="28"/>
          <w:szCs w:val="28"/>
        </w:rPr>
        <w:t xml:space="preserve">зацию санитарных узлов на территории туристических достопримечательностей, находящейся в муниципальной собственности, в том числе адаптированных для лиц с ограниченными возможностями здоровья, маломобильных групп населения, а также комнат матери и ребенка;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4"/>
        <w:ind w:firstLine="709"/>
        <w:jc w:val="both"/>
        <w:widowControl w:val="off"/>
        <w:tabs>
          <w:tab w:val="left" w:pos="935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5)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обустройство автомобильных стоянок, находящихся в муниципальной собственности, в местах туристского интереса, пригодных для автобусов туристского класса;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4"/>
        <w:ind w:firstLine="709"/>
        <w:jc w:val="both"/>
        <w:widowControl w:val="off"/>
        <w:tabs>
          <w:tab w:val="left" w:pos="935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6)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развитие береговой инфраструктуры, находящейся в муниципальной собственности, в том числе обустройство пляжей и прилегающих территорий, причалов, переправ;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4"/>
        <w:ind w:firstLine="709"/>
        <w:jc w:val="both"/>
        <w:widowControl w:val="off"/>
        <w:tabs>
          <w:tab w:val="left" w:pos="935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7)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разработку информационно-коммуникационного продукта в туризме, в том числе аудио-, радио- и медиагидов, IT-приложений и других медиапродуктов;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4"/>
        <w:ind w:firstLine="709"/>
        <w:jc w:val="both"/>
        <w:widowControl w:val="off"/>
        <w:tabs>
          <w:tab w:val="left" w:pos="935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8)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формирование доступной среды на объектах туристического показа, находящихся в муниципальной собственности, для лиц с ограниченными возможностями здоровья, маломобильных групп населения и лиц пожилого возраста;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4"/>
        <w:ind w:firstLine="709"/>
        <w:jc w:val="both"/>
        <w:widowControl w:val="off"/>
        <w:tabs>
          <w:tab w:val="left" w:pos="935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9)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обеспечение транспортной доступности объектов туристского показа и обустройство объектов транспортной инфраструктуры, находящихся в муниципальной собственности, с учетом прохождения туристских маршрутов;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4"/>
        <w:ind w:firstLine="709"/>
        <w:jc w:val="both"/>
        <w:widowControl w:val="off"/>
        <w:tabs>
          <w:tab w:val="left" w:pos="935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10)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приобретение основных средств и материальных запасов для организации туристско-рекреационных зон, находящихся в муниципальной собственности.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4"/>
        <w:ind w:firstLine="709"/>
        <w:jc w:val="both"/>
        <w:widowControl w:val="off"/>
        <w:tabs>
          <w:tab w:val="left" w:pos="935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. </w:t>
      </w:r>
      <w:r>
        <w:rPr>
          <w:sz w:val="28"/>
          <w:szCs w:val="28"/>
        </w:rPr>
        <w:t xml:space="preserve">Конкурсный о</w:t>
      </w:r>
      <w:r>
        <w:rPr>
          <w:sz w:val="28"/>
          <w:szCs w:val="28"/>
        </w:rPr>
        <w:t xml:space="preserve">тбор осуществляется на основании следующих критериев: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4"/>
        <w:ind w:firstLine="709"/>
        <w:jc w:val="both"/>
        <w:widowControl w:val="off"/>
        <w:tabs>
          <w:tab w:val="left" w:pos="9356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5499"/>
        <w:gridCol w:w="3919"/>
      </w:tblGrid>
      <w:tr>
        <w:tblPrEx/>
        <w:trPr/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п/п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49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Критерии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91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баллов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567" w:type="dxa"/>
            <w:vAlign w:val="top"/>
            <w:vMerge w:val="restart"/>
            <w:textDirection w:val="lrTb"/>
            <w:noWrap w:val="false"/>
          </w:tcPr>
          <w:p>
            <w:pPr>
              <w:pStyle w:val="854"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W w:w="9418" w:type="dxa"/>
            <w:vAlign w:val="top"/>
            <w:textDirection w:val="lrTb"/>
            <w:noWrap w:val="false"/>
          </w:tcPr>
          <w:p>
            <w:pPr>
              <w:pStyle w:val="854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Наличие туристических объектов, расположенных вблизи проекта в радиусе 30 км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567" w:type="dxa"/>
            <w:vAlign w:val="top"/>
            <w:vMerge w:val="continue"/>
            <w:textDirection w:val="lrTb"/>
            <w:noWrap w:val="false"/>
          </w:tcPr>
          <w:p>
            <w:pPr>
              <w:pStyle w:val="854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499" w:type="dxa"/>
            <w:vAlign w:val="top"/>
            <w:textDirection w:val="lrTb"/>
            <w:noWrap w:val="false"/>
          </w:tcPr>
          <w:p>
            <w:pPr>
              <w:pStyle w:val="854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более 30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91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567" w:type="dxa"/>
            <w:vAlign w:val="top"/>
            <w:vMerge w:val="continue"/>
            <w:textDirection w:val="lrTb"/>
            <w:noWrap w:val="false"/>
          </w:tcPr>
          <w:p>
            <w:pPr>
              <w:pStyle w:val="854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499" w:type="dxa"/>
            <w:vAlign w:val="top"/>
            <w:textDirection w:val="lrTb"/>
            <w:noWrap w:val="false"/>
          </w:tcPr>
          <w:p>
            <w:pPr>
              <w:pStyle w:val="854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 – 30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91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567" w:type="dxa"/>
            <w:vAlign w:val="top"/>
            <w:vMerge w:val="continue"/>
            <w:textDirection w:val="lrTb"/>
            <w:noWrap w:val="false"/>
          </w:tcPr>
          <w:p>
            <w:pPr>
              <w:pStyle w:val="854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499" w:type="dxa"/>
            <w:vAlign w:val="top"/>
            <w:textDirection w:val="lrTb"/>
            <w:noWrap w:val="false"/>
          </w:tcPr>
          <w:p>
            <w:pPr>
              <w:pStyle w:val="854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10 - 20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91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567" w:type="dxa"/>
            <w:vAlign w:val="top"/>
            <w:vMerge w:val="continue"/>
            <w:textDirection w:val="lrTb"/>
            <w:noWrap w:val="false"/>
          </w:tcPr>
          <w:p>
            <w:pPr>
              <w:pStyle w:val="854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499" w:type="dxa"/>
            <w:vAlign w:val="top"/>
            <w:textDirection w:val="lrTb"/>
            <w:noWrap w:val="false"/>
          </w:tcPr>
          <w:p>
            <w:pPr>
              <w:pStyle w:val="854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менее 10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91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567" w:type="dxa"/>
            <w:vAlign w:val="top"/>
            <w:vMerge w:val="restart"/>
            <w:textDirection w:val="lrTb"/>
            <w:noWrap w:val="false"/>
          </w:tcPr>
          <w:p>
            <w:pPr>
              <w:pStyle w:val="854"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W w:w="9418" w:type="dxa"/>
            <w:vAlign w:val="top"/>
            <w:textDirection w:val="lrTb"/>
            <w:noWrap w:val="false"/>
          </w:tcPr>
          <w:p>
            <w:pPr>
              <w:pStyle w:val="854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мероприятий, направленных на развитие сферы туризма и туристических ресурсов (в соответствии с пунктом 5 настоящего Порядка), реализованных в результате предоставления субсидии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567" w:type="dxa"/>
            <w:vAlign w:val="top"/>
            <w:vMerge w:val="continue"/>
            <w:textDirection w:val="lrTb"/>
            <w:noWrap w:val="false"/>
          </w:tcPr>
          <w:p>
            <w:pPr>
              <w:pStyle w:val="854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499" w:type="dxa"/>
            <w:vAlign w:val="top"/>
            <w:textDirection w:val="lrTb"/>
            <w:noWrap w:val="false"/>
          </w:tcPr>
          <w:p>
            <w:pPr>
              <w:pStyle w:val="854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91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567" w:type="dxa"/>
            <w:vAlign w:val="top"/>
            <w:vMerge w:val="continue"/>
            <w:textDirection w:val="lrTb"/>
            <w:noWrap w:val="false"/>
          </w:tcPr>
          <w:p>
            <w:pPr>
              <w:pStyle w:val="854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499" w:type="dxa"/>
            <w:vAlign w:val="top"/>
            <w:textDirection w:val="lrTb"/>
            <w:noWrap w:val="false"/>
          </w:tcPr>
          <w:p>
            <w:pPr>
              <w:pStyle w:val="854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91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567" w:type="dxa"/>
            <w:vAlign w:val="top"/>
            <w:vMerge w:val="continue"/>
            <w:textDirection w:val="lrTb"/>
            <w:noWrap w:val="false"/>
          </w:tcPr>
          <w:p>
            <w:pPr>
              <w:pStyle w:val="854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499" w:type="dxa"/>
            <w:vAlign w:val="top"/>
            <w:textDirection w:val="lrTb"/>
            <w:noWrap w:val="false"/>
          </w:tcPr>
          <w:p>
            <w:pPr>
              <w:pStyle w:val="854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91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567" w:type="dxa"/>
            <w:vAlign w:val="top"/>
            <w:vMerge w:val="continue"/>
            <w:textDirection w:val="lrTb"/>
            <w:noWrap w:val="false"/>
          </w:tcPr>
          <w:p>
            <w:pPr>
              <w:pStyle w:val="854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499" w:type="dxa"/>
            <w:vAlign w:val="top"/>
            <w:textDirection w:val="lrTb"/>
            <w:noWrap w:val="false"/>
          </w:tcPr>
          <w:p>
            <w:pPr>
              <w:pStyle w:val="854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более 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91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567" w:type="dxa"/>
            <w:vAlign w:val="top"/>
            <w:vMerge w:val="restart"/>
            <w:textDirection w:val="lrTb"/>
            <w:noWrap w:val="false"/>
          </w:tcPr>
          <w:p>
            <w:pPr>
              <w:pStyle w:val="854"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W w:w="9418" w:type="dxa"/>
            <w:vAlign w:val="top"/>
            <w:textDirection w:val="lrTb"/>
            <w:noWrap w:val="false"/>
          </w:tcPr>
          <w:p>
            <w:pPr>
              <w:pStyle w:val="854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Соответствие проекта актуальным и перспективным видам туризма согласно </w:t>
            </w:r>
            <w:r>
              <w:rPr>
                <w:rFonts w:ascii="Arial" w:hAnsi="Arial" w:cs="Arial"/>
                <w:sz w:val="20"/>
                <w:szCs w:val="22"/>
              </w:rPr>
              <w:fldChar w:fldCharType="begin"/>
            </w:r>
            <w:r>
              <w:rPr>
                <w:rFonts w:ascii="Arial" w:hAnsi="Arial" w:cs="Arial"/>
                <w:sz w:val="20"/>
                <w:szCs w:val="22"/>
              </w:rPr>
              <w:instrText xml:space="preserve"> HYPERLINK "consultantplus://offline/ref=6BF47E39319B04FB6DD97F931B545FFA44850784EE14A5ADDEA6CBCC343C93E25B3AD4D7E56EE97178E5B974EFD13BD0BBE0C5DABED56DA0E08A8D19b5v5F" \h </w:instrText>
            </w:r>
            <w:r>
              <w:rPr>
                <w:rFonts w:ascii="Arial" w:hAnsi="Arial" w:cs="Arial"/>
                <w:sz w:val="20"/>
                <w:szCs w:val="22"/>
              </w:rPr>
              <w:fldChar w:fldCharType="separate"/>
            </w:r>
            <w:r>
              <w:rPr>
                <w:sz w:val="28"/>
                <w:szCs w:val="28"/>
              </w:rPr>
              <w:t xml:space="preserve">Стратегии</w:t>
            </w:r>
            <w:r>
              <w:rPr>
                <w:sz w:val="28"/>
                <w:szCs w:val="28"/>
              </w:rPr>
              <w:fldChar w:fldCharType="end"/>
            </w:r>
            <w:r>
              <w:rPr>
                <w:sz w:val="28"/>
                <w:szCs w:val="28"/>
              </w:rPr>
              <w:t xml:space="preserve"> социально-экономического развития Новосибирской области до 2030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567" w:type="dxa"/>
            <w:vAlign w:val="top"/>
            <w:vMerge w:val="continue"/>
            <w:textDirection w:val="lrTb"/>
            <w:noWrap w:val="false"/>
          </w:tcPr>
          <w:p>
            <w:pPr>
              <w:pStyle w:val="854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499" w:type="dxa"/>
            <w:vAlign w:val="top"/>
            <w:textDirection w:val="lrTb"/>
            <w:noWrap w:val="false"/>
          </w:tcPr>
          <w:p>
            <w:pPr>
              <w:pStyle w:val="854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соответствует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91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567" w:type="dxa"/>
            <w:vAlign w:val="top"/>
            <w:vMerge w:val="continue"/>
            <w:textDirection w:val="lrTb"/>
            <w:noWrap w:val="false"/>
          </w:tcPr>
          <w:p>
            <w:pPr>
              <w:pStyle w:val="854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499" w:type="dxa"/>
            <w:vAlign w:val="top"/>
            <w:textDirection w:val="lrTb"/>
            <w:noWrap w:val="false"/>
          </w:tcPr>
          <w:p>
            <w:pPr>
              <w:pStyle w:val="854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соответствие одному виду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91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567" w:type="dxa"/>
            <w:vAlign w:val="top"/>
            <w:vMerge w:val="continue"/>
            <w:textDirection w:val="lrTb"/>
            <w:noWrap w:val="false"/>
          </w:tcPr>
          <w:p>
            <w:pPr>
              <w:pStyle w:val="854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499" w:type="dxa"/>
            <w:vAlign w:val="top"/>
            <w:textDirection w:val="lrTb"/>
            <w:noWrap w:val="false"/>
          </w:tcPr>
          <w:p>
            <w:pPr>
              <w:pStyle w:val="854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соответствие двум видам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91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567" w:type="dxa"/>
            <w:vAlign w:val="top"/>
            <w:vMerge w:val="continue"/>
            <w:textDirection w:val="lrTb"/>
            <w:noWrap w:val="false"/>
          </w:tcPr>
          <w:p>
            <w:pPr>
              <w:pStyle w:val="854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499" w:type="dxa"/>
            <w:vAlign w:val="top"/>
            <w:textDirection w:val="lrTb"/>
            <w:noWrap w:val="false"/>
          </w:tcPr>
          <w:p>
            <w:pPr>
              <w:pStyle w:val="854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соответствие более чем двум видам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91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567" w:type="dxa"/>
            <w:vAlign w:val="top"/>
            <w:vMerge w:val="restart"/>
            <w:textDirection w:val="lrTb"/>
            <w:noWrap w:val="false"/>
          </w:tcPr>
          <w:p>
            <w:pPr>
              <w:pStyle w:val="854"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W w:w="9418" w:type="dxa"/>
            <w:vAlign w:val="top"/>
            <w:textDirection w:val="lrTb"/>
            <w:noWrap w:val="false"/>
          </w:tcPr>
          <w:p>
            <w:pPr>
              <w:pStyle w:val="854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Наличие поручения или распоряжения Губернатора Новосибирской области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567" w:type="dxa"/>
            <w:vAlign w:val="top"/>
            <w:vMerge w:val="continue"/>
            <w:textDirection w:val="lrTb"/>
            <w:noWrap w:val="false"/>
          </w:tcPr>
          <w:p>
            <w:pPr>
              <w:pStyle w:val="854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499" w:type="dxa"/>
            <w:vAlign w:val="top"/>
            <w:textDirection w:val="lrTb"/>
            <w:noWrap w:val="false"/>
          </w:tcPr>
          <w:p>
            <w:pPr>
              <w:pStyle w:val="854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91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567" w:type="dxa"/>
            <w:vAlign w:val="top"/>
            <w:vMerge w:val="continue"/>
            <w:textDirection w:val="lrTb"/>
            <w:noWrap w:val="false"/>
          </w:tcPr>
          <w:p>
            <w:pPr>
              <w:pStyle w:val="854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499" w:type="dxa"/>
            <w:vAlign w:val="top"/>
            <w:textDirection w:val="lrTb"/>
            <w:noWrap w:val="false"/>
          </w:tcPr>
          <w:p>
            <w:pPr>
              <w:pStyle w:val="854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91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567" w:type="dxa"/>
            <w:vAlign w:val="top"/>
            <w:vMerge w:val="restart"/>
            <w:textDirection w:val="lrTb"/>
            <w:noWrap w:val="false"/>
          </w:tcPr>
          <w:p>
            <w:pPr>
              <w:pStyle w:val="854"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W w:w="9418" w:type="dxa"/>
            <w:vAlign w:val="top"/>
            <w:textDirection w:val="lrTb"/>
            <w:noWrap w:val="false"/>
          </w:tcPr>
          <w:p>
            <w:pPr>
              <w:pStyle w:val="854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Получение финансирования из бюджета Новосибирской области на цели, указанные в заявке, на реализацию проектов в рамках предыдущего конкурсного отбора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567" w:type="dxa"/>
            <w:vAlign w:val="top"/>
            <w:vMerge w:val="continue"/>
            <w:textDirection w:val="lrTb"/>
            <w:noWrap w:val="false"/>
          </w:tcPr>
          <w:p>
            <w:pPr>
              <w:pStyle w:val="854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499" w:type="dxa"/>
            <w:vAlign w:val="top"/>
            <w:textDirection w:val="lrTb"/>
            <w:noWrap w:val="false"/>
          </w:tcPr>
          <w:p>
            <w:pPr>
              <w:pStyle w:val="854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91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567" w:type="dxa"/>
            <w:vAlign w:val="top"/>
            <w:vMerge w:val="continue"/>
            <w:textDirection w:val="lrTb"/>
            <w:noWrap w:val="false"/>
          </w:tcPr>
          <w:p>
            <w:pPr>
              <w:pStyle w:val="854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499" w:type="dxa"/>
            <w:vAlign w:val="top"/>
            <w:textDirection w:val="lrTb"/>
            <w:noWrap w:val="false"/>
          </w:tcPr>
          <w:p>
            <w:pPr>
              <w:pStyle w:val="854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91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567" w:type="dxa"/>
            <w:vAlign w:val="top"/>
            <w:vMerge w:val="restart"/>
            <w:textDirection w:val="lrTb"/>
            <w:noWrap w:val="false"/>
          </w:tcPr>
          <w:p>
            <w:pPr>
              <w:pStyle w:val="854"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W w:w="9418" w:type="dxa"/>
            <w:vAlign w:val="top"/>
            <w:textDirection w:val="lrTb"/>
            <w:noWrap w:val="false"/>
          </w:tcPr>
          <w:p>
            <w:pPr>
              <w:pStyle w:val="854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Наличие на территории муниципального образования в текущем году памятных или юбилейных дат и мероприятий по их празднованию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567" w:type="dxa"/>
            <w:vAlign w:val="top"/>
            <w:vMerge w:val="continue"/>
            <w:textDirection w:val="lrTb"/>
            <w:noWrap w:val="false"/>
          </w:tcPr>
          <w:p>
            <w:pPr>
              <w:pStyle w:val="854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499" w:type="dxa"/>
            <w:vAlign w:val="top"/>
            <w:textDirection w:val="lrTb"/>
            <w:noWrap w:val="false"/>
          </w:tcPr>
          <w:p>
            <w:pPr>
              <w:pStyle w:val="854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91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567" w:type="dxa"/>
            <w:vAlign w:val="top"/>
            <w:vMerge w:val="continue"/>
            <w:textDirection w:val="lrTb"/>
            <w:noWrap w:val="false"/>
          </w:tcPr>
          <w:p>
            <w:pPr>
              <w:pStyle w:val="854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499" w:type="dxa"/>
            <w:vAlign w:val="top"/>
            <w:textDirection w:val="lrTb"/>
            <w:noWrap w:val="false"/>
          </w:tcPr>
          <w:p>
            <w:pPr>
              <w:pStyle w:val="854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91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567" w:type="dxa"/>
            <w:vAlign w:val="top"/>
            <w:vMerge w:val="restart"/>
            <w:textDirection w:val="lrTb"/>
            <w:noWrap w:val="false"/>
          </w:tcPr>
          <w:p>
            <w:pPr>
              <w:pStyle w:val="854"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W w:w="9418" w:type="dxa"/>
            <w:vAlign w:val="top"/>
            <w:textDirection w:val="lrTb"/>
            <w:noWrap w:val="false"/>
          </w:tcPr>
          <w:p>
            <w:pPr>
              <w:pStyle w:val="854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Наличие документа стратегического планирования по развитию сферы туризма в данном муниципальном образовании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567" w:type="dxa"/>
            <w:vAlign w:val="top"/>
            <w:vMerge w:val="continue"/>
            <w:textDirection w:val="lrTb"/>
            <w:noWrap w:val="false"/>
          </w:tcPr>
          <w:p>
            <w:pPr>
              <w:pStyle w:val="854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499" w:type="dxa"/>
            <w:vAlign w:val="top"/>
            <w:textDirection w:val="lrTb"/>
            <w:noWrap w:val="false"/>
          </w:tcPr>
          <w:p>
            <w:pPr>
              <w:pStyle w:val="854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91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567" w:type="dxa"/>
            <w:vAlign w:val="top"/>
            <w:vMerge w:val="continue"/>
            <w:textDirection w:val="lrTb"/>
            <w:noWrap w:val="false"/>
          </w:tcPr>
          <w:p>
            <w:pPr>
              <w:pStyle w:val="854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499" w:type="dxa"/>
            <w:vAlign w:val="top"/>
            <w:textDirection w:val="lrTb"/>
            <w:noWrap w:val="false"/>
          </w:tcPr>
          <w:p>
            <w:pPr>
              <w:pStyle w:val="854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91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567" w:type="dxa"/>
            <w:vAlign w:val="top"/>
            <w:vMerge w:val="restart"/>
            <w:textDirection w:val="lrTb"/>
            <w:noWrap w:val="false"/>
          </w:tcPr>
          <w:p>
            <w:pPr>
              <w:pStyle w:val="854"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2"/>
            <w:tcW w:w="9418" w:type="dxa"/>
            <w:vAlign w:val="top"/>
            <w:textDirection w:val="lrTb"/>
            <w:noWrap w:val="false"/>
          </w:tcPr>
          <w:p>
            <w:pPr>
              <w:pStyle w:val="854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Наличие опыта успешной и своевременной реализации проекта, направленного на развитие сферы туризма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567" w:type="dxa"/>
            <w:vAlign w:val="top"/>
            <w:vMerge w:val="continue"/>
            <w:textDirection w:val="lrTb"/>
            <w:noWrap w:val="false"/>
          </w:tcPr>
          <w:p>
            <w:pPr>
              <w:pStyle w:val="854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499" w:type="dxa"/>
            <w:vAlign w:val="top"/>
            <w:textDirection w:val="lrTb"/>
            <w:noWrap w:val="false"/>
          </w:tcPr>
          <w:p>
            <w:pPr>
              <w:pStyle w:val="854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91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W w:w="567" w:type="dxa"/>
            <w:vAlign w:val="top"/>
            <w:vMerge w:val="continue"/>
            <w:textDirection w:val="lrTb"/>
            <w:noWrap w:val="false"/>
          </w:tcPr>
          <w:p>
            <w:pPr>
              <w:pStyle w:val="854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5499" w:type="dxa"/>
            <w:vAlign w:val="top"/>
            <w:textDirection w:val="lrTb"/>
            <w:noWrap w:val="false"/>
          </w:tcPr>
          <w:p>
            <w:pPr>
              <w:pStyle w:val="854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W w:w="3919" w:type="dxa"/>
            <w:vAlign w:val="top"/>
            <w:textDirection w:val="lrTb"/>
            <w:noWrap w:val="false"/>
          </w:tcPr>
          <w:p>
            <w:pPr>
              <w:pStyle w:val="854"/>
              <w:jc w:val="center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54"/>
        <w:ind w:firstLine="709"/>
        <w:jc w:val="both"/>
        <w:widowControl w:val="off"/>
        <w:tabs>
          <w:tab w:val="left" w:pos="9356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4"/>
        <w:contextualSpacing w:val="0"/>
        <w:ind w:firstLine="709"/>
        <w:jc w:val="both"/>
        <w:widowControl w:val="off"/>
        <w:tabs>
          <w:tab w:val="left" w:pos="9356" w:leader="none"/>
        </w:tabs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9</w:t>
      </w:r>
      <w:r>
        <w:rPr>
          <w:sz w:val="28"/>
          <w:szCs w:val="28"/>
        </w:rPr>
        <w:t xml:space="preserve">. </w:t>
      </w:r>
      <w:r>
        <w:rPr>
          <w:sz w:val="28"/>
          <w:szCs w:val="28"/>
        </w:rPr>
        <w:t xml:space="preserve">Заявка направляется в МЭР НСО с сопроводительным письмом, подписанным главой администрации муниципального образования или назначенным исполняющим обязанности в отсутствие главы администрации муниципального образования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одном </w:t>
      </w:r>
      <w:r>
        <w:rPr>
          <w:sz w:val="28"/>
          <w:szCs w:val="28"/>
        </w:rPr>
        <w:t xml:space="preserve">экземпляре</w:t>
      </w:r>
      <w:r>
        <w:rPr>
          <w:sz w:val="28"/>
          <w:szCs w:val="28"/>
        </w:rPr>
        <w:t xml:space="preserve">, и включает следующий пакет документов: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4"/>
        <w:contextualSpacing w:val="0"/>
        <w:ind w:firstLine="709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1)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заявление о предоставлении субсидии по</w:t>
      </w:r>
      <w:r>
        <w:rPr>
          <w:sz w:val="28"/>
          <w:szCs w:val="28"/>
        </w:rPr>
        <w:t xml:space="preserve"> прилагаемой к настоящему объявлению форме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4"/>
        <w:contextualSpacing w:val="0"/>
        <w:ind w:firstLine="709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2)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описание проекта в виде презентации (визуализация проекта на период оформления заявки и на период окончания реализации), календарный план реализации проекта и смету расходов на его осуществление, в том</w:t>
      </w:r>
      <w:r>
        <w:rPr>
          <w:sz w:val="28"/>
          <w:szCs w:val="28"/>
        </w:rPr>
        <w:t xml:space="preserve"> числе за счет средств субсидии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4"/>
        <w:contextualSpacing w:val="0"/>
        <w:ind w:firstLine="709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3)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заверенную копию н</w:t>
      </w:r>
      <w:r>
        <w:rPr>
          <w:sz w:val="28"/>
          <w:szCs w:val="28"/>
        </w:rPr>
        <w:t xml:space="preserve">ормативного правового акта муниципального образования, утверждающего порядок использования средств местного бюджета, требования о принятии которого установлены бюджетным законодательством Российской Федерации и нормативными правовыми актами, регулирующими </w:t>
      </w:r>
      <w:r>
        <w:rPr>
          <w:sz w:val="28"/>
          <w:szCs w:val="28"/>
        </w:rPr>
        <w:t xml:space="preserve">бюджетные правоотношения (в случае если указанные расходные обязательства софинансируются за счет средств субсидий и предусматривают предоставление из местного бюджета межбюджетных трансфертов бюджетам городских и сельских поселений Новосибирской области);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4"/>
        <w:contextualSpacing w:val="0"/>
        <w:ind w:firstLine="709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4) документ, подтверждающий право собственности на земельный участок или право распоряжаться участк</w:t>
      </w:r>
      <w:r>
        <w:rPr>
          <w:sz w:val="28"/>
          <w:szCs w:val="28"/>
        </w:rPr>
        <w:t xml:space="preserve">ом, на котором предполагается реализация проекта. При наличии зарегистрированного права собственности у муниципального образования Новосибирской области на такой земельный участок муниципальное образование Новосибирской области вправе предоставить его када</w:t>
      </w:r>
      <w:r>
        <w:rPr>
          <w:sz w:val="28"/>
          <w:szCs w:val="28"/>
        </w:rPr>
        <w:t xml:space="preserve">стровый номер, на основании которого МЭР НСО запрашивает полную информацию относительно земельного участка посредством межведомственного запроса, в том числе в электронной форме с использованием единой системы межведомственного электронного взаимодействия;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4"/>
        <w:contextualSpacing w:val="0"/>
        <w:ind w:firstLine="709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5) документ, подтверждающий предоставление органом местного самоуправления земельного участка под строительство (при наличии);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4"/>
        <w:contextualSpacing w:val="0"/>
        <w:ind w:firstLine="709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6) копия проектной и рабочей документации (при наличии);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4"/>
        <w:contextualSpacing w:val="0"/>
        <w:ind w:firstLine="709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7) копия положительного заключения государственной экспертизы на проектную документацию и результаты инженерных изысканий (при наличии);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4"/>
        <w:contextualSpacing w:val="0"/>
        <w:ind w:firstLine="709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8) копия положительного заключения о достоверности определения сметной стоимости строительства объекта (при наличии);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4"/>
        <w:contextualSpacing w:val="0"/>
        <w:ind w:firstLine="709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9) копия муниципального контракта и дополнительных соглаш</w:t>
      </w:r>
      <w:r>
        <w:rPr>
          <w:sz w:val="28"/>
          <w:szCs w:val="28"/>
        </w:rPr>
        <w:t xml:space="preserve">ений на выполнение подрядных работ (строительно-монтажных работ, работ по авторскому надзору и строительному контролю) в случае предоставления субсидии на выполнение работ по строительству, начатых в предыдущие годы (по переходящим объектам) (при наличии);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4"/>
        <w:contextualSpacing w:val="0"/>
        <w:ind w:firstLine="709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10) копия разрешения на строительство (при наличии);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4"/>
        <w:contextualSpacing w:val="0"/>
        <w:ind w:firstLine="709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11) копия технических условий и необходимых согласований с организациями, осуществляющими эксплуатацию сетей инженерно-технического обеспечения, сооружений (при наличии);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4"/>
        <w:contextualSpacing w:val="0"/>
        <w:ind w:firstLine="709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12) сводные сметные расчеты стоимости строительства (при наличии);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4"/>
        <w:contextualSpacing w:val="0"/>
        <w:ind w:firstLine="709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13) информация о наличии на территории муниципального образования в текущем году планов по проведению мероприятий, посвященных празднованию на муниципальном уровне памятных или юбилейных дат.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4"/>
        <w:ind w:firstLine="709"/>
        <w:jc w:val="right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4"/>
        <w:ind w:firstLine="709"/>
        <w:jc w:val="right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4"/>
        <w:ind w:firstLine="709"/>
        <w:jc w:val="right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54"/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418" w:header="709" w:footer="709" w:gutter="0"/>
      <w:pgNumType w:start="1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7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PAGE   \* MERGEFORMAT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 xml:space="preserve">2</w:t>
    </w:r>
    <w:r>
      <w:rPr>
        <w:sz w:val="20"/>
        <w:szCs w:val="20"/>
      </w:rPr>
      <w:fldChar w:fldCharType="end"/>
    </w:r>
    <w:r>
      <w:rPr>
        <w:sz w:val="20"/>
        <w:szCs w:val="20"/>
      </w:rPr>
    </w:r>
    <w:r>
      <w:rPr>
        <w:sz w:val="20"/>
        <w:szCs w:val="20"/>
      </w:rPr>
    </w:r>
  </w:p>
  <w:p>
    <w:pPr>
      <w:pStyle w:val="86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6">
    <w:name w:val="Heading 1"/>
    <w:basedOn w:val="854"/>
    <w:next w:val="854"/>
    <w:link w:val="67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7">
    <w:name w:val="Heading 1 Char"/>
    <w:link w:val="676"/>
    <w:uiPriority w:val="9"/>
    <w:rPr>
      <w:rFonts w:ascii="Arial" w:hAnsi="Arial" w:eastAsia="Arial" w:cs="Arial"/>
      <w:sz w:val="40"/>
      <w:szCs w:val="40"/>
    </w:rPr>
  </w:style>
  <w:style w:type="paragraph" w:styleId="678">
    <w:name w:val="Heading 2"/>
    <w:basedOn w:val="854"/>
    <w:next w:val="854"/>
    <w:link w:val="67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9">
    <w:name w:val="Heading 2 Char"/>
    <w:link w:val="678"/>
    <w:uiPriority w:val="9"/>
    <w:rPr>
      <w:rFonts w:ascii="Arial" w:hAnsi="Arial" w:eastAsia="Arial" w:cs="Arial"/>
      <w:sz w:val="34"/>
    </w:rPr>
  </w:style>
  <w:style w:type="paragraph" w:styleId="680">
    <w:name w:val="Heading 3"/>
    <w:basedOn w:val="854"/>
    <w:next w:val="854"/>
    <w:link w:val="68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1">
    <w:name w:val="Heading 3 Char"/>
    <w:link w:val="680"/>
    <w:uiPriority w:val="9"/>
    <w:rPr>
      <w:rFonts w:ascii="Arial" w:hAnsi="Arial" w:eastAsia="Arial" w:cs="Arial"/>
      <w:sz w:val="30"/>
      <w:szCs w:val="30"/>
    </w:rPr>
  </w:style>
  <w:style w:type="paragraph" w:styleId="682">
    <w:name w:val="Heading 4"/>
    <w:basedOn w:val="854"/>
    <w:next w:val="854"/>
    <w:link w:val="68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3">
    <w:name w:val="Heading 4 Char"/>
    <w:link w:val="682"/>
    <w:uiPriority w:val="9"/>
    <w:rPr>
      <w:rFonts w:ascii="Arial" w:hAnsi="Arial" w:eastAsia="Arial" w:cs="Arial"/>
      <w:b/>
      <w:bCs/>
      <w:sz w:val="26"/>
      <w:szCs w:val="26"/>
    </w:rPr>
  </w:style>
  <w:style w:type="paragraph" w:styleId="684">
    <w:name w:val="Heading 5"/>
    <w:basedOn w:val="854"/>
    <w:next w:val="854"/>
    <w:link w:val="68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5">
    <w:name w:val="Heading 5 Char"/>
    <w:link w:val="684"/>
    <w:uiPriority w:val="9"/>
    <w:rPr>
      <w:rFonts w:ascii="Arial" w:hAnsi="Arial" w:eastAsia="Arial" w:cs="Arial"/>
      <w:b/>
      <w:bCs/>
      <w:sz w:val="24"/>
      <w:szCs w:val="24"/>
    </w:rPr>
  </w:style>
  <w:style w:type="paragraph" w:styleId="686">
    <w:name w:val="Heading 6"/>
    <w:basedOn w:val="854"/>
    <w:next w:val="854"/>
    <w:link w:val="68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7">
    <w:name w:val="Heading 6 Char"/>
    <w:link w:val="686"/>
    <w:uiPriority w:val="9"/>
    <w:rPr>
      <w:rFonts w:ascii="Arial" w:hAnsi="Arial" w:eastAsia="Arial" w:cs="Arial"/>
      <w:b/>
      <w:bCs/>
      <w:sz w:val="22"/>
      <w:szCs w:val="22"/>
    </w:rPr>
  </w:style>
  <w:style w:type="paragraph" w:styleId="688">
    <w:name w:val="Heading 7"/>
    <w:basedOn w:val="854"/>
    <w:next w:val="854"/>
    <w:link w:val="68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9">
    <w:name w:val="Heading 7 Char"/>
    <w:link w:val="68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0">
    <w:name w:val="Heading 8"/>
    <w:basedOn w:val="854"/>
    <w:next w:val="854"/>
    <w:link w:val="69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1">
    <w:name w:val="Heading 8 Char"/>
    <w:link w:val="690"/>
    <w:uiPriority w:val="9"/>
    <w:rPr>
      <w:rFonts w:ascii="Arial" w:hAnsi="Arial" w:eastAsia="Arial" w:cs="Arial"/>
      <w:i/>
      <w:iCs/>
      <w:sz w:val="22"/>
      <w:szCs w:val="22"/>
    </w:rPr>
  </w:style>
  <w:style w:type="paragraph" w:styleId="692">
    <w:name w:val="Heading 9"/>
    <w:basedOn w:val="854"/>
    <w:next w:val="854"/>
    <w:link w:val="69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3">
    <w:name w:val="Heading 9 Char"/>
    <w:link w:val="692"/>
    <w:uiPriority w:val="9"/>
    <w:rPr>
      <w:rFonts w:ascii="Arial" w:hAnsi="Arial" w:eastAsia="Arial" w:cs="Arial"/>
      <w:i/>
      <w:iCs/>
      <w:sz w:val="21"/>
      <w:szCs w:val="21"/>
    </w:rPr>
  </w:style>
  <w:style w:type="paragraph" w:styleId="694">
    <w:name w:val="List Paragraph"/>
    <w:basedOn w:val="854"/>
    <w:uiPriority w:val="34"/>
    <w:qFormat/>
    <w:pPr>
      <w:contextualSpacing/>
      <w:ind w:left="720"/>
    </w:pPr>
  </w:style>
  <w:style w:type="paragraph" w:styleId="695">
    <w:name w:val="No Spacing"/>
    <w:uiPriority w:val="1"/>
    <w:qFormat/>
    <w:pPr>
      <w:spacing w:before="0" w:after="0" w:line="240" w:lineRule="auto"/>
    </w:pPr>
  </w:style>
  <w:style w:type="paragraph" w:styleId="696">
    <w:name w:val="Title"/>
    <w:basedOn w:val="854"/>
    <w:next w:val="854"/>
    <w:link w:val="69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7">
    <w:name w:val="Title Char"/>
    <w:link w:val="696"/>
    <w:uiPriority w:val="10"/>
    <w:rPr>
      <w:sz w:val="48"/>
      <w:szCs w:val="48"/>
    </w:rPr>
  </w:style>
  <w:style w:type="paragraph" w:styleId="698">
    <w:name w:val="Subtitle"/>
    <w:basedOn w:val="854"/>
    <w:next w:val="854"/>
    <w:link w:val="699"/>
    <w:uiPriority w:val="11"/>
    <w:qFormat/>
    <w:pPr>
      <w:spacing w:before="200" w:after="200"/>
    </w:pPr>
    <w:rPr>
      <w:sz w:val="24"/>
      <w:szCs w:val="24"/>
    </w:rPr>
  </w:style>
  <w:style w:type="character" w:styleId="699">
    <w:name w:val="Subtitle Char"/>
    <w:link w:val="698"/>
    <w:uiPriority w:val="11"/>
    <w:rPr>
      <w:sz w:val="24"/>
      <w:szCs w:val="24"/>
    </w:rPr>
  </w:style>
  <w:style w:type="paragraph" w:styleId="700">
    <w:name w:val="Quote"/>
    <w:basedOn w:val="854"/>
    <w:next w:val="854"/>
    <w:link w:val="701"/>
    <w:uiPriority w:val="29"/>
    <w:qFormat/>
    <w:pPr>
      <w:ind w:left="720" w:right="720"/>
    </w:pPr>
    <w:rPr>
      <w:i/>
    </w:rPr>
  </w:style>
  <w:style w:type="character" w:styleId="701">
    <w:name w:val="Quote Char"/>
    <w:link w:val="700"/>
    <w:uiPriority w:val="29"/>
    <w:rPr>
      <w:i/>
    </w:rPr>
  </w:style>
  <w:style w:type="paragraph" w:styleId="702">
    <w:name w:val="Intense Quote"/>
    <w:basedOn w:val="854"/>
    <w:next w:val="854"/>
    <w:link w:val="70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3">
    <w:name w:val="Intense Quote Char"/>
    <w:link w:val="702"/>
    <w:uiPriority w:val="30"/>
    <w:rPr>
      <w:i/>
    </w:rPr>
  </w:style>
  <w:style w:type="paragraph" w:styleId="704">
    <w:name w:val="Header"/>
    <w:basedOn w:val="854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5">
    <w:name w:val="Header Char"/>
    <w:link w:val="704"/>
    <w:uiPriority w:val="99"/>
  </w:style>
  <w:style w:type="paragraph" w:styleId="706">
    <w:name w:val="Footer"/>
    <w:basedOn w:val="854"/>
    <w:link w:val="70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7">
    <w:name w:val="Footer Char"/>
    <w:link w:val="706"/>
    <w:uiPriority w:val="99"/>
  </w:style>
  <w:style w:type="paragraph" w:styleId="708">
    <w:name w:val="Caption"/>
    <w:basedOn w:val="854"/>
    <w:next w:val="85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9">
    <w:name w:val="Caption Char"/>
    <w:basedOn w:val="708"/>
    <w:link w:val="706"/>
    <w:uiPriority w:val="99"/>
  </w:style>
  <w:style w:type="table" w:styleId="71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6">
    <w:name w:val="Hyperlink"/>
    <w:uiPriority w:val="99"/>
    <w:unhideWhenUsed/>
    <w:rPr>
      <w:color w:val="0000ff" w:themeColor="hyperlink"/>
      <w:u w:val="single"/>
    </w:rPr>
  </w:style>
  <w:style w:type="paragraph" w:styleId="837">
    <w:name w:val="footnote text"/>
    <w:basedOn w:val="854"/>
    <w:link w:val="838"/>
    <w:uiPriority w:val="99"/>
    <w:semiHidden/>
    <w:unhideWhenUsed/>
    <w:pPr>
      <w:spacing w:after="40" w:line="240" w:lineRule="auto"/>
    </w:pPr>
    <w:rPr>
      <w:sz w:val="18"/>
    </w:rPr>
  </w:style>
  <w:style w:type="character" w:styleId="838">
    <w:name w:val="Footnote Text Char"/>
    <w:link w:val="837"/>
    <w:uiPriority w:val="99"/>
    <w:rPr>
      <w:sz w:val="18"/>
    </w:rPr>
  </w:style>
  <w:style w:type="character" w:styleId="839">
    <w:name w:val="footnote reference"/>
    <w:uiPriority w:val="99"/>
    <w:unhideWhenUsed/>
    <w:rPr>
      <w:vertAlign w:val="superscript"/>
    </w:rPr>
  </w:style>
  <w:style w:type="paragraph" w:styleId="840">
    <w:name w:val="endnote text"/>
    <w:basedOn w:val="854"/>
    <w:link w:val="841"/>
    <w:uiPriority w:val="99"/>
    <w:semiHidden/>
    <w:unhideWhenUsed/>
    <w:pPr>
      <w:spacing w:after="0" w:line="240" w:lineRule="auto"/>
    </w:pPr>
    <w:rPr>
      <w:sz w:val="20"/>
    </w:rPr>
  </w:style>
  <w:style w:type="character" w:styleId="841">
    <w:name w:val="Endnote Text Char"/>
    <w:link w:val="840"/>
    <w:uiPriority w:val="99"/>
    <w:rPr>
      <w:sz w:val="20"/>
    </w:rPr>
  </w:style>
  <w:style w:type="character" w:styleId="842">
    <w:name w:val="endnote reference"/>
    <w:uiPriority w:val="99"/>
    <w:semiHidden/>
    <w:unhideWhenUsed/>
    <w:rPr>
      <w:vertAlign w:val="superscript"/>
    </w:rPr>
  </w:style>
  <w:style w:type="paragraph" w:styleId="843">
    <w:name w:val="toc 1"/>
    <w:basedOn w:val="854"/>
    <w:next w:val="854"/>
    <w:uiPriority w:val="39"/>
    <w:unhideWhenUsed/>
    <w:pPr>
      <w:ind w:left="0" w:right="0" w:firstLine="0"/>
      <w:spacing w:after="57"/>
    </w:pPr>
  </w:style>
  <w:style w:type="paragraph" w:styleId="844">
    <w:name w:val="toc 2"/>
    <w:basedOn w:val="854"/>
    <w:next w:val="854"/>
    <w:uiPriority w:val="39"/>
    <w:unhideWhenUsed/>
    <w:pPr>
      <w:ind w:left="283" w:right="0" w:firstLine="0"/>
      <w:spacing w:after="57"/>
    </w:pPr>
  </w:style>
  <w:style w:type="paragraph" w:styleId="845">
    <w:name w:val="toc 3"/>
    <w:basedOn w:val="854"/>
    <w:next w:val="854"/>
    <w:uiPriority w:val="39"/>
    <w:unhideWhenUsed/>
    <w:pPr>
      <w:ind w:left="567" w:right="0" w:firstLine="0"/>
      <w:spacing w:after="57"/>
    </w:pPr>
  </w:style>
  <w:style w:type="paragraph" w:styleId="846">
    <w:name w:val="toc 4"/>
    <w:basedOn w:val="854"/>
    <w:next w:val="854"/>
    <w:uiPriority w:val="39"/>
    <w:unhideWhenUsed/>
    <w:pPr>
      <w:ind w:left="850" w:right="0" w:firstLine="0"/>
      <w:spacing w:after="57"/>
    </w:pPr>
  </w:style>
  <w:style w:type="paragraph" w:styleId="847">
    <w:name w:val="toc 5"/>
    <w:basedOn w:val="854"/>
    <w:next w:val="854"/>
    <w:uiPriority w:val="39"/>
    <w:unhideWhenUsed/>
    <w:pPr>
      <w:ind w:left="1134" w:right="0" w:firstLine="0"/>
      <w:spacing w:after="57"/>
    </w:pPr>
  </w:style>
  <w:style w:type="paragraph" w:styleId="848">
    <w:name w:val="toc 6"/>
    <w:basedOn w:val="854"/>
    <w:next w:val="854"/>
    <w:uiPriority w:val="39"/>
    <w:unhideWhenUsed/>
    <w:pPr>
      <w:ind w:left="1417" w:right="0" w:firstLine="0"/>
      <w:spacing w:after="57"/>
    </w:pPr>
  </w:style>
  <w:style w:type="paragraph" w:styleId="849">
    <w:name w:val="toc 7"/>
    <w:basedOn w:val="854"/>
    <w:next w:val="854"/>
    <w:uiPriority w:val="39"/>
    <w:unhideWhenUsed/>
    <w:pPr>
      <w:ind w:left="1701" w:right="0" w:firstLine="0"/>
      <w:spacing w:after="57"/>
    </w:pPr>
  </w:style>
  <w:style w:type="paragraph" w:styleId="850">
    <w:name w:val="toc 8"/>
    <w:basedOn w:val="854"/>
    <w:next w:val="854"/>
    <w:uiPriority w:val="39"/>
    <w:unhideWhenUsed/>
    <w:pPr>
      <w:ind w:left="1984" w:right="0" w:firstLine="0"/>
      <w:spacing w:after="57"/>
    </w:pPr>
  </w:style>
  <w:style w:type="paragraph" w:styleId="851">
    <w:name w:val="toc 9"/>
    <w:basedOn w:val="854"/>
    <w:next w:val="854"/>
    <w:uiPriority w:val="39"/>
    <w:unhideWhenUsed/>
    <w:pPr>
      <w:ind w:left="2268" w:right="0" w:firstLine="0"/>
      <w:spacing w:after="57"/>
    </w:pPr>
  </w:style>
  <w:style w:type="paragraph" w:styleId="852">
    <w:name w:val="TOC Heading"/>
    <w:uiPriority w:val="39"/>
    <w:unhideWhenUsed/>
  </w:style>
  <w:style w:type="paragraph" w:styleId="853">
    <w:name w:val="table of figures"/>
    <w:basedOn w:val="854"/>
    <w:next w:val="854"/>
    <w:uiPriority w:val="99"/>
    <w:unhideWhenUsed/>
    <w:pPr>
      <w:spacing w:after="0" w:afterAutospacing="0"/>
    </w:pPr>
  </w:style>
  <w:style w:type="paragraph" w:styleId="854" w:default="1">
    <w:name w:val="Normal"/>
    <w:next w:val="854"/>
    <w:link w:val="854"/>
    <w:qFormat/>
    <w:rPr>
      <w:rFonts w:ascii="Times New Roman" w:hAnsi="Times New Roman" w:eastAsia="Times New Roman"/>
      <w:sz w:val="24"/>
      <w:szCs w:val="24"/>
      <w:lang w:val="ru-RU" w:eastAsia="ru-RU" w:bidi="ar-SA"/>
    </w:rPr>
  </w:style>
  <w:style w:type="paragraph" w:styleId="855">
    <w:name w:val="Заголовок 1"/>
    <w:basedOn w:val="854"/>
    <w:next w:val="854"/>
    <w:link w:val="859"/>
    <w:qFormat/>
    <w:pPr>
      <w:jc w:val="center"/>
      <w:keepNext/>
      <w:outlineLvl w:val="0"/>
    </w:pPr>
    <w:rPr>
      <w:b/>
      <w:bCs/>
      <w:sz w:val="36"/>
      <w:szCs w:val="36"/>
    </w:rPr>
  </w:style>
  <w:style w:type="character" w:styleId="856">
    <w:name w:val="Основной шрифт абзаца"/>
    <w:next w:val="856"/>
    <w:link w:val="854"/>
    <w:uiPriority w:val="1"/>
    <w:semiHidden/>
    <w:unhideWhenUsed/>
  </w:style>
  <w:style w:type="table" w:styleId="857">
    <w:name w:val="Обычная таблица"/>
    <w:next w:val="857"/>
    <w:link w:val="854"/>
    <w:uiPriority w:val="99"/>
    <w:semiHidden/>
    <w:unhideWhenUsed/>
    <w:tblPr/>
  </w:style>
  <w:style w:type="numbering" w:styleId="858">
    <w:name w:val="Нет списка"/>
    <w:next w:val="858"/>
    <w:link w:val="854"/>
    <w:uiPriority w:val="99"/>
    <w:semiHidden/>
    <w:unhideWhenUsed/>
  </w:style>
  <w:style w:type="character" w:styleId="859">
    <w:name w:val="Заголовок 1 Знак"/>
    <w:next w:val="859"/>
    <w:link w:val="855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paragraph" w:styleId="860">
    <w:name w:val="Основной текст"/>
    <w:basedOn w:val="854"/>
    <w:next w:val="860"/>
    <w:link w:val="861"/>
    <w:pPr>
      <w:jc w:val="center"/>
      <w:spacing w:line="360" w:lineRule="auto"/>
    </w:pPr>
    <w:rPr>
      <w:b/>
      <w:bCs/>
      <w:sz w:val="28"/>
      <w:szCs w:val="28"/>
    </w:rPr>
  </w:style>
  <w:style w:type="character" w:styleId="861">
    <w:name w:val="Основной текст Знак"/>
    <w:next w:val="861"/>
    <w:link w:val="860"/>
    <w:rPr>
      <w:rFonts w:ascii="Times New Roman" w:hAnsi="Times New Roman" w:eastAsia="Times New Roman" w:cs="Times New Roman"/>
      <w:b/>
      <w:bCs/>
      <w:sz w:val="28"/>
      <w:szCs w:val="28"/>
      <w:lang w:eastAsia="ru-RU"/>
    </w:rPr>
  </w:style>
  <w:style w:type="paragraph" w:styleId="862">
    <w:name w:val="Основной текст с отступом 3"/>
    <w:basedOn w:val="854"/>
    <w:next w:val="862"/>
    <w:link w:val="863"/>
    <w:pPr>
      <w:ind w:left="283"/>
      <w:spacing w:after="120"/>
    </w:pPr>
    <w:rPr>
      <w:sz w:val="16"/>
      <w:szCs w:val="16"/>
      <w:lang w:val="en-US" w:eastAsia="en-US"/>
    </w:rPr>
  </w:style>
  <w:style w:type="character" w:styleId="863">
    <w:name w:val="Основной текст с отступом 3 Знак"/>
    <w:next w:val="863"/>
    <w:link w:val="862"/>
    <w:rPr>
      <w:rFonts w:ascii="Times New Roman" w:hAnsi="Times New Roman" w:eastAsia="Times New Roman" w:cs="Times New Roman"/>
      <w:sz w:val="16"/>
      <w:szCs w:val="16"/>
      <w:lang w:val="en-US" w:eastAsia="en-US"/>
    </w:rPr>
  </w:style>
  <w:style w:type="table" w:styleId="864">
    <w:name w:val="Сетка таблицы"/>
    <w:basedOn w:val="857"/>
    <w:next w:val="864"/>
    <w:link w:val="854"/>
    <w:pPr>
      <w:spacing w:after="0" w:line="240" w:lineRule="auto"/>
    </w:pPr>
    <w:tblPr/>
  </w:style>
  <w:style w:type="paragraph" w:styleId="865">
    <w:name w:val="Основной текст 2"/>
    <w:basedOn w:val="854"/>
    <w:next w:val="865"/>
    <w:link w:val="866"/>
    <w:uiPriority w:val="99"/>
    <w:unhideWhenUsed/>
    <w:pPr>
      <w:spacing w:after="120" w:line="480" w:lineRule="auto"/>
    </w:pPr>
  </w:style>
  <w:style w:type="character" w:styleId="866">
    <w:name w:val="Основной текст 2 Знак"/>
    <w:next w:val="866"/>
    <w:link w:val="865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67">
    <w:name w:val="Верхний колонтитул"/>
    <w:basedOn w:val="854"/>
    <w:next w:val="867"/>
    <w:link w:val="868"/>
    <w:uiPriority w:val="99"/>
    <w:unhideWhenUsed/>
    <w:pPr>
      <w:ind w:firstLine="709"/>
      <w:jc w:val="both"/>
      <w:widowControl w:val="off"/>
      <w:tabs>
        <w:tab w:val="center" w:pos="4677" w:leader="none"/>
        <w:tab w:val="right" w:pos="9355" w:leader="none"/>
      </w:tabs>
    </w:pPr>
    <w:rPr>
      <w:sz w:val="28"/>
      <w:szCs w:val="28"/>
    </w:rPr>
  </w:style>
  <w:style w:type="character" w:styleId="868">
    <w:name w:val="Верхний колонтитул Знак"/>
    <w:next w:val="868"/>
    <w:link w:val="867"/>
    <w:uiPriority w:val="99"/>
    <w:rPr>
      <w:rFonts w:ascii="Times New Roman" w:hAnsi="Times New Roman" w:eastAsia="Times New Roman"/>
      <w:sz w:val="28"/>
      <w:szCs w:val="28"/>
    </w:rPr>
  </w:style>
  <w:style w:type="paragraph" w:styleId="869">
    <w:name w:val="Нижний колонтитул"/>
    <w:basedOn w:val="854"/>
    <w:next w:val="869"/>
    <w:link w:val="870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70">
    <w:name w:val="Нижний колонтитул Знак"/>
    <w:next w:val="870"/>
    <w:link w:val="869"/>
    <w:uiPriority w:val="99"/>
    <w:rPr>
      <w:rFonts w:ascii="Times New Roman" w:hAnsi="Times New Roman" w:eastAsia="Times New Roman"/>
      <w:sz w:val="24"/>
      <w:szCs w:val="24"/>
    </w:rPr>
  </w:style>
  <w:style w:type="paragraph" w:styleId="871">
    <w:name w:val="ConsPlusNormal"/>
    <w:next w:val="871"/>
    <w:link w:val="854"/>
    <w:pPr>
      <w:widowControl w:val="off"/>
    </w:pPr>
    <w:rPr>
      <w:rFonts w:eastAsia="Times New Roman" w:cs="Calibri"/>
      <w:sz w:val="22"/>
      <w:lang w:val="ru-RU" w:eastAsia="ru-RU" w:bidi="ar-SA"/>
    </w:rPr>
  </w:style>
  <w:style w:type="character" w:styleId="872">
    <w:name w:val="Основной текст + Интервал 3 pt"/>
    <w:next w:val="872"/>
    <w:link w:val="854"/>
    <w:rPr>
      <w:rFonts w:ascii="Times New Roman" w:hAnsi="Times New Roman" w:eastAsia="Times New Roman" w:cs="Times New Roman"/>
      <w:color w:val="000000"/>
      <w:spacing w:val="7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873">
    <w:name w:val="Текст выноски"/>
    <w:basedOn w:val="854"/>
    <w:next w:val="873"/>
    <w:link w:val="874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874">
    <w:name w:val="Текст выноски Знак"/>
    <w:next w:val="874"/>
    <w:link w:val="873"/>
    <w:uiPriority w:val="99"/>
    <w:semiHidden/>
    <w:rPr>
      <w:rFonts w:ascii="Segoe UI" w:hAnsi="Segoe UI" w:eastAsia="Times New Roman" w:cs="Segoe UI"/>
      <w:sz w:val="18"/>
      <w:szCs w:val="18"/>
    </w:rPr>
  </w:style>
  <w:style w:type="paragraph" w:styleId="875">
    <w:name w:val="Текст примечания"/>
    <w:basedOn w:val="854"/>
    <w:next w:val="875"/>
    <w:link w:val="876"/>
    <w:uiPriority w:val="99"/>
    <w:semiHidden/>
    <w:unhideWhenUsed/>
    <w:rPr>
      <w:sz w:val="20"/>
      <w:szCs w:val="20"/>
    </w:rPr>
  </w:style>
  <w:style w:type="character" w:styleId="876">
    <w:name w:val="Текст примечания Знак"/>
    <w:next w:val="876"/>
    <w:link w:val="875"/>
    <w:uiPriority w:val="99"/>
    <w:semiHidden/>
    <w:rPr>
      <w:rFonts w:ascii="Times New Roman" w:hAnsi="Times New Roman" w:eastAsia="Times New Roman"/>
    </w:rPr>
  </w:style>
  <w:style w:type="character" w:styleId="877">
    <w:name w:val="Знак примечания"/>
    <w:next w:val="877"/>
    <w:link w:val="854"/>
    <w:uiPriority w:val="99"/>
    <w:semiHidden/>
    <w:unhideWhenUsed/>
    <w:rPr>
      <w:sz w:val="16"/>
      <w:szCs w:val="16"/>
    </w:rPr>
  </w:style>
  <w:style w:type="paragraph" w:styleId="878">
    <w:name w:val="Тема примечания"/>
    <w:basedOn w:val="875"/>
    <w:next w:val="875"/>
    <w:link w:val="879"/>
    <w:uiPriority w:val="99"/>
    <w:semiHidden/>
    <w:unhideWhenUsed/>
    <w:rPr>
      <w:b/>
      <w:bCs/>
    </w:rPr>
  </w:style>
  <w:style w:type="character" w:styleId="879">
    <w:name w:val="Тема примечания Знак"/>
    <w:next w:val="879"/>
    <w:link w:val="878"/>
    <w:uiPriority w:val="99"/>
    <w:semiHidden/>
    <w:rPr>
      <w:rFonts w:ascii="Times New Roman" w:hAnsi="Times New Roman" w:eastAsia="Times New Roman"/>
      <w:b/>
      <w:bCs/>
    </w:rPr>
  </w:style>
  <w:style w:type="character" w:styleId="880" w:default="1">
    <w:name w:val="Default Paragraph Font"/>
    <w:uiPriority w:val="1"/>
    <w:semiHidden/>
    <w:unhideWhenUsed/>
  </w:style>
  <w:style w:type="numbering" w:styleId="881" w:default="1">
    <w:name w:val="No List"/>
    <w:uiPriority w:val="99"/>
    <w:semiHidden/>
    <w:unhideWhenUsed/>
  </w:style>
  <w:style w:type="table" w:styleId="88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PNO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Белоусова Ирина Александровна</dc:creator>
  <cp:revision>17</cp:revision>
  <dcterms:created xsi:type="dcterms:W3CDTF">2022-02-03T07:43:00Z</dcterms:created>
  <dcterms:modified xsi:type="dcterms:W3CDTF">2025-02-03T05:24:38Z</dcterms:modified>
  <cp:version>1048576</cp:version>
</cp:coreProperties>
</file>