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Базовый норматив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на оказание государственной услуги</w:t>
      </w:r>
      <w:r>
        <w:rPr>
          <w:sz w:val="28"/>
          <w:szCs w:val="28"/>
        </w:rPr>
      </w:r>
    </w:p>
    <w:p>
      <w:pPr>
        <w:pStyle w:val="653"/>
        <w:jc w:val="center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 xml:space="preserve">м уч</w:t>
      </w:r>
      <w:r>
        <w:rPr>
          <w:sz w:val="28"/>
          <w:szCs w:val="28"/>
        </w:rPr>
        <w:t xml:space="preserve">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3"/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3"/>
        <w:jc w:val="right"/>
        <w:rPr>
          <w:bCs/>
          <w:i/>
        </w:rPr>
      </w:pPr>
      <w:r>
        <w:rPr>
          <w:bCs/>
          <w:i/>
        </w:rPr>
        <w:t xml:space="preserve">рублей</w:t>
      </w:r>
      <w:r>
        <w:rPr>
          <w:bCs/>
          <w:i/>
        </w:rPr>
      </w:r>
      <w:r>
        <w:rPr>
          <w:bCs/>
          <w:i/>
        </w:rPr>
      </w:r>
    </w:p>
    <w:tbl>
      <w:tblPr>
        <w:tblW w:w="1587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1842"/>
        <w:gridCol w:w="2835"/>
        <w:gridCol w:w="1418"/>
        <w:gridCol w:w="2835"/>
        <w:gridCol w:w="1559"/>
      </w:tblGrid>
      <w:tr>
        <w:trPr/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государственной услуги </w:t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Уникальный номер реестровой записи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Условия (формы) оказания государственной услуги</w:t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</w:t>
            </w:r>
            <w:r>
              <w:rPr>
                <w:sz w:val="19"/>
                <w:szCs w:val="19"/>
              </w:rPr>
              <w:t xml:space="preserve">й норматив</w:t>
            </w:r>
            <w:r>
              <w:rPr>
                <w:sz w:val="19"/>
                <w:szCs w:val="19"/>
              </w:rPr>
              <w:t xml:space="preserve"> затрат на оказание государственной услуги</w:t>
            </w:r>
            <w:r>
              <w:rPr>
                <w:sz w:val="19"/>
                <w:szCs w:val="19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</w:t>
            </w:r>
            <w:r>
              <w:rPr>
                <w:sz w:val="19"/>
                <w:szCs w:val="19"/>
              </w:rPr>
              <w:t xml:space="preserve">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920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затрат, непосредственно связанные с оказанием государственной услуги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 на общехозяйственные нужды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151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</w:t>
            </w:r>
            <w:r>
              <w:rPr>
                <w:sz w:val="19"/>
                <w:szCs w:val="19"/>
              </w:rPr>
              <w:t xml:space="preserve">с начисления</w:t>
            </w:r>
            <w:r>
              <w:rPr>
                <w:sz w:val="19"/>
                <w:szCs w:val="19"/>
              </w:rPr>
              <w:t xml:space="preserve">ми</w:t>
            </w:r>
            <w:r>
              <w:rPr>
                <w:sz w:val="19"/>
                <w:szCs w:val="19"/>
              </w:rPr>
              <w:t xml:space="preserve"> на выплаты по оплате труда</w:t>
            </w:r>
            <w:r>
              <w:rPr>
                <w:sz w:val="19"/>
                <w:szCs w:val="19"/>
              </w:rPr>
              <w:t xml:space="preserve">) работников, непосредственно связанных с оказанием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(с начислениями на выплаты по оплате труда) работников, которые не принимают непосредственного участия в оказании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(в т.ч. аренда)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1203"/>
        </w:trPr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pStyle w:val="653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предоставления государственных и муниципальных услуг в филиалах ГАУ НСО «МФЦ»</w:t>
            </w:r>
            <w:r>
              <w:rPr>
                <w:sz w:val="19"/>
                <w:szCs w:val="19"/>
              </w:rPr>
            </w:r>
          </w:p>
          <w:p>
            <w:pPr>
              <w:pStyle w:val="6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75110О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Ф.99.0.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66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АЩ57АА00001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66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19.1.829900.1.00011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</w:t>
            </w:r>
            <w:r>
              <w:rPr>
                <w:sz w:val="19"/>
                <w:szCs w:val="19"/>
              </w:rPr>
              <w:t xml:space="preserve">умажная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622,61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  <w:t xml:space="preserve">80,</w:t>
            </w:r>
            <w:r>
              <w:rPr>
                <w:sz w:val="19"/>
                <w:szCs w:val="19"/>
              </w:rPr>
              <w:t xml:space="preserve">41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</w:t>
            </w:r>
            <w:r>
              <w:rPr>
                <w:sz w:val="19"/>
                <w:szCs w:val="19"/>
              </w:rPr>
              <w:t xml:space="preserve">9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</w:rPr>
              <w:t xml:space="preserve">21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66,</w:t>
            </w:r>
            <w:r>
              <w:rPr>
                <w:sz w:val="19"/>
                <w:szCs w:val="19"/>
                <w:lang w:val="en-US"/>
              </w:rPr>
              <w:t xml:space="preserve">74</w:t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</w:rPr>
              <w:t xml:space="preserve">6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  <w:lang w:val="en-US"/>
              </w:rPr>
              <w:t xml:space="preserve">25</w:t>
            </w:r>
            <w:r>
              <w:rPr>
                <w:sz w:val="19"/>
                <w:szCs w:val="19"/>
                <w:lang w:val="en-US"/>
              </w:rPr>
            </w:r>
          </w:p>
        </w:tc>
      </w:tr>
      <w:tr>
        <w:trPr>
          <w:trHeight w:val="80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Style w:val="65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75110О</w:t>
            </w:r>
            <w:r>
              <w:rPr>
                <w:sz w:val="19"/>
                <w:szCs w:val="19"/>
              </w:rPr>
              <w:t xml:space="preserve">Ф.99.0. АЩ57АА01001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19.1.829900.1.00021</w:t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электронная</w:t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widowControl w:val="off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480,50</w:t>
            </w:r>
            <w:r>
              <w:rPr>
                <w:sz w:val="19"/>
                <w:szCs w:val="19"/>
                <w:highlight w:val="yellow"/>
              </w:rPr>
            </w:r>
            <w:r>
              <w:rPr>
                <w:sz w:val="19"/>
                <w:szCs w:val="19"/>
                <w:highlight w:val="yellow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155,00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78,53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203,</w:t>
            </w:r>
            <w:r>
              <w:rPr>
                <w:sz w:val="19"/>
                <w:szCs w:val="19"/>
                <w:lang w:val="en-US"/>
              </w:rPr>
              <w:t xml:space="preserve">30</w:t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43,67</w:t>
            </w:r>
            <w:r>
              <w:rPr>
                <w:sz w:val="19"/>
                <w:szCs w:val="19"/>
                <w:highlight w:val="yellow"/>
              </w:rPr>
            </w:r>
            <w:r>
              <w:rPr>
                <w:sz w:val="19"/>
                <w:szCs w:val="19"/>
                <w:highlight w:val="yellow"/>
              </w:rPr>
            </w:r>
          </w:p>
        </w:tc>
      </w:tr>
    </w:tbl>
    <w:p>
      <w:pPr>
        <w:pStyle w:val="653"/>
        <w:jc w:val="center"/>
        <w:tabs>
          <w:tab w:val="left" w:pos="851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jc w:val="center"/>
        <w:tabs>
          <w:tab w:val="left" w:pos="851" w:leader="none"/>
        </w:tabs>
        <w:rPr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орректирующие коэффициенты, применяемые</w:t>
      </w:r>
      <w:r>
        <w:rPr>
          <w:bCs/>
          <w:sz w:val="28"/>
          <w:szCs w:val="28"/>
        </w:rPr>
      </w:r>
    </w:p>
    <w:p>
      <w:pPr>
        <w:pStyle w:val="6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расчете нормативных затрат на оказание государственной</w:t>
      </w:r>
      <w:r>
        <w:rPr>
          <w:bCs/>
          <w:sz w:val="28"/>
          <w:szCs w:val="28"/>
        </w:rPr>
      </w:r>
    </w:p>
    <w:p>
      <w:pPr>
        <w:pStyle w:val="653"/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госуд</w:t>
      </w:r>
      <w:r>
        <w:rPr>
          <w:sz w:val="28"/>
          <w:szCs w:val="28"/>
        </w:rPr>
        <w:t xml:space="preserve">арственным автономном учреждением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области» </w:t>
      </w:r>
      <w:r>
        <w:rPr>
          <w:sz w:val="28"/>
          <w:szCs w:val="28"/>
        </w:rPr>
      </w:r>
    </w:p>
    <w:p>
      <w:pPr>
        <w:pStyle w:val="653"/>
        <w:jc w:val="center"/>
      </w:pPr>
      <w:r/>
      <w:r/>
    </w:p>
    <w:tbl>
      <w:tblPr>
        <w:tblW w:w="11766" w:type="dxa"/>
        <w:tblInd w:w="11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8"/>
        <w:gridCol w:w="7654"/>
        <w:gridCol w:w="26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п/п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коэффициента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Значение коэффициента</w:t>
            </w: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Территориальный корректирующий коэффициент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1,</w:t>
            </w: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  <w:lang w:val="en-US"/>
              </w:rPr>
              <w:t xml:space="preserve">3</w:t>
            </w:r>
            <w:r>
              <w:rPr>
                <w:sz w:val="19"/>
                <w:szCs w:val="19"/>
                <w:lang w:val="en-US"/>
              </w:rPr>
            </w:r>
          </w:p>
        </w:tc>
      </w:tr>
      <w:tr>
        <w:trPr>
          <w:trHeight w:val="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Отраслевой корректирующий коэффициент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1,0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</w:tbl>
    <w:sectPr>
      <w:headerReference w:type="default" r:id="rId9"/>
      <w:footnotePr/>
      <w:endnotePr/>
      <w:type w:val="nextPage"/>
      <w:pgSz w:w="16838" w:h="11906" w:orient="landscape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3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  <w:tabs>
          <w:tab w:val="num" w:pos="17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rPr>
      <w:sz w:val="24"/>
      <w:szCs w:val="24"/>
      <w:lang w:val="ru-RU" w:eastAsia="ru-RU" w:bidi="ar-SA"/>
    </w:rPr>
  </w:style>
  <w:style w:type="paragraph" w:styleId="654">
    <w:name w:val="Заголовок 1"/>
    <w:basedOn w:val="653"/>
    <w:next w:val="653"/>
    <w:link w:val="653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55">
    <w:name w:val="Заголовок 5"/>
    <w:basedOn w:val="653"/>
    <w:next w:val="653"/>
    <w:link w:val="653"/>
    <w:qFormat/>
    <w:pPr>
      <w:ind w:left="-720" w:firstLine="720"/>
      <w:jc w:val="right"/>
      <w:keepNext/>
      <w:outlineLvl w:val="4"/>
    </w:pPr>
    <w:rPr>
      <w:rFonts w:eastAsia="Arial Unicode MS"/>
      <w:sz w:val="28"/>
    </w:rPr>
  </w:style>
  <w:style w:type="character" w:styleId="656">
    <w:name w:val="Основной шрифт абзаца"/>
    <w:next w:val="656"/>
    <w:link w:val="653"/>
    <w:semiHidden/>
  </w:style>
  <w:style w:type="table" w:styleId="657">
    <w:name w:val="Обычная таблица"/>
    <w:next w:val="657"/>
    <w:link w:val="653"/>
    <w:semiHidden/>
    <w:tblPr/>
  </w:style>
  <w:style w:type="numbering" w:styleId="658">
    <w:name w:val="Нет списка"/>
    <w:next w:val="658"/>
    <w:link w:val="653"/>
    <w:semiHidden/>
  </w:style>
  <w:style w:type="paragraph" w:styleId="659">
    <w:name w:val="Основной текст"/>
    <w:basedOn w:val="653"/>
    <w:next w:val="659"/>
    <w:link w:val="653"/>
    <w:pPr>
      <w:jc w:val="center"/>
      <w:spacing w:line="360" w:lineRule="auto"/>
    </w:pPr>
    <w:rPr>
      <w:b/>
      <w:bCs/>
      <w:sz w:val="28"/>
      <w:szCs w:val="28"/>
    </w:rPr>
  </w:style>
  <w:style w:type="paragraph" w:styleId="660">
    <w:name w:val="Название объекта"/>
    <w:basedOn w:val="653"/>
    <w:next w:val="653"/>
    <w:link w:val="653"/>
    <w:qFormat/>
    <w:pPr>
      <w:jc w:val="center"/>
      <w:spacing w:line="360" w:lineRule="auto"/>
    </w:pPr>
    <w:rPr>
      <w:b/>
      <w:bCs/>
      <w:szCs w:val="20"/>
    </w:rPr>
  </w:style>
  <w:style w:type="paragraph" w:styleId="661">
    <w:name w:val="Текст выноски"/>
    <w:basedOn w:val="653"/>
    <w:next w:val="661"/>
    <w:link w:val="653"/>
    <w:semiHidden/>
    <w:rPr>
      <w:rFonts w:ascii="Tahoma" w:hAnsi="Tahoma" w:cs="Tahoma"/>
      <w:sz w:val="16"/>
      <w:szCs w:val="16"/>
    </w:rPr>
  </w:style>
  <w:style w:type="table" w:styleId="662">
    <w:name w:val="Сетка таблицы"/>
    <w:basedOn w:val="657"/>
    <w:next w:val="662"/>
    <w:link w:val="653"/>
    <w:tblPr/>
  </w:style>
  <w:style w:type="paragraph" w:styleId="663">
    <w:name w:val="ConsPlusNonformat"/>
    <w:next w:val="663"/>
    <w:link w:val="653"/>
    <w:rPr>
      <w:rFonts w:ascii="Courier New" w:hAnsi="Courier New" w:cs="Courier New"/>
      <w:lang w:val="ru-RU" w:eastAsia="ru-RU" w:bidi="ar-SA"/>
    </w:rPr>
  </w:style>
  <w:style w:type="paragraph" w:styleId="664">
    <w:name w:val="ConsPlusTitle"/>
    <w:next w:val="664"/>
    <w:link w:val="653"/>
    <w:rPr>
      <w:b/>
      <w:bCs/>
      <w:lang w:val="ru-RU" w:eastAsia="ru-RU" w:bidi="ar-SA"/>
    </w:rPr>
  </w:style>
  <w:style w:type="paragraph" w:styleId="665">
    <w:name w:val="ConsPlusNormal"/>
    <w:next w:val="665"/>
    <w:link w:val="653"/>
    <w:pPr>
      <w:ind w:firstLine="720"/>
    </w:pPr>
    <w:rPr>
      <w:rFonts w:ascii="Arial" w:hAnsi="Arial" w:cs="Arial"/>
      <w:lang w:val="ru-RU" w:eastAsia="ru-RU" w:bidi="ar-SA"/>
    </w:rPr>
  </w:style>
  <w:style w:type="paragraph" w:styleId="666">
    <w:name w:val="Основной текст с отступом 3"/>
    <w:basedOn w:val="653"/>
    <w:next w:val="666"/>
    <w:link w:val="667"/>
    <w:pPr>
      <w:ind w:left="283"/>
      <w:spacing w:after="120"/>
    </w:pPr>
    <w:rPr>
      <w:sz w:val="16"/>
      <w:szCs w:val="16"/>
      <w:lang w:val="en-US" w:eastAsia="en-US"/>
    </w:rPr>
  </w:style>
  <w:style w:type="character" w:styleId="667">
    <w:name w:val="Основной текст с отступом 3 Знак"/>
    <w:next w:val="667"/>
    <w:link w:val="666"/>
    <w:rPr>
      <w:sz w:val="16"/>
      <w:szCs w:val="16"/>
    </w:rPr>
  </w:style>
  <w:style w:type="paragraph" w:styleId="668">
    <w:name w:val="Верхний колонтитул"/>
    <w:basedOn w:val="653"/>
    <w:next w:val="668"/>
    <w:link w:val="669"/>
    <w:uiPriority w:val="99"/>
    <w:pPr>
      <w:tabs>
        <w:tab w:val="center" w:pos="4677" w:leader="none"/>
        <w:tab w:val="right" w:pos="9355" w:leader="none"/>
      </w:tabs>
    </w:pPr>
  </w:style>
  <w:style w:type="character" w:styleId="669">
    <w:name w:val="Верхний колонтитул Знак"/>
    <w:next w:val="669"/>
    <w:link w:val="668"/>
    <w:uiPriority w:val="99"/>
    <w:rPr>
      <w:sz w:val="24"/>
      <w:szCs w:val="24"/>
    </w:rPr>
  </w:style>
  <w:style w:type="paragraph" w:styleId="670">
    <w:name w:val="Нижний колонтитул"/>
    <w:basedOn w:val="653"/>
    <w:next w:val="670"/>
    <w:link w:val="671"/>
    <w:pPr>
      <w:tabs>
        <w:tab w:val="center" w:pos="4677" w:leader="none"/>
        <w:tab w:val="right" w:pos="9355" w:leader="none"/>
      </w:tabs>
    </w:pPr>
  </w:style>
  <w:style w:type="character" w:styleId="671">
    <w:name w:val="Нижний колонтитул Знак"/>
    <w:next w:val="671"/>
    <w:link w:val="670"/>
    <w:rPr>
      <w:sz w:val="24"/>
      <w:szCs w:val="24"/>
    </w:rPr>
  </w:style>
  <w:style w:type="character" w:styleId="1283" w:default="1">
    <w:name w:val="Default Paragraph Font"/>
    <w:uiPriority w:val="1"/>
    <w:semiHidden/>
    <w:unhideWhenUsed/>
  </w:style>
  <w:style w:type="numbering" w:styleId="1284" w:default="1">
    <w:name w:val="No List"/>
    <w:uiPriority w:val="99"/>
    <w:semiHidden/>
    <w:unhideWhenUsed/>
  </w:style>
  <w:style w:type="table" w:styleId="12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pundit PH4</dc:creator>
  <cp:revision>3</cp:revision>
  <dcterms:created xsi:type="dcterms:W3CDTF">2023-06-13T08:32:00Z</dcterms:created>
  <dcterms:modified xsi:type="dcterms:W3CDTF">2023-11-20T05:29:23Z</dcterms:modified>
  <cp:version>1048576</cp:version>
</cp:coreProperties>
</file>