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Информационно-аналитический обзор обращений граждан, поступивших в </w:t>
      </w:r>
      <w:r>
        <w:rPr>
          <w:rFonts w:ascii="Arial" w:hAnsi="Arial" w:cs="Arial"/>
          <w:color w:val="000000"/>
          <w:sz w:val="27"/>
          <w:szCs w:val="27"/>
        </w:rPr>
        <w:t xml:space="preserve">министерство экономического развития</w:t>
      </w:r>
      <w:r>
        <w:rPr>
          <w:rFonts w:ascii="Arial" w:hAnsi="Arial" w:cs="Arial"/>
          <w:color w:val="000000"/>
          <w:sz w:val="27"/>
          <w:szCs w:val="27"/>
        </w:rPr>
        <w:t xml:space="preserve"> Новосибирской области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 в апреле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20</w:t>
      </w:r>
      <w:r>
        <w:rPr>
          <w:rFonts w:ascii="Arial" w:hAnsi="Arial" w:cs="Arial"/>
          <w:color w:val="000000"/>
          <w:sz w:val="27"/>
          <w:szCs w:val="27"/>
        </w:rPr>
        <w:t xml:space="preserve">2</w:t>
      </w:r>
      <w:r>
        <w:rPr>
          <w:rFonts w:ascii="Arial" w:hAnsi="Arial" w:cs="Arial"/>
          <w:color w:val="000000"/>
          <w:sz w:val="27"/>
          <w:szCs w:val="27"/>
        </w:rPr>
        <w:t xml:space="preserve">5 </w:t>
      </w:r>
      <w:r>
        <w:rPr>
          <w:rFonts w:ascii="Arial" w:hAnsi="Arial" w:cs="Arial"/>
          <w:color w:val="000000"/>
          <w:sz w:val="27"/>
          <w:szCs w:val="27"/>
        </w:rPr>
        <w:t xml:space="preserve">года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Рассмотрение обращений граждан, организаций и общественных объединений, </w:t>
      </w:r>
      <w:r>
        <w:rPr>
          <w:color w:val="000000"/>
        </w:rPr>
        <w:t xml:space="preserve">адресованных </w:t>
      </w:r>
      <w:r>
        <w:rPr>
          <w:color w:val="000000"/>
        </w:rPr>
        <w:t xml:space="preserve">в</w:t>
      </w:r>
      <w:r>
        <w:rPr>
          <w:color w:val="000000"/>
        </w:rPr>
        <w:t xml:space="preserve"> </w:t>
      </w:r>
      <w:r>
        <w:rPr>
          <w:color w:val="000000"/>
        </w:rPr>
        <w:t xml:space="preserve">министерство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,</w:t>
      </w:r>
      <w:r>
        <w:rPr>
          <w:color w:val="000000"/>
        </w:rPr>
        <w:t xml:space="preserve"> организовано и ведется в соответствии с Конституцией Российской Федерации, действующим федеральным и областным законодательством, правовы</w:t>
      </w:r>
      <w:r>
        <w:rPr>
          <w:color w:val="000000"/>
        </w:rPr>
        <w:t xml:space="preserve">ми актами Новосибирской области, приказом министерства экономического развития Новосибирской области от </w:t>
      </w:r>
      <w:r>
        <w:rPr>
          <w:color w:val="000000"/>
        </w:rPr>
        <w:t xml:space="preserve">25.11</w:t>
      </w:r>
      <w:r>
        <w:rPr>
          <w:color w:val="000000"/>
        </w:rPr>
        <w:t xml:space="preserve">.201</w:t>
      </w:r>
      <w:r>
        <w:rPr>
          <w:color w:val="000000"/>
        </w:rPr>
        <w:t xml:space="preserve">9</w:t>
      </w:r>
      <w:r>
        <w:rPr>
          <w:color w:val="000000"/>
        </w:rPr>
        <w:t xml:space="preserve"> № </w:t>
      </w:r>
      <w:r>
        <w:rPr>
          <w:color w:val="000000"/>
        </w:rPr>
        <w:t xml:space="preserve">122</w:t>
      </w:r>
      <w:r>
        <w:rPr>
          <w:color w:val="000000"/>
        </w:rPr>
        <w:t xml:space="preserve"> «</w:t>
      </w:r>
      <w:r>
        <w:t xml:space="preserve">Об утверждении Инструкции о порядке организации работы с обращениями граждан в министерстве экономического развития Новосибирской области</w:t>
      </w:r>
      <w:r>
        <w:rPr>
          <w:color w:val="000000"/>
        </w:rPr>
        <w:t xml:space="preserve">».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hd w:val="clear" w:color="auto" w:fill="ffffff"/>
        <w:rPr>
          <w:highlight w:val="none"/>
        </w:rPr>
      </w:pPr>
      <w:r>
        <w:rPr>
          <w:color w:val="000000"/>
        </w:rPr>
        <w:t xml:space="preserve">Возможность гражданам, представителям организаций и общественных объединений обратиться к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у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 реализована путем направления письменных обращений по почте</w:t>
      </w:r>
      <w:r>
        <w:rPr>
          <w:color w:val="000000"/>
        </w:rPr>
        <w:t xml:space="preserve"> либо </w:t>
      </w:r>
      <w:r>
        <w:rPr>
          <w:color w:val="000000"/>
        </w:rPr>
        <w:t xml:space="preserve">в форме электронного д</w:t>
      </w:r>
      <w:r>
        <w:rPr>
          <w:color w:val="000000"/>
        </w:rPr>
        <w:t xml:space="preserve">окумента через официальный сайт </w:t>
      </w:r>
      <w:r>
        <w:rPr>
          <w:color w:val="000000"/>
        </w:rPr>
        <w:t xml:space="preserve">министерства экономического развития Новосибирской области (www.econom.nso.ru)</w:t>
      </w:r>
      <w:r>
        <w:rPr>
          <w:color w:val="000000"/>
        </w:rPr>
        <w:t xml:space="preserve">, а также на личных приемах граждан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ом</w:t>
      </w:r>
      <w:r>
        <w:rPr>
          <w:color w:val="000000"/>
        </w:rPr>
        <w:t xml:space="preserve"> </w:t>
      </w:r>
      <w:r>
        <w:rPr>
          <w:color w:val="000000"/>
        </w:rPr>
        <w:t xml:space="preserve">экономического </w:t>
      </w:r>
      <w:r>
        <w:rPr>
          <w:color w:val="000000"/>
        </w:rPr>
        <w:t xml:space="preserve">развития </w:t>
      </w:r>
      <w:r>
        <w:rPr>
          <w:highlight w:val="none"/>
        </w:rPr>
        <w:t xml:space="preserve">Новосибирской</w:t>
      </w:r>
      <w:r>
        <w:rPr>
          <w:highlight w:val="none"/>
        </w:rPr>
        <w:t xml:space="preserve"> области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i/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 </w:t>
      </w:r>
      <w:r>
        <w:rPr>
          <w:color w:val="000000" w:themeColor="text1"/>
          <w:highlight w:val="none"/>
        </w:rPr>
        <w:t xml:space="preserve">апреле 20</w:t>
      </w:r>
      <w:r>
        <w:rPr>
          <w:color w:val="000000" w:themeColor="text1"/>
          <w:highlight w:val="none"/>
        </w:rPr>
        <w:t xml:space="preserve">2</w:t>
      </w:r>
      <w:r>
        <w:rPr>
          <w:color w:val="000000" w:themeColor="text1"/>
          <w:highlight w:val="none"/>
        </w:rPr>
        <w:t xml:space="preserve">5 года </w:t>
      </w:r>
      <w:r>
        <w:rPr>
          <w:color w:val="000000" w:themeColor="text1"/>
          <w:highlight w:val="none"/>
        </w:rPr>
        <w:t xml:space="preserve">на имя </w:t>
      </w:r>
      <w:r>
        <w:rPr>
          <w:color w:val="000000" w:themeColor="text1"/>
          <w:highlight w:val="none"/>
        </w:rPr>
        <w:t xml:space="preserve">министр</w:t>
      </w:r>
      <w:r>
        <w:rPr>
          <w:color w:val="000000" w:themeColor="text1"/>
          <w:highlight w:val="none"/>
        </w:rPr>
        <w:t xml:space="preserve">а</w:t>
      </w:r>
      <w:r>
        <w:rPr>
          <w:color w:val="000000" w:themeColor="text1"/>
          <w:highlight w:val="none"/>
        </w:rPr>
        <w:t xml:space="preserve"> экономического развития Новосибирской области поступило</w:t>
      </w:r>
      <w:r>
        <w:rPr>
          <w:color w:val="000000" w:themeColor="text1"/>
          <w:highlight w:val="none"/>
        </w:rPr>
        <w:t xml:space="preserve"> </w:t>
      </w:r>
      <w:r>
        <w:rPr>
          <w:b/>
          <w:bCs/>
          <w:color w:val="000000" w:themeColor="text1"/>
          <w:highlight w:val="none"/>
        </w:rPr>
        <w:t xml:space="preserve">13</w:t>
      </w:r>
      <w:r>
        <w:rPr>
          <w:color w:val="000000" w:themeColor="text1"/>
          <w:highlight w:val="none"/>
        </w:rPr>
        <w:t xml:space="preserve"> письменн</w:t>
      </w:r>
      <w:r>
        <w:rPr>
          <w:color w:val="000000" w:themeColor="text1"/>
          <w:highlight w:val="none"/>
        </w:rPr>
        <w:t xml:space="preserve">ых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й</w:t>
      </w:r>
      <w:r>
        <w:rPr>
          <w:color w:val="000000" w:themeColor="text1"/>
          <w:highlight w:val="none"/>
        </w:rPr>
        <w:t xml:space="preserve"> граждан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(в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марте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8</w:t>
      </w:r>
      <w:r>
        <w:rPr>
          <w:i/>
          <w:color w:val="000000" w:themeColor="text1"/>
          <w:highlight w:val="none"/>
        </w:rPr>
        <w:t xml:space="preserve"> в а</w:t>
      </w:r>
      <w:r>
        <w:rPr>
          <w:i/>
          <w:color w:val="000000" w:themeColor="text1"/>
          <w:highlight w:val="none"/>
        </w:rPr>
        <w:t xml:space="preserve">преле</w:t>
      </w:r>
      <w:r>
        <w:rPr>
          <w:i/>
          <w:color w:val="000000" w:themeColor="text1"/>
          <w:highlight w:val="none"/>
        </w:rPr>
        <w:t xml:space="preserve"> 20</w:t>
      </w:r>
      <w:r>
        <w:rPr>
          <w:i/>
          <w:color w:val="000000" w:themeColor="text1"/>
          <w:highlight w:val="none"/>
        </w:rPr>
        <w:t xml:space="preserve">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–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12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,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в том числе через общественную приемную Губернатора </w:t>
      </w:r>
      <w:r>
        <w:rPr>
          <w:color w:val="000000" w:themeColor="text1"/>
          <w:highlight w:val="none"/>
        </w:rPr>
        <w:t xml:space="preserve">Новосибирской </w:t>
      </w:r>
      <w:r>
        <w:rPr>
          <w:color w:val="000000" w:themeColor="text1"/>
          <w:highlight w:val="none"/>
        </w:rPr>
        <w:t xml:space="preserve">области поступило </w:t>
      </w:r>
      <w:r>
        <w:rPr>
          <w:b/>
          <w:bCs/>
          <w:color w:val="000000" w:themeColor="text1"/>
          <w:highlight w:val="none"/>
        </w:rPr>
        <w:t xml:space="preserve">7 (54%)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й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(в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марте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5 </w:t>
      </w:r>
      <w:r>
        <w:rPr>
          <w:i/>
          <w:color w:val="000000" w:themeColor="text1"/>
          <w:highlight w:val="none"/>
        </w:rPr>
        <w:t xml:space="preserve">г. </w:t>
      </w:r>
      <w:r>
        <w:rPr>
          <w:i/>
          <w:color w:val="000000" w:themeColor="text1"/>
          <w:highlight w:val="none"/>
        </w:rPr>
        <w:t xml:space="preserve">- </w:t>
      </w:r>
      <w:r>
        <w:rPr>
          <w:i/>
          <w:color w:val="000000" w:themeColor="text1"/>
          <w:highlight w:val="none"/>
        </w:rPr>
        <w:t xml:space="preserve">3(</w:t>
      </w:r>
      <w:r>
        <w:rPr>
          <w:i/>
          <w:color w:val="000000" w:themeColor="text1"/>
          <w:highlight w:val="none"/>
        </w:rPr>
        <w:t xml:space="preserve">37%),</w:t>
      </w:r>
      <w:r>
        <w:rPr>
          <w:i/>
          <w:color w:val="000000" w:themeColor="text1"/>
          <w:highlight w:val="none"/>
        </w:rPr>
        <w:t xml:space="preserve"> в </w:t>
      </w:r>
      <w:r>
        <w:rPr>
          <w:i/>
          <w:color w:val="000000" w:themeColor="text1"/>
          <w:highlight w:val="none"/>
        </w:rPr>
        <w:t xml:space="preserve">апреле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- </w:t>
      </w:r>
      <w:r>
        <w:rPr>
          <w:i/>
          <w:color w:val="000000" w:themeColor="text1"/>
          <w:highlight w:val="none"/>
        </w:rPr>
        <w:t xml:space="preserve">6(50%</w:t>
      </w:r>
      <w:r>
        <w:rPr>
          <w:i/>
          <w:color w:val="000000" w:themeColor="text1"/>
          <w:highlight w:val="none"/>
        </w:rPr>
        <w:t xml:space="preserve">))</w:t>
      </w:r>
      <w:r>
        <w:rPr>
          <w:i/>
          <w:color w:val="000000" w:themeColor="text1"/>
          <w:highlight w:val="none"/>
        </w:rPr>
        <w:t xml:space="preserve">, </w:t>
      </w:r>
      <w:r>
        <w:rPr>
          <w:b/>
          <w:color w:val="000000" w:themeColor="text1"/>
          <w:highlight w:val="none"/>
        </w:rPr>
        <w:t xml:space="preserve">6 </w:t>
      </w:r>
      <w:r>
        <w:rPr>
          <w:color w:val="000000" w:themeColor="text1"/>
          <w:highlight w:val="none"/>
        </w:rPr>
        <w:t xml:space="preserve">(</w:t>
      </w:r>
      <w:r>
        <w:rPr>
          <w:color w:val="000000" w:themeColor="text1"/>
          <w:highlight w:val="none"/>
        </w:rPr>
        <w:t xml:space="preserve">46%)</w:t>
      </w:r>
      <w:r>
        <w:rPr>
          <w:b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я</w:t>
      </w:r>
      <w:r>
        <w:rPr>
          <w:color w:val="000000" w:themeColor="text1"/>
          <w:highlight w:val="none"/>
        </w:rPr>
        <w:t xml:space="preserve"> поступило </w:t>
      </w:r>
      <w:r>
        <w:rPr>
          <w:color w:val="000000" w:themeColor="text1"/>
          <w:highlight w:val="none"/>
        </w:rPr>
        <w:t xml:space="preserve">непосредственно в Минэкономразвития Новосибирской области </w:t>
      </w:r>
      <w:r>
        <w:rPr>
          <w:i/>
          <w:color w:val="000000" w:themeColor="text1"/>
          <w:highlight w:val="none"/>
        </w:rPr>
        <w:t xml:space="preserve">(в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5 (</w:t>
      </w:r>
      <w:r>
        <w:rPr>
          <w:i/>
          <w:color w:val="000000" w:themeColor="text1"/>
          <w:highlight w:val="none"/>
        </w:rPr>
        <w:t xml:space="preserve">63%),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апреле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- </w:t>
      </w:r>
      <w:r>
        <w:rPr>
          <w:i/>
          <w:color w:val="000000" w:themeColor="text1"/>
          <w:highlight w:val="none"/>
        </w:rPr>
        <w:t xml:space="preserve">6 (</w:t>
      </w:r>
      <w:r>
        <w:rPr>
          <w:i/>
          <w:color w:val="000000" w:themeColor="text1"/>
          <w:highlight w:val="none"/>
        </w:rPr>
        <w:t xml:space="preserve">50%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. </w:t>
      </w:r>
      <w:r>
        <w:rPr>
          <w:color w:val="000000" w:themeColor="text1"/>
          <w:highlight w:val="none"/>
        </w:rPr>
        <w:t xml:space="preserve">На личный прием к министру экономического развития Новосибирской области Л.Н. Решетникову в апреле 202</w:t>
      </w:r>
      <w:r>
        <w:rPr>
          <w:color w:val="000000" w:themeColor="text1"/>
          <w:highlight w:val="none"/>
        </w:rPr>
        <w:t xml:space="preserve">5 года </w:t>
      </w:r>
      <w:r>
        <w:rPr>
          <w:color w:val="000000" w:themeColor="text1"/>
          <w:highlight w:val="none"/>
        </w:rPr>
        <w:t xml:space="preserve">обратились 2 гражданина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0, в </w:t>
      </w:r>
      <w:r>
        <w:rPr>
          <w:i/>
          <w:color w:val="000000" w:themeColor="text1"/>
          <w:highlight w:val="none"/>
        </w:rPr>
        <w:t xml:space="preserve">апреле</w:t>
      </w:r>
      <w:r>
        <w:rPr>
          <w:i/>
          <w:color w:val="000000" w:themeColor="text1"/>
          <w:highlight w:val="none"/>
        </w:rPr>
        <w:t xml:space="preserve"> 20</w:t>
      </w:r>
      <w:r>
        <w:rPr>
          <w:i/>
          <w:color w:val="000000" w:themeColor="text1"/>
          <w:highlight w:val="none"/>
        </w:rPr>
        <w:t xml:space="preserve">2</w:t>
      </w:r>
      <w:r>
        <w:rPr>
          <w:i/>
          <w:color w:val="000000" w:themeColor="text1"/>
          <w:highlight w:val="none"/>
        </w:rPr>
        <w:t xml:space="preserve">4 г.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0)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Устн</w:t>
      </w:r>
      <w:r>
        <w:rPr>
          <w:color w:val="000000" w:themeColor="text1"/>
          <w:highlight w:val="none"/>
        </w:rPr>
        <w:t xml:space="preserve">о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в Минэкономразвития Новосибирской области в </w:t>
      </w:r>
      <w:r>
        <w:rPr>
          <w:color w:val="000000" w:themeColor="text1"/>
          <w:highlight w:val="none"/>
        </w:rPr>
        <w:t xml:space="preserve">апреле</w:t>
      </w:r>
      <w:r>
        <w:rPr>
          <w:color w:val="000000" w:themeColor="text1"/>
          <w:highlight w:val="none"/>
        </w:rPr>
        <w:t xml:space="preserve"> 202</w:t>
      </w:r>
      <w:r>
        <w:rPr>
          <w:color w:val="000000" w:themeColor="text1"/>
          <w:highlight w:val="none"/>
        </w:rPr>
        <w:t xml:space="preserve">5 года </w:t>
      </w:r>
      <w:r>
        <w:rPr>
          <w:color w:val="000000" w:themeColor="text1"/>
          <w:highlight w:val="none"/>
        </w:rPr>
        <w:t xml:space="preserve">гражданине не обращались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0, в </w:t>
      </w:r>
      <w:r>
        <w:rPr>
          <w:i/>
          <w:color w:val="000000" w:themeColor="text1"/>
          <w:highlight w:val="none"/>
        </w:rPr>
        <w:t xml:space="preserve">апреле</w:t>
      </w:r>
      <w:r>
        <w:rPr>
          <w:i/>
          <w:color w:val="000000" w:themeColor="text1"/>
          <w:highlight w:val="none"/>
        </w:rPr>
        <w:t xml:space="preserve">20</w:t>
      </w:r>
      <w:r>
        <w:rPr>
          <w:i/>
          <w:color w:val="000000" w:themeColor="text1"/>
          <w:highlight w:val="none"/>
        </w:rPr>
        <w:t xml:space="preserve">24</w:t>
      </w:r>
      <w:r>
        <w:rPr>
          <w:i/>
          <w:color w:val="000000" w:themeColor="text1"/>
          <w:highlight w:val="none"/>
        </w:rPr>
        <w:t xml:space="preserve"> г</w:t>
      </w:r>
      <w:r>
        <w:rPr>
          <w:i/>
          <w:color w:val="000000" w:themeColor="text1"/>
          <w:highlight w:val="none"/>
        </w:rPr>
        <w:t xml:space="preserve">. –</w:t>
      </w:r>
      <w:r>
        <w:rPr>
          <w:i/>
          <w:color w:val="000000" w:themeColor="text1"/>
          <w:highlight w:val="none"/>
        </w:rPr>
        <w:t xml:space="preserve"> 0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.</w:t>
      </w:r>
      <w:r>
        <w:rPr>
          <w:i/>
          <w:color w:val="000000" w:themeColor="text1"/>
          <w:highlight w:val="none"/>
        </w:rPr>
      </w:r>
      <w:r>
        <w:rPr>
          <w:i/>
          <w:color w:val="000000" w:themeColor="text1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Структура и количество обращений граждан</w:t>
      </w:r>
      <w:r>
        <w:rPr>
          <w:b/>
          <w:color w:val="000000"/>
          <w:sz w:val="28"/>
          <w:szCs w:val="28"/>
          <w:highlight w:val="none"/>
        </w:rPr>
        <w:t xml:space="preserve">,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поступивших 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</w:t>
      </w:r>
      <w:r>
        <w:rPr>
          <w:b/>
          <w:color w:val="000000"/>
          <w:sz w:val="28"/>
          <w:szCs w:val="28"/>
          <w:highlight w:val="none"/>
        </w:rPr>
        <w:t xml:space="preserve"> марте, апреле </w:t>
      </w:r>
      <w:r>
        <w:rPr>
          <w:b/>
          <w:color w:val="000000"/>
          <w:sz w:val="28"/>
          <w:szCs w:val="28"/>
          <w:highlight w:val="none"/>
        </w:rPr>
        <w:t xml:space="preserve">202</w:t>
      </w:r>
      <w:r>
        <w:rPr>
          <w:b/>
          <w:color w:val="000000"/>
          <w:sz w:val="28"/>
          <w:szCs w:val="28"/>
          <w:highlight w:val="none"/>
        </w:rPr>
        <w:t xml:space="preserve">5 года и </w:t>
      </w:r>
      <w:r>
        <w:rPr>
          <w:b/>
          <w:color w:val="000000"/>
          <w:sz w:val="28"/>
          <w:szCs w:val="28"/>
          <w:highlight w:val="none"/>
        </w:rPr>
        <w:t xml:space="preserve">апреле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ind w:hanging="284"/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drawing>
          <wp:inline distT="0" distB="0" distL="0" distR="0">
            <wp:extent cx="4869633" cy="3458782"/>
            <wp:effectExtent l="1587" t="1587" r="1587" b="1587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none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yellow"/>
        </w:rPr>
      </w:pPr>
      <w:r>
        <w:rPr>
          <w:highlight w:val="yellow"/>
        </w:rPr>
      </w:r>
      <w:bookmarkStart w:id="0" w:name="_GoBack"/>
      <w:r>
        <w:rPr>
          <w:highlight w:val="yellow"/>
        </w:rPr>
      </w:r>
      <w:bookmarkEnd w:id="0"/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</w:p>
    <w:p>
      <w:pPr>
        <w:ind w:firstLine="851"/>
        <w:jc w:val="both"/>
        <w:rPr>
          <w:highlight w:val="none"/>
        </w:rPr>
      </w:pPr>
      <w:r>
        <w:rPr>
          <w:highlight w:val="none"/>
        </w:rPr>
        <w:t xml:space="preserve">По сравнению с </w:t>
      </w:r>
      <w:r>
        <w:rPr>
          <w:highlight w:val="none"/>
        </w:rPr>
        <w:t xml:space="preserve">мартом 2025 в </w:t>
      </w:r>
      <w:r>
        <w:rPr>
          <w:highlight w:val="none"/>
        </w:rPr>
        <w:t xml:space="preserve">апреле 2025</w:t>
      </w:r>
      <w:r>
        <w:rPr>
          <w:highlight w:val="none"/>
        </w:rPr>
        <w:t xml:space="preserve"> года общее количество поступивших обращений увеличилось на 88% (7 обращений), а по сравнению с </w:t>
      </w:r>
      <w:r>
        <w:rPr>
          <w:highlight w:val="none"/>
        </w:rPr>
        <w:t xml:space="preserve">апрелем </w:t>
      </w:r>
      <w:r>
        <w:rPr>
          <w:highlight w:val="none"/>
        </w:rPr>
        <w:t xml:space="preserve">202</w:t>
      </w:r>
      <w:r>
        <w:rPr>
          <w:highlight w:val="none"/>
        </w:rPr>
        <w:t xml:space="preserve">4 года </w:t>
      </w:r>
      <w:r>
        <w:rPr>
          <w:highlight w:val="none"/>
        </w:rPr>
        <w:t xml:space="preserve"> количество 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обращений </w:t>
      </w:r>
      <w:r>
        <w:rPr>
          <w:highlight w:val="none"/>
        </w:rPr>
        <w:t xml:space="preserve">увеличилось </w:t>
      </w:r>
      <w:r>
        <w:rPr>
          <w:highlight w:val="none"/>
        </w:rPr>
        <w:t xml:space="preserve">на 25% (3 обращения)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rPr>
          <w:rFonts w:ascii="Tahoma" w:hAnsi="Tahoma" w:cs="Tahoma"/>
          <w:sz w:val="17"/>
          <w:szCs w:val="17"/>
          <w:highlight w:val="none"/>
        </w:rPr>
      </w:pPr>
      <w:r>
        <w:rPr>
          <w:highlight w:val="none"/>
        </w:rPr>
        <w:t xml:space="preserve">По ви</w:t>
      </w:r>
      <w:r>
        <w:rPr>
          <w:highlight w:val="none"/>
        </w:rPr>
        <w:t xml:space="preserve">дам обращения, поступившие в апреле</w:t>
      </w:r>
      <w:r>
        <w:rPr>
          <w:highlight w:val="none"/>
        </w:rPr>
        <w:t xml:space="preserve"> 202</w:t>
      </w:r>
      <w:r>
        <w:rPr>
          <w:highlight w:val="none"/>
        </w:rPr>
        <w:t xml:space="preserve">5 года, подразделяются </w:t>
      </w:r>
      <w:r>
        <w:rPr>
          <w:highlight w:val="none"/>
        </w:rPr>
        <w:t xml:space="preserve">на:</w:t>
      </w:r>
      <w:r>
        <w:rPr>
          <w:rFonts w:ascii="Tahoma" w:hAnsi="Tahoma" w:cs="Tahoma"/>
          <w:sz w:val="17"/>
          <w:szCs w:val="17"/>
          <w:highlight w:val="none"/>
        </w:rPr>
      </w:r>
      <w:r>
        <w:rPr>
          <w:rFonts w:ascii="Tahoma" w:hAnsi="Tahoma" w:cs="Tahoma"/>
          <w:sz w:val="17"/>
          <w:szCs w:val="17"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заявления </w:t>
      </w:r>
      <w:r>
        <w:rPr>
          <w:highlight w:val="none"/>
        </w:rPr>
        <w:t xml:space="preserve">– </w:t>
      </w:r>
      <w:r>
        <w:rPr>
          <w:b/>
          <w:highlight w:val="none"/>
        </w:rPr>
        <w:t xml:space="preserve">10 </w:t>
      </w:r>
      <w:r>
        <w:rPr>
          <w:highlight w:val="none"/>
        </w:rPr>
        <w:t xml:space="preserve">(</w:t>
      </w:r>
      <w:r>
        <w:rPr>
          <w:highlight w:val="none"/>
        </w:rPr>
        <w:t xml:space="preserve">67%</w:t>
      </w:r>
      <w:r>
        <w:rPr>
          <w:highlight w:val="none"/>
        </w:rPr>
        <w:t xml:space="preserve">)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марте 202</w:t>
      </w:r>
      <w:r>
        <w:rPr>
          <w:i/>
          <w:highlight w:val="none"/>
        </w:rPr>
        <w:t xml:space="preserve">5 г. – </w:t>
      </w:r>
      <w:r>
        <w:rPr>
          <w:i/>
          <w:highlight w:val="none"/>
        </w:rPr>
        <w:t xml:space="preserve">8 (</w:t>
      </w:r>
      <w:r>
        <w:rPr>
          <w:i/>
          <w:highlight w:val="none"/>
        </w:rPr>
        <w:t xml:space="preserve">100%), в </w:t>
      </w:r>
      <w:r>
        <w:rPr>
          <w:i/>
          <w:highlight w:val="none"/>
        </w:rPr>
        <w:t xml:space="preserve">апреле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 </w:t>
      </w:r>
      <w:r>
        <w:rPr>
          <w:i/>
          <w:highlight w:val="none"/>
        </w:rPr>
        <w:t xml:space="preserve">11 (</w:t>
      </w:r>
      <w:r>
        <w:rPr>
          <w:i/>
          <w:highlight w:val="none"/>
        </w:rPr>
        <w:t xml:space="preserve">92%)</w:t>
      </w:r>
      <w:r>
        <w:rPr>
          <w:i/>
          <w:highlight w:val="none"/>
        </w:rPr>
        <w:t xml:space="preserve">)</w:t>
      </w:r>
      <w:r>
        <w:rPr>
          <w:i/>
          <w:highlight w:val="none"/>
        </w:rPr>
        <w:t xml:space="preserve">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</w:t>
      </w:r>
      <w:r>
        <w:rPr>
          <w:highlight w:val="none"/>
        </w:rPr>
        <w:t xml:space="preserve">жалобы</w:t>
      </w:r>
      <w:r>
        <w:rPr>
          <w:highlight w:val="none"/>
        </w:rPr>
        <w:t xml:space="preserve"> </w:t>
      </w:r>
      <w:r>
        <w:rPr>
          <w:highlight w:val="none"/>
        </w:rPr>
        <w:t xml:space="preserve">–</w:t>
      </w:r>
      <w:r>
        <w:rPr>
          <w:highlight w:val="none"/>
        </w:rPr>
        <w:t xml:space="preserve"> </w:t>
      </w:r>
      <w:r>
        <w:rPr>
          <w:b/>
          <w:highlight w:val="none"/>
        </w:rPr>
        <w:t xml:space="preserve">1 </w:t>
      </w:r>
      <w:r>
        <w:rPr>
          <w:b w:val="0"/>
          <w:bCs w:val="0"/>
          <w:highlight w:val="none"/>
        </w:rPr>
        <w:t xml:space="preserve">(6%)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марте</w:t>
      </w:r>
      <w:r>
        <w:rPr>
          <w:i/>
          <w:highlight w:val="none"/>
        </w:rPr>
        <w:t xml:space="preserve"> 202</w:t>
      </w:r>
      <w:r>
        <w:rPr>
          <w:i/>
          <w:highlight w:val="none"/>
        </w:rPr>
        <w:t xml:space="preserve">5 г. – 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,</w:t>
      </w:r>
      <w:r>
        <w:rPr>
          <w:i/>
          <w:highlight w:val="none"/>
        </w:rPr>
        <w:t xml:space="preserve"> в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апреле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 </w:t>
      </w:r>
      <w:r>
        <w:rPr>
          <w:i/>
          <w:highlight w:val="none"/>
        </w:rPr>
        <w:t xml:space="preserve">0);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предложения – </w:t>
      </w:r>
      <w:r>
        <w:rPr>
          <w:b/>
          <w:highlight w:val="none"/>
        </w:rPr>
        <w:t xml:space="preserve">4 </w:t>
      </w:r>
      <w:r>
        <w:rPr>
          <w:b w:val="0"/>
          <w:bCs w:val="0"/>
          <w:highlight w:val="none"/>
        </w:rPr>
        <w:t xml:space="preserve">(27%)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марте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 г. – 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, 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апреле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 </w:t>
      </w:r>
      <w:r>
        <w:rPr>
          <w:i/>
          <w:highlight w:val="none"/>
        </w:rPr>
        <w:t xml:space="preserve">1 (</w:t>
      </w:r>
      <w:r>
        <w:rPr>
          <w:i/>
          <w:highlight w:val="none"/>
        </w:rPr>
        <w:t xml:space="preserve">8%</w:t>
      </w:r>
      <w:r>
        <w:rPr>
          <w:i/>
          <w:highlight w:val="none"/>
        </w:rPr>
        <w:t xml:space="preserve">)</w:t>
      </w:r>
      <w:r>
        <w:rPr>
          <w:i/>
          <w:highlight w:val="none"/>
        </w:rPr>
        <w:t xml:space="preserve">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запросы –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0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марте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 г. – 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, в </w:t>
      </w:r>
      <w:r>
        <w:rPr>
          <w:i/>
          <w:highlight w:val="none"/>
        </w:rPr>
        <w:t xml:space="preserve">а</w:t>
      </w:r>
      <w:r>
        <w:rPr>
          <w:i/>
          <w:highlight w:val="none"/>
        </w:rPr>
        <w:t xml:space="preserve">преле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-0</w:t>
      </w:r>
      <w:r>
        <w:rPr>
          <w:i/>
          <w:highlight w:val="none"/>
        </w:rPr>
        <w:t xml:space="preserve">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не обращени</w:t>
      </w:r>
      <w:r>
        <w:rPr>
          <w:highlight w:val="none"/>
        </w:rPr>
        <w:t xml:space="preserve">я</w:t>
      </w:r>
      <w:r>
        <w:rPr>
          <w:highlight w:val="none"/>
        </w:rPr>
        <w:t xml:space="preserve"> – </w:t>
      </w:r>
      <w:r>
        <w:rPr>
          <w:b/>
          <w:highlight w:val="none"/>
        </w:rPr>
        <w:t xml:space="preserve">0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i/>
          <w:highlight w:val="none"/>
        </w:rPr>
        <w:t xml:space="preserve">в марте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 г. –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, в </w:t>
      </w:r>
      <w:r>
        <w:rPr>
          <w:i/>
          <w:highlight w:val="none"/>
        </w:rPr>
        <w:t xml:space="preserve">апреле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г.- 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).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 видам </w:t>
      </w:r>
      <w:r>
        <w:rPr>
          <w:b/>
          <w:color w:val="000000"/>
          <w:sz w:val="28"/>
          <w:szCs w:val="28"/>
          <w:highlight w:val="none"/>
        </w:rPr>
        <w:t xml:space="preserve">поступившие </w:t>
      </w:r>
      <w:r>
        <w:rPr>
          <w:b/>
          <w:color w:val="000000"/>
          <w:sz w:val="28"/>
          <w:szCs w:val="28"/>
          <w:highlight w:val="none"/>
        </w:rPr>
        <w:t xml:space="preserve">обращения подразделяются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drawing>
          <wp:inline distT="0" distB="0" distL="0" distR="0">
            <wp:extent cx="4180711" cy="3047999"/>
            <wp:effectExtent l="1587" t="1587" r="1587" b="1587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hanging="567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Тематика</w:t>
      </w:r>
      <w:r>
        <w:rPr>
          <w:b/>
          <w:color w:val="000000"/>
          <w:sz w:val="28"/>
          <w:szCs w:val="28"/>
          <w:highlight w:val="none"/>
        </w:rPr>
        <w:t xml:space="preserve"> вопросов в</w:t>
      </w:r>
      <w:r>
        <w:rPr>
          <w:b/>
          <w:color w:val="000000"/>
          <w:sz w:val="28"/>
          <w:szCs w:val="28"/>
          <w:highlight w:val="none"/>
        </w:rPr>
        <w:t xml:space="preserve"> письменных обращени</w:t>
      </w:r>
      <w:r>
        <w:rPr>
          <w:b/>
          <w:color w:val="000000"/>
          <w:sz w:val="28"/>
          <w:szCs w:val="28"/>
          <w:highlight w:val="none"/>
        </w:rPr>
        <w:t xml:space="preserve">ях</w:t>
      </w:r>
      <w:r>
        <w:rPr>
          <w:b/>
          <w:color w:val="000000"/>
          <w:sz w:val="28"/>
          <w:szCs w:val="28"/>
          <w:highlight w:val="none"/>
        </w:rPr>
        <w:t xml:space="preserve">, поступивших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  <w:t xml:space="preserve">в </w:t>
      </w:r>
      <w:r>
        <w:rPr>
          <w:b/>
          <w:color w:val="000000"/>
          <w:sz w:val="28"/>
          <w:szCs w:val="28"/>
          <w:highlight w:val="none"/>
        </w:rPr>
        <w:t xml:space="preserve">марте, апреле</w:t>
      </w:r>
      <w:r>
        <w:rPr>
          <w:b/>
          <w:color w:val="000000"/>
          <w:sz w:val="28"/>
          <w:szCs w:val="28"/>
          <w:highlight w:val="none"/>
        </w:rPr>
        <w:t xml:space="preserve"> 202</w:t>
      </w:r>
      <w:r>
        <w:rPr>
          <w:b/>
          <w:color w:val="000000"/>
          <w:sz w:val="28"/>
          <w:szCs w:val="28"/>
          <w:highlight w:val="none"/>
        </w:rPr>
        <w:t xml:space="preserve">5 года и </w:t>
      </w:r>
      <w:r>
        <w:rPr>
          <w:b/>
          <w:color w:val="000000"/>
          <w:sz w:val="28"/>
          <w:szCs w:val="28"/>
          <w:highlight w:val="none"/>
        </w:rPr>
        <w:t xml:space="preserve">апреле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drawing>
          <wp:inline distT="0" distB="0" distL="0" distR="0">
            <wp:extent cx="4772509" cy="2489276"/>
            <wp:effectExtent l="1587" t="1587" r="1587" b="1587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ind w:firstLine="993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В </w:t>
      </w:r>
      <w:r>
        <w:rPr>
          <w:color w:val="000000"/>
          <w:highlight w:val="none"/>
        </w:rPr>
        <w:t xml:space="preserve">13 письменн</w:t>
      </w:r>
      <w:r>
        <w:rPr>
          <w:color w:val="000000"/>
          <w:highlight w:val="none"/>
        </w:rPr>
        <w:t xml:space="preserve">ых</w:t>
      </w:r>
      <w:r>
        <w:rPr>
          <w:color w:val="000000"/>
          <w:highlight w:val="none"/>
        </w:rPr>
        <w:t xml:space="preserve"> обращени</w:t>
      </w:r>
      <w:r>
        <w:rPr>
          <w:color w:val="000000"/>
          <w:highlight w:val="none"/>
        </w:rPr>
        <w:t xml:space="preserve">ях</w:t>
      </w:r>
      <w:r>
        <w:rPr>
          <w:color w:val="000000"/>
          <w:highlight w:val="none"/>
        </w:rPr>
        <w:t xml:space="preserve">, поступивш</w:t>
      </w:r>
      <w:r>
        <w:rPr>
          <w:color w:val="000000"/>
          <w:highlight w:val="none"/>
        </w:rPr>
        <w:t xml:space="preserve">их</w:t>
      </w:r>
      <w:r>
        <w:rPr>
          <w:color w:val="000000"/>
          <w:highlight w:val="none"/>
        </w:rPr>
        <w:t xml:space="preserve"> в </w:t>
      </w:r>
      <w:r>
        <w:rPr>
          <w:color w:val="000000"/>
          <w:highlight w:val="none"/>
        </w:rPr>
        <w:t xml:space="preserve">апреле </w:t>
      </w:r>
      <w:r>
        <w:rPr>
          <w:color w:val="000000"/>
          <w:highlight w:val="none"/>
        </w:rPr>
        <w:t xml:space="preserve">202</w:t>
      </w:r>
      <w:r>
        <w:rPr>
          <w:color w:val="000000"/>
          <w:highlight w:val="none"/>
        </w:rPr>
        <w:t xml:space="preserve">5 года в </w:t>
      </w:r>
      <w:r>
        <w:rPr>
          <w:color w:val="000000"/>
          <w:highlight w:val="none"/>
        </w:rPr>
        <w:t xml:space="preserve">Минэкономразвития Новосибирской </w:t>
      </w:r>
      <w:r>
        <w:rPr>
          <w:color w:val="000000"/>
          <w:highlight w:val="none"/>
        </w:rPr>
        <w:t xml:space="preserve">области</w:t>
      </w:r>
      <w:r>
        <w:rPr>
          <w:color w:val="000000"/>
          <w:highlight w:val="none"/>
        </w:rPr>
        <w:t xml:space="preserve">,</w:t>
      </w:r>
      <w:r>
        <w:rPr>
          <w:color w:val="000000"/>
          <w:highlight w:val="none"/>
        </w:rPr>
        <w:t xml:space="preserve"> содерж</w:t>
      </w:r>
      <w:r>
        <w:rPr>
          <w:color w:val="000000"/>
          <w:highlight w:val="none"/>
        </w:rPr>
        <w:t xml:space="preserve">алось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13 </w:t>
      </w:r>
      <w:r>
        <w:rPr>
          <w:color w:val="000000"/>
          <w:highlight w:val="none"/>
        </w:rPr>
        <w:t xml:space="preserve">вопрос</w:t>
      </w:r>
      <w:r>
        <w:rPr>
          <w:color w:val="000000"/>
          <w:highlight w:val="none"/>
        </w:rPr>
        <w:t xml:space="preserve">ов: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ffffff" w:themeColor="background1" w:fill="ffffff" w:themeFill="background1"/>
        <w:rPr>
          <w:color w:val="000000"/>
          <w:highlight w:val="none"/>
        </w:rPr>
      </w:pPr>
      <w:r>
        <w:rPr>
          <w:color w:val="000000"/>
          <w:highlight w:val="none"/>
        </w:rPr>
        <w:t xml:space="preserve">-</w:t>
      </w:r>
      <w:r>
        <w:rPr>
          <w:color w:val="000000"/>
          <w:highlight w:val="none"/>
        </w:rPr>
        <w:t xml:space="preserve"> по основ</w:t>
      </w:r>
      <w:r>
        <w:rPr>
          <w:color w:val="000000"/>
          <w:highlight w:val="none"/>
        </w:rPr>
        <w:t xml:space="preserve">ам</w:t>
      </w:r>
      <w:r>
        <w:rPr>
          <w:color w:val="000000"/>
          <w:highlight w:val="none"/>
        </w:rPr>
        <w:t xml:space="preserve"> государственного управления </w:t>
      </w:r>
      <w:r>
        <w:rPr>
          <w:color w:val="000000"/>
          <w:highlight w:val="none"/>
        </w:rPr>
        <w:t xml:space="preserve">–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2 </w:t>
      </w:r>
      <w:r>
        <w:rPr>
          <w:color w:val="000000" w:themeColor="text1"/>
          <w:highlight w:val="none"/>
        </w:rPr>
        <w:t xml:space="preserve">(</w:t>
      </w:r>
      <w:r>
        <w:rPr>
          <w:color w:val="000000" w:themeColor="text1"/>
          <w:highlight w:val="none"/>
        </w:rPr>
        <w:t xml:space="preserve">15%)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марте 202</w:t>
      </w:r>
      <w:r>
        <w:rPr>
          <w:i/>
          <w:color w:val="000000" w:themeColor="text1"/>
          <w:highlight w:val="none"/>
        </w:rPr>
        <w:t xml:space="preserve">5г. –</w:t>
      </w:r>
      <w:r>
        <w:rPr>
          <w:i/>
          <w:color w:val="000000" w:themeColor="text1"/>
          <w:highlight w:val="none"/>
        </w:rPr>
        <w:t xml:space="preserve"> 2</w:t>
      </w:r>
      <w:r>
        <w:rPr>
          <w:i/>
          <w:color w:val="000000" w:themeColor="text1"/>
          <w:highlight w:val="none"/>
        </w:rPr>
        <w:t xml:space="preserve"> (</w:t>
      </w:r>
      <w:r>
        <w:rPr>
          <w:i/>
          <w:color w:val="000000" w:themeColor="text1"/>
          <w:highlight w:val="none"/>
        </w:rPr>
        <w:t xml:space="preserve">25%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, в апреле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- </w:t>
      </w:r>
      <w:r>
        <w:rPr>
          <w:i/>
          <w:color w:val="000000" w:themeColor="text1"/>
          <w:highlight w:val="none"/>
        </w:rPr>
        <w:t xml:space="preserve">4 (</w:t>
      </w:r>
      <w:r>
        <w:rPr>
          <w:i/>
          <w:color w:val="000000" w:themeColor="text1"/>
          <w:highlight w:val="none"/>
        </w:rPr>
        <w:t xml:space="preserve">33%)</w:t>
      </w:r>
      <w:r>
        <w:rPr>
          <w:i/>
          <w:color w:val="000000"/>
          <w:highlight w:val="none"/>
        </w:rPr>
        <w:t xml:space="preserve">)</w:t>
      </w:r>
      <w:r>
        <w:rPr>
          <w:color w:val="000000"/>
          <w:highlight w:val="none"/>
        </w:rPr>
        <w:t xml:space="preserve">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По данной теме наиболее часто задаваемый вопрос организация работы.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i w:val="0"/>
          <w:iCs w:val="0"/>
          <w:color w:val="000000"/>
          <w:highlight w:val="none"/>
        </w:rPr>
      </w:pPr>
      <w:r>
        <w:rPr>
          <w:color w:val="000000"/>
          <w:highlight w:val="none"/>
        </w:rPr>
        <w:t xml:space="preserve">-</w:t>
      </w:r>
      <w:r>
        <w:rPr>
          <w:color w:val="000000"/>
          <w:highlight w:val="none"/>
        </w:rPr>
        <w:t xml:space="preserve"> п</w:t>
      </w:r>
      <w:r>
        <w:rPr>
          <w:color w:val="000000"/>
          <w:highlight w:val="none"/>
        </w:rPr>
        <w:t xml:space="preserve">о социальному обеспечению и социальному страхо</w:t>
      </w:r>
      <w:r>
        <w:rPr>
          <w:color w:val="000000"/>
          <w:highlight w:val="none"/>
        </w:rPr>
        <w:t xml:space="preserve">ванию </w:t>
      </w:r>
      <w:r>
        <w:rPr>
          <w:color w:val="000000"/>
          <w:highlight w:val="none"/>
        </w:rPr>
        <w:t xml:space="preserve">–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8%)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0,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апреле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0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поступило от жительницы г. Новосибирска об оказании платных юридических услуг в ГАУ НСО «МФЦ»</w:t>
      </w:r>
      <w:r>
        <w:rPr>
          <w:i w:val="0"/>
          <w:iCs w:val="0"/>
          <w:color w:val="000000"/>
          <w:highlight w:val="none"/>
        </w:rPr>
      </w:r>
      <w:r>
        <w:rPr>
          <w:i w:val="0"/>
          <w:iCs w:val="0"/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bCs/>
          <w:i/>
          <w:color w:val="000000" w:themeColor="text1"/>
          <w:highlight w:val="none"/>
        </w:rPr>
      </w:pPr>
      <w:r>
        <w:rPr>
          <w:color w:val="000000"/>
          <w:highlight w:val="none"/>
        </w:rPr>
        <w:t xml:space="preserve">-</w:t>
      </w:r>
      <w:r>
        <w:rPr>
          <w:color w:val="000000"/>
          <w:highlight w:val="none"/>
        </w:rPr>
        <w:t xml:space="preserve"> по здравоохранению, физической культуре и спорту, туризму - </w:t>
      </w:r>
      <w:r>
        <w:rPr>
          <w:b/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6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46%)</w:t>
      </w:r>
      <w:r>
        <w:rPr>
          <w:color w:val="000000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4(50%),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апреле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4 (33%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;</w:t>
      </w:r>
      <w:r>
        <w:rPr>
          <w:bCs/>
          <w:i/>
          <w:color w:val="000000" w:themeColor="text1"/>
          <w:highlight w:val="none"/>
        </w:rPr>
      </w:r>
      <w:r>
        <w:rPr>
          <w:bCs/>
          <w:i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bCs w:val="0"/>
          <w:i w:val="0"/>
          <w:color w:val="000000" w:themeColor="text1"/>
          <w:highlight w:val="none"/>
        </w:rPr>
      </w:pPr>
      <w:r>
        <w:rPr>
          <w:i/>
          <w:color w:val="000000" w:themeColor="text1"/>
          <w:highlight w:val="none"/>
        </w:rPr>
      </w:r>
      <w:r>
        <w:rPr>
          <w:color w:val="000000"/>
          <w:highlight w:val="none"/>
        </w:rPr>
        <w:t xml:space="preserve">По данной теме наиболее часто задаваемый вопрос</w:t>
      </w:r>
      <w:r>
        <w:rPr>
          <w:i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касался туризма в Новосибирской области и аттестации гидов.</w:t>
      </w:r>
      <w:r>
        <w:rPr>
          <w:bCs w:val="0"/>
          <w:i w:val="0"/>
          <w:color w:val="000000" w:themeColor="text1"/>
          <w:highlight w:val="none"/>
        </w:rPr>
      </w:r>
      <w:r>
        <w:rPr>
          <w:bCs w:val="0"/>
          <w:i w:val="0"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i/>
          <w:color w:val="000000" w:themeColor="text1"/>
          <w:highlight w:val="none"/>
        </w:rPr>
        <w:t xml:space="preserve">-</w:t>
      </w:r>
      <w:r>
        <w:rPr>
          <w:i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по труду и занятости населения - 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8%)</w:t>
      </w:r>
      <w:r>
        <w:rPr>
          <w:i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марте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0,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апреле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 w:val="0"/>
          <w:iCs w:val="0"/>
          <w:color w:val="000000" w:themeColor="text1"/>
          <w:highlight w:val="none"/>
        </w:rPr>
        <w:t xml:space="preserve">1 (8%))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обратилась жительница г. Новосибирска о нарушении трудовых работника ГАУ НСО «МФЦ».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</w:pPr>
      <w:r>
        <w:rPr>
          <w:color w:val="000000"/>
          <w:highlight w:val="none"/>
        </w:rPr>
      </w:r>
      <w:r>
        <w:rPr>
          <w:i/>
          <w:color w:val="000000" w:themeColor="text1"/>
          <w:highlight w:val="none"/>
        </w:rPr>
        <w:t xml:space="preserve">-</w:t>
      </w:r>
      <w:r>
        <w:rPr>
          <w:i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по финансам - 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3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23%)</w:t>
      </w:r>
      <w:r>
        <w:rPr>
          <w:i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марте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1(13%),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апреле 202</w:t>
      </w:r>
      <w:r>
        <w:rPr>
          <w:i/>
          <w:color w:val="000000" w:themeColor="text1"/>
          <w:highlight w:val="none"/>
        </w:rPr>
        <w:t xml:space="preserve">4г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 w:val="0"/>
          <w:iCs w:val="0"/>
          <w:color w:val="000000" w:themeColor="text1"/>
          <w:highlight w:val="none"/>
        </w:rPr>
        <w:t xml:space="preserve">0)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наиболее часто 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задаваемый вопрос 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о стратегии развития Новосибирской области с 2025 по 2050 годы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426"/>
        <w:jc w:val="both"/>
        <w:shd w:val="clear" w:color="auto" w:fill="ffffff"/>
        <w:rPr>
          <w:bCs/>
          <w:i/>
          <w:color w:val="000000" w:themeColor="text1"/>
          <w:highlight w:val="none"/>
        </w:rPr>
      </w:pPr>
      <w:r>
        <w:rPr>
          <w:i w:val="0"/>
          <w:iCs w:val="0"/>
          <w:color w:val="000000" w:themeColor="text1"/>
          <w:highlight w:val="none"/>
        </w:rPr>
        <w:t xml:space="preserve">Наибольшее ко</w:t>
      </w:r>
      <w:r>
        <w:rPr>
          <w:i w:val="0"/>
          <w:iCs w:val="0"/>
          <w:color w:val="000000" w:themeColor="text1"/>
          <w:highlight w:val="none"/>
        </w:rPr>
        <w:t xml:space="preserve">личество письменных обращений обращений поступило от жителей  г.Новосибирска (11), Новосибирской области (1), без указания адреса (1).</w:t>
      </w:r>
      <w:r>
        <w:rPr>
          <w:bCs/>
          <w:i/>
          <w:color w:val="000000" w:themeColor="text1"/>
          <w:highlight w:val="none"/>
        </w:rPr>
      </w:r>
      <w:r>
        <w:rPr>
          <w:bCs/>
          <w:i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i/>
          <w:color w:val="000000" w:themeColor="text1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В </w:t>
      </w:r>
      <w:r>
        <w:rPr>
          <w:i w:val="0"/>
          <w:iCs w:val="0"/>
          <w:color w:val="000000" w:themeColor="text1"/>
          <w:highlight w:val="none"/>
        </w:rPr>
        <w:t xml:space="preserve">апреле </w:t>
      </w:r>
      <w:r>
        <w:rPr>
          <w:color w:val="000000"/>
          <w:highlight w:val="none"/>
        </w:rPr>
        <w:t xml:space="preserve">202</w:t>
      </w:r>
      <w:r>
        <w:rPr>
          <w:color w:val="000000"/>
          <w:highlight w:val="none"/>
        </w:rPr>
        <w:t xml:space="preserve">5 года подготовлены и направлены </w:t>
      </w:r>
      <w:r>
        <w:rPr>
          <w:color w:val="000000"/>
          <w:highlight w:val="none"/>
        </w:rPr>
        <w:t xml:space="preserve">ответы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на </w:t>
      </w:r>
      <w:r>
        <w:rPr>
          <w:color w:val="000000"/>
          <w:highlight w:val="none"/>
        </w:rPr>
        <w:t xml:space="preserve">12 письменн</w:t>
      </w:r>
      <w:r>
        <w:rPr>
          <w:color w:val="000000"/>
          <w:highlight w:val="none"/>
        </w:rPr>
        <w:t xml:space="preserve">ых</w:t>
      </w:r>
      <w:r>
        <w:rPr>
          <w:color w:val="000000"/>
          <w:highlight w:val="none"/>
        </w:rPr>
        <w:t xml:space="preserve"> обращени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граждан</w:t>
      </w:r>
      <w:r>
        <w:rPr>
          <w:color w:val="000000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(в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-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8, в </w:t>
      </w:r>
      <w:r>
        <w:rPr>
          <w:i/>
          <w:color w:val="000000" w:themeColor="text1"/>
          <w:highlight w:val="none"/>
        </w:rPr>
        <w:t xml:space="preserve">апреле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. - </w:t>
      </w:r>
      <w:r>
        <w:rPr>
          <w:i/>
          <w:color w:val="000000" w:themeColor="text1"/>
          <w:highlight w:val="none"/>
        </w:rPr>
        <w:t xml:space="preserve">16), из них: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даны разъяснения - 12 (100%);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перенаправлено по компетенции - 0.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На конец апреля</w:t>
      </w:r>
      <w:r>
        <w:rPr>
          <w:color w:val="000000"/>
          <w:highlight w:val="none"/>
        </w:rPr>
        <w:t xml:space="preserve"> 20</w:t>
      </w:r>
      <w:r>
        <w:rPr>
          <w:color w:val="000000"/>
          <w:highlight w:val="none"/>
        </w:rPr>
        <w:t xml:space="preserve">2</w:t>
      </w:r>
      <w:r>
        <w:rPr>
          <w:color w:val="000000"/>
          <w:highlight w:val="none"/>
        </w:rPr>
        <w:t xml:space="preserve">5 года в министерстве экономического развит</w:t>
      </w:r>
      <w:r>
        <w:rPr>
          <w:color w:val="000000"/>
          <w:highlight w:val="none"/>
        </w:rPr>
        <w:t xml:space="preserve">ия Новосибирской области</w:t>
      </w:r>
      <w:r>
        <w:rPr>
          <w:color w:val="000000"/>
          <w:highlight w:val="none"/>
        </w:rPr>
        <w:t xml:space="preserve"> находилось на </w:t>
      </w:r>
      <w:r>
        <w:rPr>
          <w:color w:val="000000"/>
          <w:highlight w:val="none"/>
        </w:rPr>
        <w:t xml:space="preserve">рассмотрении </w:t>
      </w:r>
      <w:r>
        <w:rPr>
          <w:color w:val="000000"/>
          <w:highlight w:val="none"/>
        </w:rPr>
        <w:t xml:space="preserve">5 обращени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  <w:t xml:space="preserve"> граждан</w:t>
      </w:r>
      <w:r>
        <w:rPr>
          <w:color w:val="000000"/>
          <w:highlight w:val="none"/>
        </w:rPr>
        <w:t xml:space="preserve">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b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851" w:right="707" w:bottom="709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832"/>
      <w:isLgl w:val="false"/>
      <w:suff w:val="tab"/>
      <w:lvlText w:val="%1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769" w:hanging="1800"/>
        <w:tabs>
          <w:tab w:val="num" w:pos="576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63" w:hanging="2160"/>
        <w:tabs>
          <w:tab w:val="num" w:pos="7263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7"/>
    <w:link w:val="828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7"/>
    <w:link w:val="829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7"/>
    <w:link w:val="830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7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37"/>
    <w:link w:val="832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37"/>
    <w:link w:val="833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37"/>
    <w:link w:val="8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37"/>
    <w:link w:val="835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37"/>
    <w:link w:val="836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27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27"/>
    <w:next w:val="827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37"/>
    <w:link w:val="669"/>
    <w:uiPriority w:val="10"/>
    <w:rPr>
      <w:sz w:val="48"/>
      <w:szCs w:val="48"/>
    </w:rPr>
  </w:style>
  <w:style w:type="paragraph" w:styleId="671">
    <w:name w:val="Subtitle"/>
    <w:basedOn w:val="827"/>
    <w:next w:val="827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37"/>
    <w:link w:val="671"/>
    <w:uiPriority w:val="11"/>
    <w:rPr>
      <w:sz w:val="24"/>
      <w:szCs w:val="24"/>
    </w:rPr>
  </w:style>
  <w:style w:type="paragraph" w:styleId="673">
    <w:name w:val="Quote"/>
    <w:basedOn w:val="827"/>
    <w:next w:val="827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7"/>
    <w:next w:val="827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27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Header Char"/>
    <w:basedOn w:val="837"/>
    <w:link w:val="677"/>
    <w:uiPriority w:val="99"/>
  </w:style>
  <w:style w:type="paragraph" w:styleId="679">
    <w:name w:val="Footer"/>
    <w:basedOn w:val="827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37"/>
    <w:link w:val="679"/>
    <w:uiPriority w:val="99"/>
  </w:style>
  <w:style w:type="paragraph" w:styleId="681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7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7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sz w:val="24"/>
      <w:szCs w:val="24"/>
      <w:lang w:eastAsia="ru-RU"/>
    </w:rPr>
  </w:style>
  <w:style w:type="paragraph" w:styleId="828">
    <w:name w:val="Heading 1"/>
    <w:basedOn w:val="827"/>
    <w:next w:val="827"/>
    <w:link w:val="840"/>
    <w:uiPriority w:val="9"/>
    <w:qFormat/>
    <w:pPr>
      <w:ind w:left="567" w:firstLine="567"/>
      <w:jc w:val="both"/>
      <w:keepNext/>
      <w:outlineLvl w:val="0"/>
    </w:pPr>
    <w:rPr>
      <w:b/>
      <w:sz w:val="28"/>
      <w:szCs w:val="20"/>
    </w:rPr>
  </w:style>
  <w:style w:type="paragraph" w:styleId="829">
    <w:name w:val="Heading 2"/>
    <w:basedOn w:val="827"/>
    <w:next w:val="827"/>
    <w:link w:val="841"/>
    <w:qFormat/>
    <w:pPr>
      <w:ind w:left="2019" w:right="176" w:hanging="2019"/>
      <w:jc w:val="center"/>
      <w:keepNext/>
      <w:outlineLvl w:val="1"/>
    </w:pPr>
    <w:rPr>
      <w:b/>
      <w:sz w:val="20"/>
      <w:szCs w:val="20"/>
      <w:lang w:val="en-US"/>
    </w:rPr>
  </w:style>
  <w:style w:type="paragraph" w:styleId="830">
    <w:name w:val="Heading 3"/>
    <w:basedOn w:val="827"/>
    <w:next w:val="827"/>
    <w:link w:val="842"/>
    <w:qFormat/>
    <w:pPr>
      <w:jc w:val="center"/>
      <w:keepNext/>
      <w:outlineLvl w:val="2"/>
    </w:pPr>
    <w:rPr>
      <w:b/>
      <w:sz w:val="22"/>
      <w:szCs w:val="20"/>
      <w:lang w:val="en-US"/>
    </w:rPr>
  </w:style>
  <w:style w:type="paragraph" w:styleId="831">
    <w:name w:val="Heading 4"/>
    <w:basedOn w:val="827"/>
    <w:next w:val="827"/>
    <w:link w:val="843"/>
    <w:qFormat/>
    <w:pPr>
      <w:jc w:val="center"/>
      <w:keepNext/>
      <w:outlineLvl w:val="3"/>
    </w:pPr>
    <w:rPr>
      <w:b/>
      <w:sz w:val="20"/>
      <w:szCs w:val="20"/>
      <w:lang w:val="en-US"/>
    </w:rPr>
  </w:style>
  <w:style w:type="paragraph" w:styleId="832">
    <w:name w:val="Heading 5"/>
    <w:basedOn w:val="827"/>
    <w:next w:val="827"/>
    <w:link w:val="844"/>
    <w:qFormat/>
    <w:pPr>
      <w:numPr>
        <w:ilvl w:val="0"/>
        <w:numId w:val="1"/>
      </w:numPr>
      <w:jc w:val="center"/>
      <w:keepNext/>
      <w:outlineLvl w:val="4"/>
    </w:pPr>
    <w:rPr>
      <w:b/>
      <w:sz w:val="32"/>
      <w:szCs w:val="20"/>
    </w:rPr>
  </w:style>
  <w:style w:type="paragraph" w:styleId="833">
    <w:name w:val="Heading 6"/>
    <w:basedOn w:val="827"/>
    <w:next w:val="827"/>
    <w:link w:val="845"/>
    <w:qFormat/>
    <w:pPr>
      <w:jc w:val="center"/>
      <w:keepNext/>
      <w:spacing w:line="240" w:lineRule="exact"/>
      <w:outlineLvl w:val="5"/>
    </w:pPr>
    <w:rPr>
      <w:b/>
      <w:szCs w:val="20"/>
    </w:rPr>
  </w:style>
  <w:style w:type="paragraph" w:styleId="834">
    <w:name w:val="Heading 7"/>
    <w:basedOn w:val="827"/>
    <w:next w:val="827"/>
    <w:link w:val="846"/>
    <w:qFormat/>
    <w:pPr>
      <w:jc w:val="both"/>
      <w:keepNext/>
      <w:spacing w:line="240" w:lineRule="exact"/>
      <w:outlineLvl w:val="6"/>
    </w:pPr>
    <w:rPr>
      <w:b/>
      <w:sz w:val="28"/>
      <w:szCs w:val="20"/>
    </w:rPr>
  </w:style>
  <w:style w:type="paragraph" w:styleId="835">
    <w:name w:val="Heading 8"/>
    <w:basedOn w:val="827"/>
    <w:next w:val="827"/>
    <w:link w:val="847"/>
    <w:qFormat/>
    <w:pPr>
      <w:jc w:val="center"/>
      <w:keepNext/>
      <w:outlineLvl w:val="7"/>
    </w:pPr>
    <w:rPr>
      <w:b/>
      <w:sz w:val="28"/>
      <w:szCs w:val="20"/>
    </w:rPr>
  </w:style>
  <w:style w:type="paragraph" w:styleId="836">
    <w:name w:val="Heading 9"/>
    <w:basedOn w:val="827"/>
    <w:next w:val="827"/>
    <w:link w:val="848"/>
    <w:qFormat/>
    <w:pPr>
      <w:ind w:left="720"/>
      <w:jc w:val="center"/>
      <w:keepNext/>
      <w:outlineLvl w:val="8"/>
    </w:pPr>
    <w:rPr>
      <w:b/>
      <w:sz w:val="32"/>
      <w:szCs w:val="20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28"/>
    <w:uiPriority w:val="9"/>
    <w:rPr>
      <w:b/>
      <w:sz w:val="28"/>
      <w:lang w:eastAsia="ru-RU"/>
    </w:rPr>
  </w:style>
  <w:style w:type="character" w:styleId="841" w:customStyle="1">
    <w:name w:val="Заголовок 2 Знак"/>
    <w:basedOn w:val="837"/>
    <w:link w:val="829"/>
    <w:rPr>
      <w:b/>
      <w:lang w:val="en-US" w:eastAsia="ru-RU"/>
    </w:rPr>
  </w:style>
  <w:style w:type="character" w:styleId="842" w:customStyle="1">
    <w:name w:val="Заголовок 3 Знак"/>
    <w:basedOn w:val="837"/>
    <w:link w:val="830"/>
    <w:rPr>
      <w:b/>
      <w:sz w:val="22"/>
      <w:lang w:val="en-US" w:eastAsia="ru-RU"/>
    </w:rPr>
  </w:style>
  <w:style w:type="character" w:styleId="843" w:customStyle="1">
    <w:name w:val="Заголовок 4 Знак"/>
    <w:basedOn w:val="837"/>
    <w:link w:val="831"/>
    <w:rPr>
      <w:b/>
      <w:lang w:val="en-US" w:eastAsia="ru-RU"/>
    </w:rPr>
  </w:style>
  <w:style w:type="character" w:styleId="844" w:customStyle="1">
    <w:name w:val="Заголовок 5 Знак"/>
    <w:basedOn w:val="837"/>
    <w:link w:val="832"/>
    <w:rPr>
      <w:b/>
      <w:sz w:val="32"/>
      <w:lang w:eastAsia="ru-RU"/>
    </w:rPr>
  </w:style>
  <w:style w:type="character" w:styleId="845" w:customStyle="1">
    <w:name w:val="Заголовок 6 Знак"/>
    <w:basedOn w:val="837"/>
    <w:link w:val="833"/>
    <w:rPr>
      <w:b/>
      <w:sz w:val="24"/>
      <w:lang w:eastAsia="ru-RU"/>
    </w:rPr>
  </w:style>
  <w:style w:type="character" w:styleId="846" w:customStyle="1">
    <w:name w:val="Заголовок 7 Знак"/>
    <w:basedOn w:val="837"/>
    <w:link w:val="834"/>
    <w:rPr>
      <w:b/>
      <w:sz w:val="28"/>
      <w:lang w:eastAsia="ru-RU"/>
    </w:rPr>
  </w:style>
  <w:style w:type="character" w:styleId="847" w:customStyle="1">
    <w:name w:val="Заголовок 8 Знак"/>
    <w:basedOn w:val="837"/>
    <w:link w:val="835"/>
    <w:rPr>
      <w:b/>
      <w:sz w:val="28"/>
      <w:lang w:eastAsia="ru-RU"/>
    </w:rPr>
  </w:style>
  <w:style w:type="character" w:styleId="848" w:customStyle="1">
    <w:name w:val="Заголовок 9 Знак"/>
    <w:basedOn w:val="837"/>
    <w:link w:val="836"/>
    <w:rPr>
      <w:b/>
      <w:sz w:val="32"/>
      <w:lang w:eastAsia="ru-RU"/>
    </w:rPr>
  </w:style>
  <w:style w:type="paragraph" w:styleId="849">
    <w:name w:val="Normal (Web)"/>
    <w:basedOn w:val="827"/>
    <w:uiPriority w:val="99"/>
    <w:semiHidden/>
    <w:unhideWhenUsed/>
    <w:pPr>
      <w:spacing w:before="100" w:beforeAutospacing="1" w:after="100" w:afterAutospacing="1"/>
    </w:pPr>
  </w:style>
  <w:style w:type="character" w:styleId="850" w:customStyle="1">
    <w:name w:val="apple-converted-space"/>
    <w:basedOn w:val="837"/>
  </w:style>
  <w:style w:type="paragraph" w:styleId="851">
    <w:name w:val="Balloon Text"/>
    <w:basedOn w:val="827"/>
    <w:link w:val="852"/>
    <w:uiPriority w:val="99"/>
    <w:semiHidden/>
    <w:unhideWhenUsed/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37"/>
    <w:link w:val="851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53">
    <w:name w:val="Emphasis"/>
    <w:basedOn w:val="837"/>
    <w:uiPriority w:val="20"/>
    <w:qFormat/>
    <w:rPr>
      <w:i/>
      <w:iCs/>
    </w:rPr>
  </w:style>
  <w:style w:type="paragraph" w:styleId="854" w:customStyle="1">
    <w:name w:val="Default"/>
    <w:rPr>
      <w:color w:val="000000"/>
      <w:sz w:val="24"/>
      <w:szCs w:val="24"/>
    </w:rPr>
  </w:style>
  <w:style w:type="character" w:styleId="855" w:customStyle="1">
    <w:name w:val="title_wrapper"/>
    <w:basedOn w:val="83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>
        <c:manualLayout>
          <c:layoutTarget val="inner"/>
          <c:xMode val="edge"/>
          <c:yMode val="edge"/>
          <c:wMode val="factor"/>
          <c:hMode val="factor"/>
          <c:x val="0.049890"/>
          <c:y val="0.051400"/>
          <c:w val="0.858640"/>
          <c:h val="0.672610"/>
        </c:manualLayout>
      </c:layout>
      <c:lineChart>
        <c:grouping val="standard"/>
        <c:varyColors val="0"/>
        <c:ser>
          <c:idx val="0"/>
          <c:order val="0"/>
          <c:tx>
            <c:strRef>
              <c:f xml:space="preserve">'графики 1_2022'!$B$5</c:f>
              <c:strCache>
                <c:ptCount val="1"/>
                <c:pt idx="0">
                  <c:v xml:space="preserve">апрель 2024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666699"/>
              </a:solidFill>
              <a:prstDash val="solid"/>
            </a:ln>
          </c:spPr>
          <c:marker>
            <c:symbol val="diamond"/>
            <c:size val="7"/>
            <c:spPr bwMode="auto">
              <a:prstGeom prst="rect">
                <a:avLst/>
              </a:prstGeom>
              <a:solidFill>
                <a:srgbClr val="4F81B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1_2022'!$B$6:$B$10</c:f>
              <c:numCache>
                <c:formatCode>General</c:formatCode>
                <c:ptCount val="5"/>
                <c:pt idx="0">
                  <c:v>12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 xml:space="preserve">'графики 1_2022'!$C$5</c:f>
              <c:strCache>
                <c:ptCount val="1"/>
                <c:pt idx="0">
                  <c:v xml:space="preserve">март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993366"/>
              </a:solidFill>
              <a:prstDash val="solid"/>
            </a:ln>
          </c:spPr>
          <c:marker>
            <c:symbol val="square"/>
            <c:size val="7"/>
            <c:spPr bwMode="auto">
              <a:prstGeom prst="rect">
                <a:avLst/>
              </a:prstGeom>
              <a:solidFill>
                <a:srgbClr val="C0504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1_2022'!$C$6:$C$10</c:f>
              <c:numCache>
                <c:formatCode>General</c:formatCode>
                <c:ptCount val="5"/>
                <c:pt idx="0">
                  <c:v>8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 xml:space="preserve">'графики 1_2022'!$D$5</c:f>
              <c:strCache>
                <c:ptCount val="1"/>
                <c:pt idx="0">
                  <c:v xml:space="preserve">апрель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339966"/>
              </a:solidFill>
              <a:prstDash val="solid"/>
            </a:ln>
          </c:spPr>
          <c:marker>
            <c:symbol val="triangle"/>
            <c:size val="7"/>
            <c:spPr bwMode="auto">
              <a:prstGeom prst="rect">
                <a:avLst/>
              </a:prstGeom>
              <a:solidFill>
                <a:srgbClr val="9BBB59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1_2022'!$D$6:$D$10</c:f>
              <c:numCache>
                <c:formatCode>General</c:formatCode>
                <c:ptCount val="5"/>
                <c:pt idx="0">
                  <c:v>15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smooth val="0"/>
        <c:axId val="511721973"/>
        <c:axId val="511721974"/>
      </c:lineChart>
      <c:catAx>
        <c:axId val="51172197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511721974"/>
        <c:crosses val="autoZero"/>
        <c:lblAlgn val="ctr"/>
        <c:lblOffset val="100"/>
        <c:noMultiLvlLbl val="0"/>
      </c:catAx>
      <c:valAx>
        <c:axId val="51172197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511721973"/>
        <c:crosses val="autoZero"/>
        <c:crossBetween val="midCat"/>
      </c:valAx>
      <c:spPr bwMode="auto">
        <a:prstGeom prst="rect">
          <a:avLst/>
        </a:prstGeom>
        <a:solidFill>
          <a:srgbClr val="FFFFFF"/>
        </a:solidFill>
        <a:ln w="3175">
          <a:noFill/>
        </a:ln>
      </c:spPr>
    </c:plotArea>
    <c:legend>
      <c:layout>
        <c:manualLayout>
          <c:xMode val="edge"/>
          <c:yMode val="edge"/>
          <c:wMode val="edge"/>
          <c:hMode val="edge"/>
          <c:x val="0.035970"/>
          <c:y val="0.943500"/>
          <c:w val="0.93475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4869632" cy="3458781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  <a:bevel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57"/>
      <c:rotY val="20"/>
      <c:depthPercent val="100"/>
      <c:rAngAx val="0"/>
      <c:perspective val="30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54560"/>
          <c:y val="0.029250"/>
          <c:w val="0.936730"/>
          <c:h val="0.79657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 xml:space="preserve">'графики 1_2022'!$B$22</c:f>
              <c:strCache>
                <c:ptCount val="1"/>
                <c:pt idx="0">
                  <c:v xml:space="preserve">апрель 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46B3E4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1_2022'!$B$23:$B$27</c:f>
              <c:numCache>
                <c:formatCode>General</c:formatCode>
                <c:ptCount val="5"/>
                <c:pt idx="0">
                  <c:v>11</c:v>
                </c:pt>
                <c:pt idx="2">
                  <c:v>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 xml:space="preserve">'графики 1_2022'!$C$22</c:f>
              <c:strCache>
                <c:ptCount val="1"/>
                <c:pt idx="0">
                  <c:v xml:space="preserve">март 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E46C0A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1_2022'!$C$23:$C$27</c:f>
              <c:numCache>
                <c:formatCode>General</c:formatCode>
                <c:ptCount val="5"/>
                <c:pt idx="0">
                  <c:v>8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 xml:space="preserve">'графики 1_2022'!$D$22</c:f>
              <c:strCache>
                <c:ptCount val="1"/>
                <c:pt idx="0">
                  <c:v xml:space="preserve">апрель 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FF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1_2022'!$D$23:$D$27</c:f>
              <c:numCache>
                <c:formatCode>General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shape val="cylinder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866169476"/>
        <c:axId val="1866169477"/>
        <c:axId val="1866169478"/>
      </c:bar3DChart>
      <c:catAx>
        <c:axId val="18661694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77"/>
        <c:crosses val="autoZero"/>
        <c:lblAlgn val="ctr"/>
        <c:lblOffset val="100"/>
        <c:noMultiLvlLbl val="0"/>
      </c:catAx>
      <c:valAx>
        <c:axId val="1866169477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76"/>
        <c:crosses val="autoZero"/>
        <c:crossBetween val="midCat"/>
      </c:valAx>
      <c:serAx>
        <c:axId val="186616947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noFill/>
          </a:ln>
        </c:spPr>
        <c:crossAx val="1866169477"/>
        <c:crosses val="autoZero"/>
      </c:serAx>
    </c:plotArea>
    <c:legend>
      <c:layout>
        <c:manualLayout>
          <c:xMode val="edge"/>
          <c:yMode val="edge"/>
          <c:wMode val="edge"/>
          <c:hMode val="edge"/>
          <c:x val="0.084970"/>
          <c:y val="0.929970"/>
          <c:w val="0.89658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4180710" cy="3047998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99"/>
      <c:rotY val="20"/>
      <c:depthPercent val="100"/>
      <c:rAngAx val="1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96280"/>
          <c:y val="0.046020"/>
          <c:w val="0.557810"/>
          <c:h val="0.834240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 xml:space="preserve">'графики 1_2022'!$A$48</c:f>
              <c:strCache>
                <c:ptCount val="1"/>
                <c:pt idx="0">
                  <c:v>Экономика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3CDDD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апрель 2024</c:v>
                </c:pt>
                <c:pt idx="1">
                  <c:v xml:space="preserve">март 2025</c:v>
                </c:pt>
                <c:pt idx="2">
                  <c:v xml:space="preserve">апрель 2025</c:v>
                </c:pt>
              </c:strCache>
            </c:strRef>
          </c:cat>
          <c:val>
            <c:numRef>
              <c:f xml:space="preserve">'графики 1_2022'!$B$48:$D$48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 xml:space="preserve">'графики 1_2022'!$A$49</c:f>
              <c:strCache>
                <c:ptCount val="1"/>
                <c:pt idx="0">
                  <c:v xml:space="preserve">Социальная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00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апрель 2024</c:v>
                </c:pt>
                <c:pt idx="1">
                  <c:v xml:space="preserve">март 2025</c:v>
                </c:pt>
                <c:pt idx="2">
                  <c:v xml:space="preserve">апрель 2025</c:v>
                </c:pt>
              </c:strCache>
            </c:strRef>
          </c:cat>
          <c:val>
            <c:numRef>
              <c:f xml:space="preserve">'графики 1_2022'!$B$49:$D$49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  <c:shape val="box"/>
        </c:ser>
        <c:ser>
          <c:idx val="2"/>
          <c:order val="2"/>
          <c:tx>
            <c:strRef>
              <c:f xml:space="preserve">'графики 1_2022'!$A$50</c:f>
              <c:strCache>
                <c:ptCount val="1"/>
                <c:pt idx="0">
                  <c:v xml:space="preserve">Государство, общество, политика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2D05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апрель 2024</c:v>
                </c:pt>
                <c:pt idx="1">
                  <c:v xml:space="preserve">март 2025</c:v>
                </c:pt>
                <c:pt idx="2">
                  <c:v xml:space="preserve">апрель 2025</c:v>
                </c:pt>
              </c:strCache>
            </c:strRef>
          </c:cat>
          <c:val>
            <c:numRef>
              <c:f xml:space="preserve">'графики 1_2022'!$B$50:$D$50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hape val="box"/>
        </c:ser>
        <c:ser>
          <c:idx val="3"/>
          <c:order val="3"/>
          <c:tx>
            <c:strRef>
              <c:f xml:space="preserve">'графики 1_2022'!$A$51</c:f>
              <c:strCache>
                <c:ptCount val="1"/>
                <c:pt idx="0">
                  <c:v xml:space="preserve">Жилищно-коммунальная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8064A2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апрель 2024</c:v>
                </c:pt>
                <c:pt idx="1">
                  <c:v xml:space="preserve">март 2025</c:v>
                </c:pt>
                <c:pt idx="2">
                  <c:v xml:space="preserve">апрель 2025</c:v>
                </c:pt>
              </c:strCache>
            </c:strRef>
          </c:cat>
          <c:val>
            <c:numRef>
              <c:f xml:space="preserve">'графики 1_2022'!$B$51:$D$51</c:f>
              <c:numCache>
                <c:formatCode>General</c:formatCode>
                <c:ptCount val="3"/>
              </c:numCache>
            </c:numRef>
          </c:val>
          <c:shape val="box"/>
        </c:ser>
        <c:ser>
          <c:idx val="4"/>
          <c:order val="4"/>
          <c:tx>
            <c:strRef>
              <c:f xml:space="preserve">'графики 1_2022'!$A$52</c:f>
              <c:strCache>
                <c:ptCount val="1"/>
                <c:pt idx="0">
                  <c:v xml:space="preserve">Оборона, безопасность, законность</c:v>
                </c:pt>
              </c:strCache>
            </c:strRef>
          </c:tx>
          <c:spPr bwMode="auto">
            <a:prstGeom prst="rect">
              <a:avLst/>
            </a:prstGeom>
            <a:solidFill>
              <a:srgbClr val="4BACC6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апрель 2024</c:v>
                </c:pt>
                <c:pt idx="1">
                  <c:v xml:space="preserve">март 2025</c:v>
                </c:pt>
                <c:pt idx="2">
                  <c:v xml:space="preserve">апрель 2025</c:v>
                </c:pt>
              </c:strCache>
            </c:strRef>
          </c:cat>
          <c:val>
            <c:numRef>
              <c:f xml:space="preserve">'графики 1_2022'!$B$52:$D$52</c:f>
              <c:numCache>
                <c:formatCode>General</c:formatCode>
                <c:ptCount val="3"/>
              </c:numCache>
            </c:numRef>
          </c:val>
          <c:shape val="bo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993959589"/>
        <c:axId val="1993959590"/>
      </c:bar3DChart>
      <c:catAx>
        <c:axId val="199395958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590"/>
        <c:crosses val="autoZero"/>
        <c:lblAlgn val="ctr"/>
        <c:lblOffset val="100"/>
        <c:noMultiLvlLbl val="0"/>
      </c:catAx>
      <c:valAx>
        <c:axId val="199395959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589"/>
        <c:crosses val="autoZero"/>
        <c:crossBetween val="midCat"/>
      </c:valAx>
    </c:plotArea>
    <c:legend>
      <c:legendPos val="r"/>
      <c:layout/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4772509" cy="2489275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E711-658E-4C3E-B014-076723B4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Галина Валерьяновна</dc:creator>
  <cp:revision>76</cp:revision>
  <dcterms:created xsi:type="dcterms:W3CDTF">2021-07-16T08:49:00Z</dcterms:created>
  <dcterms:modified xsi:type="dcterms:W3CDTF">2025-05-13T03:11:26Z</dcterms:modified>
</cp:coreProperties>
</file>