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тоги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конкурс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ного отбора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предпринимателей Новосибирской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предоставлению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грантов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развитие туризма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2023 году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eastAsia="Calibri" w:cs="Times New Roman"/>
          <w:sz w:val="28"/>
          <w:szCs w:val="28"/>
        </w:rPr>
        <w:t xml:space="preserve">м</w:t>
      </w:r>
      <w:r>
        <w:rPr>
          <w:rFonts w:ascii="Times New Roman" w:hAnsi="Times New Roman" w:eastAsia="Calibri" w:cs="Times New Roman"/>
          <w:sz w:val="28"/>
          <w:szCs w:val="28"/>
        </w:rPr>
        <w:t xml:space="preserve"> экономического развития Новосибирской области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(далее –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eastAsia="Calibri" w:cs="Times New Roman"/>
          <w:sz w:val="28"/>
          <w:szCs w:val="28"/>
        </w:rPr>
        <w:t xml:space="preserve">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подведены итоги конкурсного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отбора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учреждений) и индивидуальных предпринимателей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грантов в форме субсидий из областного бюджета Новосибирской области на осуществление поддержки общественных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предпринимательских инициатив, направленных на развитие внутреннего и въездного туризма на территории региона (далее – Конкурсный отбор)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участия в </w:t>
      </w:r>
      <w:r>
        <w:rPr>
          <w:rFonts w:ascii="Times New Roman" w:hAnsi="Times New Roman" w:cs="Times New Roman"/>
          <w:sz w:val="28"/>
          <w:szCs w:val="28"/>
        </w:rPr>
        <w:t xml:space="preserve">Конкурсном отборе </w:t>
      </w:r>
      <w:r>
        <w:rPr>
          <w:rFonts w:ascii="Times New Roman" w:hAnsi="Times New Roman" w:cs="Times New Roman"/>
          <w:sz w:val="28"/>
          <w:szCs w:val="28"/>
        </w:rPr>
        <w:t xml:space="preserve">осуществлялся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период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30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июня 2023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630007, г. Новосибирск, Красный проспе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кт,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 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18, а также в электронном виде по адресу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mineconom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@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nso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ru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.</w:t>
      </w:r>
    </w:p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участия в 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онкурсном отборе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предпринимателей Новосибирской 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поступило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68 заявок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По итогам проверки заявок на соответствие требованиям, установленным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Порядком предоставления грантов в форме субсидий из областного бюджета Новосибирской области на осуществление поддержки общественных и предпринимательских инициатив, направленных на развитие внутреннего и въездного туризма на территории региона, утвержденным постановлением Правительства Новосибирской области от 30.12.2021 № 576-п «Об утверждении государственной программы Новосибирской области «Развитие туризма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Порядок), 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0 заявок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прошли </w:t>
      </w:r>
      <w:r>
        <w:rPr>
          <w:rFonts w:ascii="Times New Roman" w:hAnsi="Times New Roman" w:cs="Times New Roman"/>
          <w:b/>
          <w:sz w:val="28"/>
          <w:szCs w:val="28"/>
        </w:rPr>
        <w:t xml:space="preserve">валида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цию</w:t>
      </w:r>
      <w:r>
        <w:rPr>
          <w:rFonts w:ascii="Times New Roman" w:hAnsi="Times New Roman" w:cs="Times New Roman"/>
          <w:sz w:val="28"/>
          <w:szCs w:val="28"/>
        </w:rPr>
        <w:t xml:space="preserve"> и были допущены для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и</w:t>
      </w:r>
      <w:r>
        <w:rPr>
          <w:rFonts w:ascii="Times New Roman" w:hAnsi="Times New Roman" w:cs="Times New Roman"/>
          <w:sz w:val="28"/>
          <w:szCs w:val="28"/>
        </w:rPr>
        <w:t xml:space="preserve"> участия в конкурсном отборе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8</w:t>
      </w:r>
      <w:r>
        <w:rPr>
          <w:rFonts w:ascii="Times New Roman" w:hAnsi="Times New Roman" w:cs="Times New Roman"/>
          <w:b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sz w:val="28"/>
          <w:szCs w:val="28"/>
        </w:rPr>
        <w:t xml:space="preserve">заявок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b/>
          <w:sz w:val="28"/>
          <w:szCs w:val="28"/>
        </w:rPr>
        <w:t xml:space="preserve">отклонены по причине несоответствия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требованиям Порядка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августа 2023</w:t>
      </w:r>
      <w:r>
        <w:rPr>
          <w:rFonts w:ascii="Times New Roman" w:hAnsi="Times New Roman" w:cs="Times New Roman"/>
          <w:sz w:val="28"/>
          <w:szCs w:val="28"/>
        </w:rPr>
        <w:t xml:space="preserve"> года в Правительстве Новосибирской области (630007, г. Новосибирск, Красный проспект, 18) состоялось заседание конкурсной комиссии по проведению конкурсного отбора.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результатам рассмотрения заявок членами конкурсной комиссии в соответствии с условиями и критериями оценки, установленными в Приложении № 2 Порядка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учетом присвоенных заявкам баллов в итоговом рейтинге и объема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лимитов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бюджетных ассигнований на предоставление грантов в форме субсидий, установленн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2023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министерству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были определены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победители Конкурсного отбора и размеры субсидий из областного бюдж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ета Новосибирской области в 2023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году:</w:t>
      </w:r>
    </w:p>
    <w:p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74"/>
        <w:gridCol w:w="5747"/>
        <w:gridCol w:w="1843"/>
        <w:gridCol w:w="1842"/>
      </w:tblGrid>
      <w:tr>
        <w:trPr>
          <w:trHeight w:val="651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</w:t>
            </w:r>
          </w:p>
        </w:tc>
        <w:tc>
          <w:tcPr>
            <w:tcW w:w="574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организации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гранта, 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</w:t>
            </w:r>
          </w:p>
        </w:tc>
        <w:tc>
          <w:tcPr>
            <w:tcW w:w="1842" w:type="dxa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баллов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Жаворонкова Ю.А.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</w:t>
            </w: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color w:val="000000"/>
                <w:sz w:val="28"/>
                <w:szCs w:val="28"/>
              </w:rPr>
              <w:t xml:space="preserve">980</w:t>
            </w:r>
            <w:r>
              <w:rPr>
                <w:color w:val="000000"/>
                <w:sz w:val="28"/>
                <w:szCs w:val="28"/>
              </w:rPr>
              <w:t xml:space="preserve">,</w:t>
            </w:r>
            <w:r>
              <w:rPr>
                <w:color w:val="000000"/>
                <w:sz w:val="28"/>
                <w:szCs w:val="28"/>
              </w:rPr>
              <w:t xml:space="preserve">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18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Форест-Кэмп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</w:t>
            </w:r>
            <w:r>
              <w:rPr>
                <w:color w:val="000000"/>
                <w:sz w:val="28"/>
                <w:szCs w:val="28"/>
              </w:rPr>
              <w:t xml:space="preserve"> </w:t>
            </w:r>
            <w:r>
              <w:rPr>
                <w:color w:val="000000"/>
                <w:sz w:val="28"/>
                <w:szCs w:val="28"/>
              </w:rPr>
              <w:t xml:space="preserve">000</w:t>
            </w:r>
            <w:r>
              <w:rPr>
                <w:color w:val="000000"/>
                <w:sz w:val="28"/>
                <w:szCs w:val="28"/>
              </w:rPr>
              <w:t xml:space="preserve">,</w:t>
            </w:r>
            <w:r>
              <w:rPr>
                <w:color w:val="000000"/>
                <w:sz w:val="28"/>
                <w:szCs w:val="28"/>
              </w:rPr>
              <w:t xml:space="preserve">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17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Судоходная компания «Норд-Вест»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17</w:t>
            </w:r>
          </w:p>
        </w:tc>
      </w:tr>
      <w:tr>
        <w:trPr>
          <w:trHeight w:val="526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«Санаторий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Доволенский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«Бухта Лазурная»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Багдасарян Л.Б.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«Сибиряк парк»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«КАПИТАЛ»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5 000</w:t>
            </w:r>
            <w:r>
              <w:rPr>
                <w:color w:val="000000"/>
                <w:sz w:val="28"/>
                <w:szCs w:val="28"/>
              </w:rPr>
              <w:t xml:space="preserve">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Котов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4 190,20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513"/>
        </w:trPr>
        <w:tc>
          <w:tcPr>
            <w:tcW w:w="774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</w:p>
        </w:tc>
        <w:tc>
          <w:tcPr>
            <w:tcW w:w="5747" w:type="dxa"/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АО «Пансионат «Былина»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5 000,00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</w:tr>
      <w:tr>
        <w:trPr>
          <w:trHeight w:val="318"/>
        </w:trPr>
        <w:tc>
          <w:tcPr>
            <w:tcW w:w="6521" w:type="dxa"/>
            <w:gridSpan w:val="2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ИТОГО:</w:t>
            </w:r>
          </w:p>
        </w:tc>
        <w:tc>
          <w:tcPr>
            <w:tcW w:w="1843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49 170,20</w:t>
            </w:r>
          </w:p>
        </w:tc>
        <w:tc>
          <w:tcPr>
            <w:tcW w:w="1842" w:type="dxa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</w:p>
        </w:tc>
      </w:tr>
    </w:tbl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8"/>
        <w:ind w:firstLine="709"/>
        <w:jc w:val="both"/>
        <w:rPr>
          <w:b w:val="0"/>
          <w:bCs w:val="0"/>
          <w:lang w:eastAsia="ru-RU"/>
        </w:rPr>
      </w:pPr>
      <w:r>
        <w:rPr>
          <w:lang w:eastAsia="ru-RU"/>
        </w:rPr>
        <w:t xml:space="preserve">Информация о заявках, </w:t>
      </w:r>
      <w:r>
        <w:rPr>
          <w:bCs w:val="0"/>
          <w:lang w:eastAsia="ru-RU"/>
        </w:rPr>
        <w:t xml:space="preserve">допущенных для участия в конкурсном отборе, но не вошедших в перечень победителей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в соответствии с п. 22 Порядка, </w:t>
      </w:r>
      <w:r>
        <w:rPr>
          <w:b w:val="0"/>
          <w:bCs w:val="0"/>
          <w:lang w:eastAsia="ru-RU"/>
        </w:rPr>
        <w:t xml:space="preserve">по причине</w:t>
      </w:r>
      <w:r>
        <w:rPr>
          <w:b w:val="0"/>
          <w:bCs w:val="0"/>
          <w:lang w:eastAsia="ru-RU"/>
        </w:rPr>
        <w:t xml:space="preserve"> превышения совокупного размера запрашиваемых грантов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объемам лимитов</w:t>
      </w:r>
      <w:r>
        <w:rPr>
          <w:lang w:eastAsia="ru-RU"/>
        </w:rPr>
        <w:t xml:space="preserve"> </w:t>
      </w:r>
      <w:r>
        <w:rPr>
          <w:b w:val="0"/>
          <w:lang w:eastAsia="ru-RU"/>
        </w:rPr>
        <w:t xml:space="preserve">бюджетных </w:t>
      </w:r>
      <w:r>
        <w:rPr>
          <w:b w:val="0"/>
          <w:lang w:eastAsia="ru-RU"/>
        </w:rPr>
        <w:t xml:space="preserve">обязательств</w:t>
      </w:r>
      <w:r>
        <w:rPr>
          <w:b w:val="0"/>
          <w:lang w:eastAsia="ru-RU"/>
        </w:rPr>
        <w:t xml:space="preserve"> на предоставление грантов в форме субсидий, установленн</w:t>
      </w:r>
      <w:r>
        <w:rPr>
          <w:b w:val="0"/>
          <w:lang w:eastAsia="ru-RU"/>
        </w:rPr>
        <w:t xml:space="preserve">ых</w:t>
      </w:r>
      <w:r>
        <w:rPr>
          <w:b w:val="0"/>
          <w:lang w:eastAsia="ru-RU"/>
        </w:rPr>
        <w:t xml:space="preserve"> </w:t>
      </w:r>
      <w:r>
        <w:rPr>
          <w:rFonts w:eastAsia="Calibri"/>
          <w:b w:val="0"/>
        </w:rPr>
        <w:t xml:space="preserve">министерству</w:t>
      </w:r>
      <w:r>
        <w:rPr>
          <w:b w:val="0"/>
          <w:lang w:eastAsia="ru-RU"/>
        </w:rPr>
        <w:t xml:space="preserve"> на 2023</w:t>
      </w:r>
      <w:r>
        <w:rPr>
          <w:b w:val="0"/>
          <w:lang w:eastAsia="ru-RU"/>
        </w:rPr>
        <w:t xml:space="preserve"> год</w:t>
      </w:r>
      <w:r>
        <w:rPr>
          <w:b w:val="0"/>
          <w:bCs w:val="0"/>
          <w:lang w:eastAsia="ru-RU"/>
        </w:rPr>
        <w:t xml:space="preserve">:</w:t>
      </w:r>
    </w:p>
    <w:p>
      <w:pPr>
        <w:pStyle w:val="a8"/>
        <w:ind w:firstLine="709"/>
        <w:jc w:val="both"/>
        <w:rPr>
          <w:b w:val="0"/>
          <w:bCs w:val="0"/>
          <w:lang w:eastAsia="ru-RU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7"/>
        <w:gridCol w:w="7747"/>
        <w:gridCol w:w="1836"/>
      </w:tblGrid>
      <w:tr>
        <w:tc>
          <w:tcPr>
            <w:tcW w:w="61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</w:p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п/п</w:t>
            </w:r>
          </w:p>
        </w:tc>
        <w:tc>
          <w:tcPr>
            <w:tcW w:w="7747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организации</w:t>
            </w:r>
          </w:p>
        </w:tc>
        <w:tc>
          <w:tcPr>
            <w:tcW w:w="1836" w:type="dxa"/>
            <w:shd w:val="clear" w:color="auto" w:fill="auto"/>
          </w:tcPr>
          <w:p>
            <w:pPr>
              <w:pStyle w:val="a3"/>
              <w:widowControl w:val="of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баллов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Шикалова</w:t>
            </w:r>
            <w:r>
              <w:rPr>
                <w:color w:val="000000"/>
                <w:sz w:val="28"/>
                <w:szCs w:val="28"/>
              </w:rPr>
              <w:t xml:space="preserve"> О.Л.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12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АО «Санаторий «</w:t>
            </w:r>
            <w:r>
              <w:rPr>
                <w:color w:val="000000"/>
                <w:sz w:val="28"/>
                <w:szCs w:val="28"/>
              </w:rPr>
              <w:t xml:space="preserve">Краснозерский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Побижан</w:t>
            </w:r>
            <w:r>
              <w:rPr>
                <w:color w:val="000000"/>
                <w:sz w:val="28"/>
                <w:szCs w:val="28"/>
              </w:rPr>
              <w:t xml:space="preserve"> Г.М.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14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«Диалог»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</w:t>
            </w:r>
            <w:r>
              <w:rPr>
                <w:color w:val="000000"/>
                <w:sz w:val="28"/>
                <w:szCs w:val="28"/>
              </w:rPr>
              <w:t xml:space="preserve">Севертранс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16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«Кафе Престиж»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17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АО «Санаторий-профилакторий «Сибиряк»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18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«ПЕРФЕКТ-ТРЭВЕЛ»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19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«СВР»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20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Лобова Е.В.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21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Жаркова</w:t>
            </w:r>
            <w:r>
              <w:rPr>
                <w:color w:val="000000"/>
                <w:sz w:val="28"/>
                <w:szCs w:val="28"/>
              </w:rPr>
              <w:t xml:space="preserve"> Н.В.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22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Осокин В.Ю.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23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«Дальний Кордон»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24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Гресь</w:t>
            </w:r>
            <w:r>
              <w:rPr>
                <w:color w:val="000000"/>
                <w:sz w:val="28"/>
                <w:szCs w:val="28"/>
              </w:rPr>
              <w:t xml:space="preserve"> А.С.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25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«Смарт </w:t>
            </w:r>
            <w:r>
              <w:rPr>
                <w:color w:val="000000"/>
                <w:sz w:val="28"/>
                <w:szCs w:val="28"/>
              </w:rPr>
              <w:t xml:space="preserve">Контрол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15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26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Пащенко А.В.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27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Белов О.Е.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28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«Санаторий Рассвет»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14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29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Айрапетян А.К.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30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Ланг</w:t>
            </w:r>
            <w:r>
              <w:rPr>
                <w:color w:val="000000"/>
                <w:sz w:val="28"/>
                <w:szCs w:val="28"/>
              </w:rPr>
              <w:t xml:space="preserve"> Э.Э.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31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«Альянс Вершин»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32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Домашенко Л.А.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33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Мурашко Т.П.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34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Лиждвой</w:t>
            </w:r>
            <w:r>
              <w:rPr>
                <w:color w:val="000000"/>
                <w:sz w:val="28"/>
                <w:szCs w:val="28"/>
              </w:rPr>
              <w:t xml:space="preserve"> А.В.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13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35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Санаторий «Озеро Карачи»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36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Сорокин П.Ю.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37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«Компания Русский двор»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38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Харченко Н.К.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12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39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«СТК»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40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</w:t>
            </w:r>
            <w:r>
              <w:rPr>
                <w:color w:val="000000"/>
                <w:sz w:val="28"/>
                <w:szCs w:val="28"/>
              </w:rPr>
              <w:t xml:space="preserve">Солди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41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«ИМХОТЕП»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42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Фоминых А.А.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43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«Ретро Музей»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44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РОО «Клуб любителей старинной автомототехники «РЕТРОТЕХНИКА»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45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«ПОЛИСС-ТУРИСТ»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46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Пансионат «</w:t>
            </w:r>
            <w:bookmarkStart w:id="1" w:name="undefined"/>
            <w:r>
              <w:rPr>
                <w:color w:val="000000"/>
                <w:sz w:val="28"/>
                <w:szCs w:val="28"/>
              </w:rPr>
              <w:t xml:space="preserve">Лесная</w:t>
            </w:r>
            <w:bookmarkEnd w:id="1"/>
            <w:r>
              <w:rPr>
                <w:color w:val="000000"/>
                <w:sz w:val="28"/>
                <w:szCs w:val="28"/>
              </w:rPr>
              <w:t xml:space="preserve"> сказка»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11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47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</w:t>
            </w:r>
            <w:r>
              <w:rPr>
                <w:color w:val="000000"/>
                <w:sz w:val="28"/>
                <w:szCs w:val="28"/>
              </w:rPr>
              <w:t xml:space="preserve">Стрелинка</w:t>
            </w:r>
            <w:r>
              <w:rPr>
                <w:color w:val="000000"/>
                <w:sz w:val="28"/>
                <w:szCs w:val="28"/>
              </w:rPr>
              <w:t xml:space="preserve">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48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Попов Е.К.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49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«Чистые Пруды Сибири»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50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Глава КФХ </w:t>
            </w:r>
            <w:r>
              <w:rPr>
                <w:color w:val="000000"/>
                <w:sz w:val="28"/>
                <w:szCs w:val="28"/>
              </w:rPr>
              <w:t xml:space="preserve">Некрылов</w:t>
            </w:r>
            <w:r>
              <w:rPr>
                <w:color w:val="000000"/>
                <w:sz w:val="28"/>
                <w:szCs w:val="28"/>
              </w:rPr>
              <w:t xml:space="preserve"> Д.А.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51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Сидорова О.В.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52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«Маяк-сервис»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rPr>
          <w:trHeight w:val="550"/>
        </w:trP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53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«УК «Проектировщик»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10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54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Симбирцева Н.А.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55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ИП Анкудинова Г.В.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56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«Зеленая поляна»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9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57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«Деловая стратегия»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8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58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«Фермер»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7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59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«Альянс»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7</w:t>
            </w:r>
          </w:p>
        </w:tc>
      </w:tr>
      <w:tr>
        <w:tc>
          <w:tcPr>
            <w:tcW w:w="617" w:type="dxa"/>
            <w:shd w:val="clear" w:color="auto" w:fill="auto"/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60</w:t>
            </w:r>
          </w:p>
        </w:tc>
        <w:tc>
          <w:tcPr>
            <w:tcW w:w="7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ООО «САНАТОРИЙ ПАРУС-РЕЗОРТ»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aa"/>
              <w:widowControl w:val="off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6</w:t>
            </w:r>
          </w:p>
        </w:tc>
      </w:tr>
    </w:tbl>
    <w:p>
      <w:pPr>
        <w:pStyle w:val="a3"/>
        <w:widowControl w:val="o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widowControl w:val="off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Информация о заявках, которые были отклонены на этапе проверки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соответствие требованиям Порядка</w:t>
      </w:r>
    </w:p>
    <w:tbl>
      <w:tblPr>
        <w:tblStyle w:val="a7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549"/>
        <w:gridCol w:w="5953"/>
      </w:tblGrid>
      <w:tr>
        <w:trPr>
          <w:jc w:val="center"/>
          <w:trHeight w:val="617"/>
        </w:trPr>
        <w:tc>
          <w:tcPr>
            <w:tcW w:w="70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п/п</w:t>
            </w:r>
          </w:p>
        </w:tc>
        <w:tc>
          <w:tcPr>
            <w:tcW w:w="3549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</w:t>
            </w:r>
          </w:p>
        </w:tc>
        <w:tc>
          <w:tcPr>
            <w:tcW w:w="59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отклонения заявки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docdat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ИП Барыкин А.А.</w:t>
            </w:r>
          </w:p>
        </w:tc>
        <w:tc>
          <w:tcPr>
            <w:tcW w:w="5953" w:type="dxa"/>
          </w:tcPr>
          <w:p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Несоответствие заявки п. 2 Порядка (отсутствует основной или дополнительный вид деятельности по кодам общероссийского классификатора видов экономической деятельности)</w:t>
            </w:r>
          </w:p>
        </w:tc>
      </w:tr>
      <w:tr>
        <w:trPr>
          <w:jc w:val="center"/>
          <w:trHeight w:val="509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docdata"/>
              <w:spacing w:before="0" w:beforeAutospacing="0" w:after="0" w:afterAutospacing="0"/>
              <w:ind w:left="7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Гинтер</w:t>
            </w:r>
            <w:r>
              <w:rPr>
                <w:color w:val="000000"/>
                <w:sz w:val="28"/>
                <w:szCs w:val="28"/>
              </w:rPr>
              <w:t xml:space="preserve"> А.В.</w:t>
            </w:r>
          </w:p>
        </w:tc>
        <w:tc>
          <w:tcPr>
            <w:tcW w:w="5953" w:type="dxa"/>
          </w:tcPr>
          <w:p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Несоответствие</w:t>
            </w:r>
            <w:r>
              <w:rPr>
                <w:color w:val="000000"/>
                <w:sz w:val="28"/>
                <w:szCs w:val="28"/>
              </w:rPr>
              <w:t xml:space="preserve"> заявки </w:t>
            </w:r>
            <w:r>
              <w:rPr>
                <w:color w:val="000000"/>
                <w:sz w:val="28"/>
                <w:szCs w:val="28"/>
              </w:rPr>
              <w:t xml:space="preserve">п. 4 Порядка (</w:t>
            </w:r>
            <w:r>
              <w:rPr>
                <w:color w:val="000000"/>
                <w:sz w:val="28"/>
                <w:szCs w:val="28"/>
              </w:rPr>
              <w:t xml:space="preserve">софинансирование</w:t>
            </w:r>
            <w:r>
              <w:rPr>
                <w:color w:val="000000"/>
                <w:sz w:val="28"/>
                <w:szCs w:val="28"/>
              </w:rPr>
              <w:t xml:space="preserve"> проекта менее 30%)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docdata"/>
              <w:spacing w:before="0" w:beforeAutospacing="0" w:after="0" w:afterAutospacing="0"/>
              <w:ind w:left="7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ИП Мурадян С.С.</w:t>
            </w:r>
          </w:p>
        </w:tc>
        <w:tc>
          <w:tcPr>
            <w:tcW w:w="5953" w:type="dxa"/>
          </w:tcPr>
          <w:p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Несоответствие заявки п. 2 Порядка (отсутствует основной или дополнительный вид деятельности по кодам общероссийского классификатора видов экономической деятельности)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aa"/>
              <w:spacing w:before="0" w:beforeAutospacing="0" w:after="0" w:afterAutospacing="0"/>
              <w:ind w:left="7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ИП </w:t>
            </w:r>
            <w:r>
              <w:rPr>
                <w:color w:val="000000"/>
                <w:sz w:val="28"/>
                <w:szCs w:val="28"/>
              </w:rPr>
              <w:t xml:space="preserve">Хамзина</w:t>
            </w:r>
            <w:r>
              <w:rPr>
                <w:color w:val="000000"/>
                <w:sz w:val="28"/>
                <w:szCs w:val="28"/>
              </w:rPr>
              <w:t xml:space="preserve"> Р.К.</w:t>
            </w:r>
          </w:p>
        </w:tc>
        <w:tc>
          <w:tcPr>
            <w:tcW w:w="5953" w:type="dxa"/>
          </w:tcPr>
          <w:p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Несоответствие</w:t>
            </w:r>
            <w:r>
              <w:rPr>
                <w:color w:val="000000"/>
                <w:sz w:val="28"/>
                <w:szCs w:val="28"/>
              </w:rPr>
              <w:t xml:space="preserve"> заявки </w:t>
            </w:r>
            <w:r>
              <w:rPr>
                <w:color w:val="000000"/>
                <w:sz w:val="28"/>
                <w:szCs w:val="28"/>
              </w:rPr>
              <w:t xml:space="preserve">п. 4 Порядка (</w:t>
            </w:r>
            <w:r>
              <w:rPr>
                <w:color w:val="000000"/>
                <w:sz w:val="28"/>
                <w:szCs w:val="28"/>
              </w:rPr>
              <w:t xml:space="preserve">софинансирование</w:t>
            </w:r>
            <w:r>
              <w:rPr>
                <w:color w:val="000000"/>
                <w:sz w:val="28"/>
                <w:szCs w:val="28"/>
              </w:rPr>
              <w:t xml:space="preserve"> проекта менее 30%)</w:t>
            </w:r>
          </w:p>
        </w:tc>
      </w:tr>
      <w:tr>
        <w:trPr>
          <w:jc w:val="center"/>
          <w:trHeight w:val="494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aa"/>
              <w:spacing w:before="0" w:beforeAutospacing="0" w:after="0" w:afterAutospacing="0"/>
              <w:ind w:left="708"/>
              <w:rPr>
                <w:sz w:val="28"/>
                <w:szCs w:val="28"/>
              </w:rPr>
            </w:pPr>
            <w:r>
              <w:t xml:space="preserve">ООО «ГОРНЫЙ»</w:t>
            </w:r>
          </w:p>
        </w:tc>
        <w:tc>
          <w:tcPr>
            <w:tcW w:w="5953" w:type="dxa"/>
          </w:tcPr>
          <w:p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Несоответствие</w:t>
            </w:r>
            <w:r>
              <w:rPr>
                <w:color w:val="000000"/>
                <w:sz w:val="28"/>
                <w:szCs w:val="28"/>
              </w:rPr>
              <w:t xml:space="preserve"> заявки </w:t>
            </w:r>
            <w:r>
              <w:rPr>
                <w:color w:val="000000"/>
                <w:sz w:val="28"/>
                <w:szCs w:val="28"/>
              </w:rPr>
              <w:t xml:space="preserve">пп</w:t>
            </w:r>
            <w:r>
              <w:rPr>
                <w:color w:val="000000"/>
                <w:sz w:val="28"/>
                <w:szCs w:val="28"/>
              </w:rPr>
              <w:t xml:space="preserve">. 1 п. 13 Порядка </w:t>
            </w:r>
            <w:r>
              <w:rPr>
                <w:color w:val="000000"/>
                <w:sz w:val="28"/>
                <w:szCs w:val="28"/>
              </w:rPr>
              <w:t xml:space="preserve">(в составе заявки представлено заявление о предоставлении гранта в форме субсидии не по форме приложения № 1 Порядка)</w:t>
            </w:r>
          </w:p>
        </w:tc>
      </w:tr>
      <w:tr>
        <w:trPr>
          <w:jc w:val="center"/>
          <w:trHeight w:val="509"/>
        </w:trPr>
        <w:tc>
          <w:tcPr>
            <w:tcW w:w="704" w:type="dxa"/>
          </w:tcPr>
          <w:p>
            <w:pPr>
              <w:pStyle w:val="a3"/>
              <w:numPr>
                <w:numId w:val="3"/>
                <w:ilvl w:val="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ООО </w:t>
            </w:r>
            <w:r>
              <w:t xml:space="preserve">«НЕОКОМ-СЕРВИС»</w:t>
            </w:r>
          </w:p>
        </w:tc>
        <w:tc>
          <w:tcPr>
            <w:tcW w:w="5953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Несоответствие заявки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. 1 п. 13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Порядка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(в составе заявки представлено заявление о предоставлении гранта в форме субсидии не по форме приложения № 1 Порядка</w:t>
            </w:r>
            <w:r>
              <w:rPr>
                <w:color w:val="000000"/>
                <w:sz w:val="28"/>
                <w:szCs w:val="28"/>
              </w:rPr>
              <w:t xml:space="preserve">)</w:t>
            </w:r>
          </w:p>
        </w:tc>
      </w:tr>
      <w:tr>
        <w:trPr>
          <w:jc w:val="center"/>
          <w:trHeight w:val="659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</w:t>
            </w:r>
          </w:p>
        </w:tc>
        <w:tc>
          <w:tcPr>
            <w:tcW w:w="3549" w:type="dxa"/>
          </w:tcPr>
          <w:p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t xml:space="preserve">ООО «СМАРТ-СИБ»</w:t>
            </w:r>
          </w:p>
        </w:tc>
        <w:tc>
          <w:tcPr>
            <w:tcW w:w="5953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Несоответствие заявки п. 2 Порядка (отсутствует основной или дополнительный вид деятельности по кодам общероссийского классификатора видов экономической деятельности)</w:t>
            </w:r>
          </w:p>
        </w:tc>
      </w:tr>
      <w:tr>
        <w:trPr>
          <w:jc w:val="center"/>
          <w:trHeight w:val="494"/>
        </w:trPr>
        <w:tc>
          <w:tcPr>
            <w:tcW w:w="704" w:type="dxa"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</w:t>
            </w:r>
          </w:p>
        </w:tc>
        <w:tc>
          <w:tcPr>
            <w:tcW w:w="3549" w:type="dxa"/>
          </w:tcPr>
          <w:p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t xml:space="preserve">ООО «СТАРТ»</w:t>
            </w:r>
          </w:p>
        </w:tc>
        <w:tc>
          <w:tcPr>
            <w:tcW w:w="5953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есоответстви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заявки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. 2 п. 13 Порядка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(в составе заявки отсутствует описание проекта в виде презентации (визуализация проекта на период оформления заявки и на период окончания реализации)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в течение пяти рабочих дней с даты издания распоряжения Правительства Новосибирской области «О предоставлении гранта в форме субсидий на осуществление поддержки общественных и предпринимательских инициатив, направл</w:t>
      </w:r>
      <w:r>
        <w:rPr>
          <w:rFonts w:ascii="Times New Roman" w:hAnsi="Times New Roman" w:cs="Times New Roman"/>
          <w:sz w:val="28"/>
          <w:szCs w:val="28"/>
        </w:rPr>
        <w:t xml:space="preserve">енных на развитие туризма в 2023</w:t>
      </w:r>
      <w:r>
        <w:rPr>
          <w:rFonts w:ascii="Times New Roman" w:hAnsi="Times New Roman" w:cs="Times New Roman"/>
          <w:sz w:val="28"/>
          <w:szCs w:val="28"/>
        </w:rPr>
        <w:t xml:space="preserve"> году» заключает с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соглашение о предоставлении гранта в форме субсидии.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гранта в фор</w:t>
      </w:r>
      <w:r>
        <w:rPr>
          <w:rFonts w:ascii="Times New Roman" w:hAnsi="Times New Roman" w:cs="Times New Roman"/>
          <w:sz w:val="28"/>
          <w:szCs w:val="28"/>
        </w:rPr>
        <w:t xml:space="preserve">ме субсидии является 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проекта, достижение значений характеристик в соответствии со сметой расходов и календарным планом реализации проекта по направлениям финансовых</w:t>
      </w:r>
      <w:r>
        <w:rPr>
          <w:rFonts w:ascii="Times New Roman" w:hAnsi="Times New Roman" w:cs="Times New Roman"/>
          <w:sz w:val="28"/>
          <w:szCs w:val="28"/>
        </w:rPr>
        <w:t xml:space="preserve"> затрат, указанным в пункте 5 Порядка, представленными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составе заявки для участия в отборе.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достижения результата предоставления гранта в форме субсидии</w:t>
      </w:r>
      <w:r>
        <w:rPr>
          <w:rFonts w:ascii="Times New Roman" w:hAnsi="Times New Roman" w:cs="Times New Roman"/>
          <w:sz w:val="28"/>
          <w:szCs w:val="28"/>
        </w:rPr>
        <w:t xml:space="preserve">, значений характеристик в соответствии со сметой расходов и календарным планом реализации проекта по направлениям </w:t>
      </w:r>
      <w:r>
        <w:rPr>
          <w:rFonts w:ascii="Times New Roman" w:hAnsi="Times New Roman" w:cs="Times New Roman"/>
          <w:sz w:val="28"/>
          <w:szCs w:val="28"/>
        </w:rPr>
        <w:t xml:space="preserve">финансовых затрат, указанным в пункте 5 Порядка, устанавливается в соглашении, </w:t>
      </w:r>
      <w:r>
        <w:rPr>
          <w:rFonts w:ascii="Times New Roman" w:hAnsi="Times New Roman" w:cs="Times New Roman"/>
          <w:sz w:val="28"/>
          <w:szCs w:val="28"/>
        </w:rPr>
        <w:t xml:space="preserve">но не более 18 месяцев со дня поступления средств гранта в форме субсидии на лицевой счет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, открытый в территориальном органе Федерального казначейства.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проекта, срок достижения результатов предоставления гранта в форме субсидии и значений характеристик может быть продлен свыше срока, указанного в абзаце втором настоящего пункта, по заявлению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в случае объявления в Российской Федерации всеобщей или частичной мобилизации, под которую попали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и (или) иные лица, занятые в реализации проекта. В указанном случае между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дополнительное соглашение.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Значениями характеристик (в зависимости от направления затрат, установленных пунктом 5 Порядка, в соответствии со сметой расходов и календарным планом реализации проекта, представленными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в составе заявки для участия в отборе)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капитальному ремонту, реконструкции и модернизации объектов туризма (значение характеристики является достигнутым при реализации не менее 1 мероприятия,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созданию и обустройству гостиничных, туристско-рекреационных комплексов, объектов придорожной и другой туристской инфраструктуры (значение характеристики является достигнутым при реализации не менее 1 мероприятия,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приобретению туристского, гостиничного оборудования (включая оборудование для антитеррористической защищенности), оборудования для пунктов проката, объектов туристского показа, детского отдыха, </w:t>
      </w:r>
      <w:r>
        <w:rPr>
          <w:rFonts w:ascii="Times New Roman" w:hAnsi="Times New Roman" w:cs="Times New Roman"/>
          <w:sz w:val="28"/>
          <w:szCs w:val="28"/>
        </w:rPr>
        <w:t xml:space="preserve">развлекательных, </w:t>
      </w:r>
      <w:r>
        <w:rPr>
          <w:rFonts w:ascii="Times New Roman" w:hAnsi="Times New Roman" w:cs="Times New Roman"/>
          <w:sz w:val="28"/>
          <w:szCs w:val="28"/>
        </w:rPr>
        <w:t xml:space="preserve">аква</w:t>
      </w:r>
      <w:r>
        <w:rPr>
          <w:rFonts w:ascii="Times New Roman" w:hAnsi="Times New Roman" w:cs="Times New Roman"/>
          <w:sz w:val="28"/>
          <w:szCs w:val="28"/>
        </w:rPr>
        <w:t xml:space="preserve">- и горнолыжных комплексов (значение характеристики является достигнутым при условии 100% приобретения оборудования,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приобретению иного имущества для организации деятельности в сфере внутреннего и въездного туризма в Новосибирской области, в том числе в сфере социального туризма (детского, молодежного, туризма для пожилых людей и инвалидов, а также туров выходного дня) (значение характеристики является достигнутым при условии 100% приобретения имущества,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приобретению автотранспортных средств (включая прогулочные катера, гидроциклы, снегоходы, </w:t>
      </w:r>
      <w:r>
        <w:rPr>
          <w:rFonts w:ascii="Times New Roman" w:hAnsi="Times New Roman" w:cs="Times New Roman"/>
          <w:sz w:val="28"/>
          <w:szCs w:val="28"/>
        </w:rPr>
        <w:t xml:space="preserve">мототехнику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квадроциклы</w:t>
      </w:r>
      <w:r>
        <w:rPr>
          <w:rFonts w:ascii="Times New Roman" w:hAnsi="Times New Roman" w:cs="Times New Roman"/>
          <w:sz w:val="28"/>
          <w:szCs w:val="28"/>
        </w:rPr>
        <w:t xml:space="preserve">, мобильные </w:t>
      </w:r>
      <w:r>
        <w:rPr>
          <w:rFonts w:ascii="Times New Roman" w:hAnsi="Times New Roman" w:cs="Times New Roman"/>
          <w:sz w:val="28"/>
          <w:szCs w:val="28"/>
        </w:rPr>
        <w:t xml:space="preserve">фудтраки</w:t>
      </w:r>
      <w:r>
        <w:rPr>
          <w:rFonts w:ascii="Times New Roman" w:hAnsi="Times New Roman" w:cs="Times New Roman"/>
          <w:sz w:val="28"/>
          <w:szCs w:val="28"/>
        </w:rPr>
        <w:t xml:space="preserve"> (автолавки), электромобили, микроавтобусы от 8 мест и туристические автобусы) (значение характеристики является достигнутым при условии 100% приобретения автотранспортных средств, предусмотренных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обустройству действующих туристских маршрутов (включая маркировку, навигацию, обеспечение безопасности, организацию и обустройство выделенных зон отдыха, санитарных узлов, автостоянок) (значение характеристики является достигнутым при реализации не менее 1 мероприятия,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транспортировке и утилизации бытовых отходов из мест отдыха и туризма (значение характеристики является достигнутым при реализации не менее 1 мероприятия,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разработке мобильных приложений, путеводителей по туристским маршрутам, сайтов, по созданию аудио-, </w:t>
      </w:r>
      <w:r>
        <w:rPr>
          <w:rFonts w:ascii="Times New Roman" w:hAnsi="Times New Roman" w:cs="Times New Roman"/>
          <w:sz w:val="28"/>
          <w:szCs w:val="28"/>
        </w:rPr>
        <w:t xml:space="preserve">видеогидов</w:t>
      </w:r>
      <w:r>
        <w:rPr>
          <w:rFonts w:ascii="Times New Roman" w:hAnsi="Times New Roman" w:cs="Times New Roman"/>
          <w:sz w:val="28"/>
          <w:szCs w:val="28"/>
        </w:rPr>
        <w:t xml:space="preserve"> (значение характеристики является достигнутым при реализации не менее 1 мероприятия, предусмотренного соглашением);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мероприятий, связанных со строительством благоустроенных общественных туалетов, душевых, мест для переодевания в местах массового отдыха (значение характеристики является достигнутым при реализации не менее 1 мероприятия,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предусмотренного соглашением).</w:t>
      </w:r>
    </w:p>
    <w:sectPr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61F8E35E">
      <w:start w:val="28"/>
      <w:numFmt w:val="decimal"/>
      <w:lvlText w:val="%1."/>
      <w:lvlJc w:val="left"/>
      <w:pPr>
        <w:ind w:left="1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1" w:tplc="39C80E72">
      <w:start w:val="1"/>
      <w:numFmt w:val="lowerLetter"/>
      <w:lvlText w:val="%2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2" w:tplc="AC7A4DE6">
      <w:start w:val="1"/>
      <w:numFmt w:val="lowerRoman"/>
      <w:lvlText w:val="%3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3" w:tplc="C804DF4C">
      <w:start w:val="1"/>
      <w:numFmt w:val="decimal"/>
      <w:lvlText w:val="%4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4" w:tplc="1B9A53DA">
      <w:start w:val="1"/>
      <w:numFmt w:val="lowerLetter"/>
      <w:lvlText w:val="%5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5" w:tplc="45A40DC8">
      <w:start w:val="1"/>
      <w:numFmt w:val="lowerRoman"/>
      <w:lvlText w:val="%6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6" w:tplc="13B8E0EC">
      <w:start w:val="1"/>
      <w:numFmt w:val="decimal"/>
      <w:lvlText w:val="%7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7" w:tplc="770C823C">
      <w:start w:val="1"/>
      <w:numFmt w:val="lowerLetter"/>
      <w:lvlText w:val="%8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  <w:lvl w:ilvl="8" w:tplc="C248B5EC">
      <w:start w:val="1"/>
      <w:numFmt w:val="lowerRoman"/>
      <w:lvlText w:val="%9"/>
      <w:lvlJc w:val="left"/>
      <w:pPr>
        <w:ind w:left="68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30"/>
        <w:szCs w:val="30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entative="1" w:tplc="04190019">
      <w:start w:val="1"/>
      <w:numFmt w:val="lowerLetter"/>
      <w:lvlText w:val="%2."/>
      <w:lvlJc w:val="left"/>
      <w:pPr>
        <w:ind w:left="1080" w:hanging="360"/>
      </w:pPr>
    </w:lvl>
    <w:lvl w:ilvl="2" w:tentative="1" w:tplc="0419001B">
      <w:start w:val="1"/>
      <w:numFmt w:val="lowerRoman"/>
      <w:lvlText w:val="%3."/>
      <w:lvlJc w:val="right"/>
      <w:pPr>
        <w:ind w:left="1800" w:hanging="180"/>
      </w:pPr>
    </w:lvl>
    <w:lvl w:ilvl="3" w:tentative="1" w:tplc="0419000F">
      <w:start w:val="1"/>
      <w:numFmt w:val="decimal"/>
      <w:lvlText w:val="%4."/>
      <w:lvlJc w:val="left"/>
      <w:pPr>
        <w:ind w:left="2520" w:hanging="360"/>
      </w:pPr>
    </w:lvl>
    <w:lvl w:ilvl="4" w:tentative="1" w:tplc="04190019">
      <w:start w:val="1"/>
      <w:numFmt w:val="lowerLetter"/>
      <w:lvlText w:val="%5."/>
      <w:lvlJc w:val="left"/>
      <w:pPr>
        <w:ind w:left="3240" w:hanging="360"/>
      </w:pPr>
    </w:lvl>
    <w:lvl w:ilvl="5" w:tentative="1" w:tplc="0419001B">
      <w:start w:val="1"/>
      <w:numFmt w:val="lowerRoman"/>
      <w:lvlText w:val="%6."/>
      <w:lvlJc w:val="right"/>
      <w:pPr>
        <w:ind w:left="3960" w:hanging="180"/>
      </w:pPr>
    </w:lvl>
    <w:lvl w:ilvl="6" w:tentative="1" w:tplc="0419000F">
      <w:start w:val="1"/>
      <w:numFmt w:val="decimal"/>
      <w:lvlText w:val="%7."/>
      <w:lvlJc w:val="left"/>
      <w:pPr>
        <w:ind w:left="4680" w:hanging="360"/>
      </w:pPr>
    </w:lvl>
    <w:lvl w:ilvl="7" w:tentative="1" w:tplc="04190019">
      <w:start w:val="1"/>
      <w:numFmt w:val="lowerLetter"/>
      <w:lvlText w:val="%8."/>
      <w:lvlJc w:val="left"/>
      <w:pPr>
        <w:ind w:left="5400" w:hanging="360"/>
      </w:pPr>
    </w:lvl>
    <w:lvl w:ilvl="8" w:tentative="1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 w:tplc="CC4C00C6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8">
    <w:name w:val="Body Text"/>
    <w:basedOn w:val="a"/>
    <w:link w:val="a9"/>
    <w:uiPriority w:val="1"/>
    <w:qFormat/>
    <w:pPr>
      <w:widowControl w:val="off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a9" w:customStyle="1">
    <w:name w:val="Основной текст Знак"/>
    <w:basedOn w:val="a0"/>
    <w:link w:val="a8"/>
    <w:uiPriority w:val="1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docdata" w:customStyle="1">
    <w:name w:val="docdata"/>
    <w:aliases w:val="docy,v5,6661,bqiaagaaeyqcaaagiaiaaap4gaaabqyz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5" w:customStyle="1">
    <w:name w:val="1335"/>
    <w:aliases w:val="bqiaagaaeyqcaaagiaiaaaoebaaabawe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939" w:customStyle="1">
    <w:name w:val="939"/>
    <w:aliases w:val="bqiaagaaeyqcaaagiaiaaamsawaabsada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1631" w:customStyle="1">
    <w:name w:val="1631"/>
    <w:aliases w:val="bqiaagaaeyqcaaagiaiaaapgbqaabdqf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953" w:customStyle="1">
    <w:name w:val="953"/>
    <w:aliases w:val="bqiaagaaeyqcaaagiaiaaamgawaabs4da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945" w:customStyle="1">
    <w:name w:val="945"/>
    <w:aliases w:val="bqiaagaaeyqcaaagiaiaaamyawaabsyda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937" w:customStyle="1">
    <w:name w:val="937"/>
    <w:aliases w:val="bqiaagaaeyqcaaagiaiaaamqawaabr4daaaaaaaaaaaaaaaaaaaaaaaaaaaaaaaaaaaaaaaaaaaaaaaaaaaaaaaaaaaaaaaaaaaaaaaaaaaaaaaaaaaaaaaaaaaaaaaaaaaaaaaaaaaaaaaaaaaaaaaaaaaaaaaaaaaaaaaaaaaaaaaaaaaaaaaaaaaaaaaaaaaaaaaaaaaaaaaaaaaaaaaaaaaaaaaaaaaaaaaaa"/>
    <w:basedOn w:val="a0"/>
  </w:style>
  <w:style w:type="character" w:styleId="1691" w:customStyle="1">
    <w:name w:val="1691"/>
    <w:aliases w:val="bqiaagaaeyqcaaagiaiaaamcbgaabragaaaaaaaaaaaaaaaaaaaaaaaaaaaaaaaaaaaaaaaaaaaaaaaaaaaaaaaaaaaaaaaaaaaaaaaaaaaaaaaaaaaaaaaaaaaaaaaaaaaaaaaaaaaaaaaaaaaaaaaaaaaaaaaaaaaaaaaaaaaaaaaaaaaaaaaaaaaaaaaaaaaaaaaaaaaaaaaaaaaaaaaaaaaaaaaaaaaaaaaa"/>
    <w:basedOn w:val="a0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yperlink" Target="mailto:mineconom@obladm.nso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8955</Characters>
  <CharactersWithSpaces>10504</CharactersWithSpaces>
  <Company>PNO</Company>
  <DocSecurity>0</DocSecurity>
  <HyperlinksChanged>false</HyperlinksChanged>
  <Lines>74</Lines>
  <LinksUpToDate>false</LinksUpToDate>
  <Pages>5</Pages>
  <Paragraphs>21</Paragraphs>
  <ScaleCrop>false</ScaleCrop>
  <SharedDoc>false</SharedDoc>
  <Template>Normal</Template>
  <TotalTime>427</TotalTime>
  <Words>1570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Анна Алексеевна</dc:creator>
  <cp:keywords/>
  <dc:description/>
  <cp:lastModifiedBy>Крыжановская Елена Сергеевна</cp:lastModifiedBy>
  <cp:revision>38</cp:revision>
  <cp:lastPrinted>2022-07-07T05:27:00Z</cp:lastPrinted>
  <dcterms:created xsi:type="dcterms:W3CDTF">2022-07-05T03:13:00Z</dcterms:created>
  <dcterms:modified xsi:type="dcterms:W3CDTF">2023-08-08T04:25:00Z</dcterms:modified>
</cp:coreProperties>
</file>