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W w:w="143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8222"/>
        <w:gridCol w:w="6095"/>
      </w:tblGrid>
      <w:tr>
        <w:trPr/>
        <w:tc>
          <w:tcPr>
            <w:tcW w:w="822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 5</w:t>
            </w:r>
            <w:r/>
          </w:p>
          <w:p>
            <w:pPr>
              <w:ind w:firstLine="53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Сводному годовому докладу</w:t>
            </w:r>
            <w:r/>
          </w:p>
          <w:p>
            <w:pPr>
              <w:ind w:firstLine="53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 ходе реализации и об оценке эффективности государственных программ</w:t>
            </w:r>
            <w:r/>
          </w:p>
          <w:p>
            <w:pPr>
              <w:ind w:firstLine="53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Новосибирской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 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год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оценки эффективности государственных программ Новосибирской области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tbl>
      <w:tblPr>
        <w:tblStyle w:val="835"/>
        <w:tblpPr w:horzAnchor="text" w:tblpX="411" w:vertAnchor="text" w:tblpY="1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>
        <w:trPr>
          <w:tblHeader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 Новосибирской области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32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Государственный заказчик – координатор (государственный заказчик)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Интегральная оценка эффективности реализации государственной программы Новосибирской области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Качественная оценка эффективности реализации государственной программы Новосибирской области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 Государственная программа Новосибирской области «Жилищно-коммунальное хозяйство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0,97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 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 Государственная программа Новосибирской области «Обеспечение безопасности жизнедеятельности населения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0,96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/>
    </w:p>
    <w:tbl>
      <w:tblPr>
        <w:tblStyle w:val="835"/>
        <w:tblpPr w:horzAnchor="text" w:tblpX="411" w:vertAnchor="text" w:tblpY="1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 Новосибирской области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Государственный заказчик – координатор (государственный заказчик)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Интегральная оценка эффективности реализации государственной программы Новосибирской области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Качественная оценка эффективности реализации государственной программы Новосибирской области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 Государственная программа Новосибирской области «Энергосбережение и повышение энергетической эффективности Новосибирской области»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 Государственная программа Новосибирской области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0,89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 Государственная программа Новосибирской области «Культура Новосибирской области»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культуры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0,85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 Государственная программа Новосибирской области «Стимулирование научной, научно-технической и инновационной деятельности в Новосибирской области»</w:t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науки и инновационной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lang w:eastAsia="en-US"/>
              </w:rPr>
              <w:t xml:space="preserve">1,00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0,97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 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0,94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/>
    </w:p>
    <w:tbl>
      <w:tblPr>
        <w:tblStyle w:val="835"/>
        <w:tblpPr w:horzAnchor="text" w:tblpX="377" w:vertAnchor="text" w:tblpY="1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4282"/>
        <w:gridCol w:w="3297"/>
        <w:gridCol w:w="1948"/>
        <w:gridCol w:w="1559"/>
        <w:gridCol w:w="1701"/>
        <w:gridCol w:w="1559"/>
      </w:tblGrid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 Новосибирской области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Государственный заказчик – координатор (государственный заказчик)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Интегральная оценка эффективности реализации государственной программы Новосибирской области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Качественная оценка эффективности реализации государственной программы Новосибирской области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82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8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 Государственная программа Новосибирской области «Развитие государственной молодежной политики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8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 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0,94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8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 Государственная программа Новосибирской области «Развитие промышленности и повышение ее конкурентоспособности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0,99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bookmarkStart w:id="0" w:name="_GoBack"/>
            <w:r/>
            <w:bookmarkEnd w:id="0"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8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12. Государственная программа Новосибирской области «Развитие субъектов малого и среднего предпринимательства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0,94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8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 Государственная программа Новосибирской области «Развитие лесного хозяйства Новосибирской области»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0,87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0,81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/>
    </w:p>
    <w:tbl>
      <w:tblPr>
        <w:tblStyle w:val="835"/>
        <w:tblpPr w:horzAnchor="text" w:tblpX="411" w:vertAnchor="text" w:tblpY="1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 Новосибирской области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Государственный заказчик – координатор (государственный заказчик)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Интегральная оценка эффективности реализации государственной программы Новосибирской области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Качественная оценка эффективности реализации государственной программы Новосибирской области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 Государственная программа Новосибирской области «Охрана окружающей среды»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0,89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 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 Государственная программа Новосибирской области «Развитие институтов региональной политики и гражданского общества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региональной политики Новосибирской области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0,97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 Государственная программа Новосибирской области «Комплексное развитие сельских территорий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сельского хозяйства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 Государственная программа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сельского хозяйства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0,88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0,95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 Государственная программа Новосибирской области «Обеспечение жильем молодых семей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 Государственная программа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0,89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0,98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/>
    </w:p>
    <w:tbl>
      <w:tblPr>
        <w:tblStyle w:val="835"/>
        <w:tblpPr w:horzAnchor="text" w:tblpX="411" w:vertAnchor="text" w:tblpY="1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 Новосибирской области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Государственный заказчик – координатор (государственный заказчик)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Интегральная оценка эффективности реализации государственной программы Новосибирской области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Качественная оценка эффективности реализации государственной программы Новосибирской области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 Государственная программа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lang w:eastAsia="en-US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0,96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 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 транспорте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lang w:eastAsia="en-US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22. 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lang w:eastAsia="en-US"/>
              </w:rPr>
              <w:t xml:space="preserve">0,88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Theme="minorHAnsi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Новосибирской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оциальн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Новосибирской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/>
    </w:p>
    <w:tbl>
      <w:tblPr>
        <w:tblStyle w:val="835"/>
        <w:tblpPr w:horzAnchor="text" w:tblpX="411" w:vertAnchor="text" w:tblpY="1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 Новосибирской области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Государственный заказчик – координатор (государственный заказчик)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Интегральная оценка эффективности реализации государственной программы Новосибирской области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Качественная оценка эффективности реализации государственной программы Новосибирской области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 Государственная программа Новосибирской области «Содействие занятости населения»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0,94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 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26. Государственная программа Новосибирской области «Управление финансами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Министерство финансов и налоговой политики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0,91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 Государственная программа Новосибирской области «Развитие физической культуры и спорта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физической культуры и спорта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0,96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0,85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hanging="2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hanging="2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 Государственная программа Новосибирской области «Повышение качества и доступности предоставления государственных и муниципальных услуг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hanging="2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hanging="2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  <w:r/>
    </w:p>
    <w:tbl>
      <w:tblPr>
        <w:tblStyle w:val="835"/>
        <w:tblpPr w:horzAnchor="text" w:tblpX="411" w:vertAnchor="text" w:tblpY="1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42"/>
        <w:gridCol w:w="1718"/>
        <w:gridCol w:w="1559"/>
      </w:tblGrid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государственной программы Новосибирской области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Государственный заказчик – координатор (государственный заказчик)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Интегральная оценка эффективности реализации государственной программы Новосибирской области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Качественная оценка эффективности реализации государственной программы Новосибирской области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29. Государственная программа Новосибирской области «Стимулирование инвестиционной активности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30. Государственная программа Новосибирской области «Развитие туризма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0,82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 Государственная программа Новосибирской области «Юстиция»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юстиции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0,95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0,93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 Государственная программа Новосибирской области «Цифровая трансформация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цифрового развития и связи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1,00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</w:t>
            </w:r>
            <w:r/>
          </w:p>
        </w:tc>
      </w:tr>
      <w:tr>
        <w:trPr>
          <w:tblHeader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424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29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цифрового развития и связи Новосибирской области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4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0,83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эффективная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</w:t>
            </w:r>
            <w:r/>
          </w:p>
        </w:tc>
      </w:tr>
    </w:tbl>
    <w:p>
      <w:pPr>
        <w:ind w:left="284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 – начало реализации программы с 20</w:t>
      </w:r>
      <w:r>
        <w:rPr>
          <w:rFonts w:ascii="Times New Roman" w:hAnsi="Times New Roman" w:cs="Times New Roman"/>
          <w:sz w:val="24"/>
          <w:szCs w:val="24"/>
        </w:rPr>
        <w:t xml:space="preserve">22</w:t>
      </w:r>
      <w:r>
        <w:rPr>
          <w:rFonts w:ascii="Times New Roman" w:hAnsi="Times New Roman" w:cs="Times New Roman"/>
          <w:sz w:val="24"/>
          <w:szCs w:val="24"/>
        </w:rPr>
        <w:t xml:space="preserve"> года;</w:t>
      </w:r>
      <w:r/>
    </w:p>
    <w:p>
      <w:pPr>
        <w:ind w:left="284"/>
        <w:jc w:val="both"/>
        <w:spacing w:after="0" w:line="240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уточненные данные от 01.07.2022 года.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</w:t>
      </w:r>
      <w:r/>
    </w:p>
    <w:sectPr>
      <w:headerReference w:type="default" r:id="rId8"/>
      <w:footnotePr/>
      <w:endnotePr/>
      <w:type w:val="nextPage"/>
      <w:pgSz w:w="16838" w:h="11906" w:orient="landscape"/>
      <w:pgMar w:top="993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97990694"/>
      <w:docPartObj>
        <w:docPartGallery w:val="Page Numbers (Top of Page)"/>
        <w:docPartUnique w:val="true"/>
      </w:docPartObj>
      <w:rPr/>
    </w:sdtPr>
    <w:sdtContent>
      <w:p>
        <w:pPr>
          <w:pStyle w:val="83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1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1"/>
    <w:next w:val="831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2"/>
    <w:link w:val="676"/>
    <w:uiPriority w:val="10"/>
    <w:rPr>
      <w:sz w:val="48"/>
      <w:szCs w:val="48"/>
    </w:rPr>
  </w:style>
  <w:style w:type="paragraph" w:styleId="678">
    <w:name w:val="Subtitle"/>
    <w:basedOn w:val="831"/>
    <w:next w:val="831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2"/>
    <w:link w:val="678"/>
    <w:uiPriority w:val="11"/>
    <w:rPr>
      <w:sz w:val="24"/>
      <w:szCs w:val="24"/>
    </w:rPr>
  </w:style>
  <w:style w:type="paragraph" w:styleId="680">
    <w:name w:val="Quote"/>
    <w:basedOn w:val="831"/>
    <w:next w:val="831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1"/>
    <w:next w:val="831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2"/>
    <w:link w:val="837"/>
    <w:uiPriority w:val="99"/>
  </w:style>
  <w:style w:type="character" w:styleId="685">
    <w:name w:val="Footer Char"/>
    <w:basedOn w:val="832"/>
    <w:link w:val="839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9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37">
    <w:name w:val="Header"/>
    <w:basedOn w:val="831"/>
    <w:link w:val="8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8" w:customStyle="1">
    <w:name w:val="Верхний колонтитул Знак"/>
    <w:basedOn w:val="832"/>
    <w:link w:val="837"/>
    <w:uiPriority w:val="99"/>
  </w:style>
  <w:style w:type="paragraph" w:styleId="839">
    <w:name w:val="Footer"/>
    <w:basedOn w:val="831"/>
    <w:link w:val="8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0" w:customStyle="1">
    <w:name w:val="Нижний колонтитул Знак"/>
    <w:basedOn w:val="832"/>
    <w:link w:val="839"/>
    <w:uiPriority w:val="99"/>
  </w:style>
  <w:style w:type="paragraph" w:styleId="841">
    <w:name w:val="Balloon Text"/>
    <w:basedOn w:val="831"/>
    <w:link w:val="84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2" w:customStyle="1">
    <w:name w:val="Текст выноски Знак"/>
    <w:basedOn w:val="832"/>
    <w:link w:val="841"/>
    <w:uiPriority w:val="99"/>
    <w:semiHidden/>
    <w:rPr>
      <w:rFonts w:ascii="Segoe UI" w:hAnsi="Segoe UI" w:cs="Segoe UI"/>
      <w:sz w:val="18"/>
      <w:szCs w:val="18"/>
    </w:rPr>
  </w:style>
  <w:style w:type="character" w:styleId="843">
    <w:name w:val="annotation reference"/>
    <w:basedOn w:val="832"/>
    <w:uiPriority w:val="99"/>
    <w:semiHidden/>
    <w:unhideWhenUsed/>
    <w:rPr>
      <w:sz w:val="16"/>
      <w:szCs w:val="16"/>
    </w:rPr>
  </w:style>
  <w:style w:type="paragraph" w:styleId="844">
    <w:name w:val="annotation text"/>
    <w:basedOn w:val="831"/>
    <w:link w:val="84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5" w:customStyle="1">
    <w:name w:val="Текст примечания Знак"/>
    <w:basedOn w:val="832"/>
    <w:link w:val="844"/>
    <w:uiPriority w:val="99"/>
    <w:semiHidden/>
    <w:rPr>
      <w:sz w:val="20"/>
      <w:szCs w:val="20"/>
    </w:rPr>
  </w:style>
  <w:style w:type="paragraph" w:styleId="846">
    <w:name w:val="annotation subject"/>
    <w:basedOn w:val="844"/>
    <w:next w:val="844"/>
    <w:link w:val="847"/>
    <w:uiPriority w:val="99"/>
    <w:semiHidden/>
    <w:unhideWhenUsed/>
    <w:rPr>
      <w:b/>
      <w:bCs/>
    </w:rPr>
  </w:style>
  <w:style w:type="character" w:styleId="847" w:customStyle="1">
    <w:name w:val="Тема примечания Знак"/>
    <w:basedOn w:val="845"/>
    <w:link w:val="846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32D1C-9157-4402-8EA3-E1514477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Правительство Новосибирской области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Екатерина Сергеевна</dc:creator>
  <cp:keywords/>
  <dc:description/>
  <cp:revision>126</cp:revision>
  <dcterms:created xsi:type="dcterms:W3CDTF">2019-05-17T04:38:00Z</dcterms:created>
  <dcterms:modified xsi:type="dcterms:W3CDTF">2023-05-24T03:45:57Z</dcterms:modified>
</cp:coreProperties>
</file>