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ind w:firstLine="539"/>
        <w:jc w:val="center"/>
        <w:rPr>
          <w:rFonts w:ascii="Times New Roman" w:hAnsi="Times New Roman"/>
          <w:b/>
          <w:bCs/>
          <w:color w:val="auto"/>
          <w:sz w:val="48"/>
          <w:szCs w:val="48"/>
        </w:rPr>
      </w:pPr>
      <w:r>
        <w:rPr>
          <w:color w:val="auto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52450" cy="64770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5245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3.5pt;height:51.0pt;mso-wrap-distance-left:0.0pt;mso-wrap-distance-top:0.0pt;mso-wrap-distance-right:0.0pt;mso-wrap-distance-bottom:0.0pt;" stroked="f">
                <v:path textboxrect="0,0,0,0"/>
                <v:imagedata r:id="rId11" o:title=""/>
              </v:shape>
            </w:pict>
          </mc:Fallback>
        </mc:AlternateContent>
      </w:r>
      <w:r>
        <w:rPr>
          <w:color w:val="auto"/>
        </w:rPr>
      </w:r>
    </w:p>
    <w:p>
      <w:pPr>
        <w:spacing w:after="0" w:line="240" w:lineRule="auto"/>
        <w:ind w:firstLine="539"/>
        <w:jc w:val="center"/>
        <w:rPr>
          <w:rFonts w:ascii="Times New Roman" w:hAnsi="Times New Roman"/>
          <w:b/>
          <w:bCs/>
          <w:color w:val="auto"/>
          <w:sz w:val="36"/>
          <w:szCs w:val="36"/>
        </w:rPr>
      </w:pPr>
      <w:r>
        <w:rPr>
          <w:rFonts w:ascii="Times New Roman" w:hAnsi="Times New Roman"/>
          <w:b/>
          <w:bCs/>
          <w:color w:val="auto"/>
          <w:sz w:val="36"/>
          <w:szCs w:val="36"/>
        </w:rPr>
        <w:t xml:space="preserve">ПРАВИТЕЛЬСТВО НОВОСИБИРСКОЙ ОБЛАСТИ</w:t>
      </w:r>
      <w:r>
        <w:rPr>
          <w:color w:val="auto"/>
        </w:rPr>
      </w:r>
    </w:p>
    <w:p>
      <w:pPr>
        <w:spacing w:after="0" w:line="240" w:lineRule="auto"/>
        <w:ind w:firstLine="539"/>
        <w:jc w:val="center"/>
        <w:rPr>
          <w:rFonts w:ascii="Times New Roman" w:hAnsi="Times New Roman"/>
          <w:b/>
          <w:bCs/>
          <w:color w:val="auto"/>
          <w:sz w:val="48"/>
          <w:szCs w:val="48"/>
        </w:rPr>
      </w:pPr>
      <w:r>
        <w:rPr>
          <w:rFonts w:ascii="Times New Roman" w:hAnsi="Times New Roman"/>
          <w:b/>
          <w:bCs/>
          <w:color w:val="auto"/>
          <w:sz w:val="48"/>
          <w:szCs w:val="48"/>
        </w:rPr>
      </w:r>
      <w:r>
        <w:rPr>
          <w:color w:val="auto"/>
        </w:rPr>
      </w:r>
    </w:p>
    <w:p>
      <w:pPr>
        <w:spacing w:after="0" w:line="240" w:lineRule="auto"/>
        <w:ind w:firstLine="539"/>
        <w:jc w:val="center"/>
        <w:rPr>
          <w:rFonts w:ascii="Times New Roman" w:hAnsi="Times New Roman"/>
          <w:b/>
          <w:bCs/>
          <w:color w:val="auto"/>
          <w:sz w:val="48"/>
          <w:szCs w:val="48"/>
        </w:rPr>
      </w:pPr>
      <w:r>
        <w:rPr>
          <w:rFonts w:ascii="Times New Roman" w:hAnsi="Times New Roman"/>
          <w:b/>
          <w:bCs/>
          <w:color w:val="auto"/>
          <w:sz w:val="48"/>
          <w:szCs w:val="48"/>
        </w:rPr>
      </w:r>
      <w:r>
        <w:rPr>
          <w:color w:val="auto"/>
        </w:rPr>
      </w:r>
    </w:p>
    <w:p>
      <w:pPr>
        <w:spacing w:after="0" w:line="240" w:lineRule="auto"/>
        <w:ind w:firstLine="539"/>
        <w:jc w:val="center"/>
        <w:rPr>
          <w:rFonts w:ascii="Times New Roman" w:hAnsi="Times New Roman"/>
          <w:b/>
          <w:bCs/>
          <w:color w:val="auto"/>
          <w:sz w:val="48"/>
          <w:szCs w:val="48"/>
        </w:rPr>
      </w:pPr>
      <w:r>
        <w:rPr>
          <w:rFonts w:ascii="Times New Roman" w:hAnsi="Times New Roman"/>
          <w:b/>
          <w:bCs/>
          <w:color w:val="auto"/>
          <w:sz w:val="48"/>
          <w:szCs w:val="48"/>
        </w:rPr>
      </w:r>
      <w:r>
        <w:rPr>
          <w:color w:val="auto"/>
        </w:rPr>
      </w:r>
    </w:p>
    <w:p>
      <w:pPr>
        <w:spacing w:after="0" w:line="240" w:lineRule="auto"/>
        <w:ind w:firstLine="539"/>
        <w:jc w:val="center"/>
        <w:rPr>
          <w:rFonts w:ascii="Times New Roman" w:hAnsi="Times New Roman"/>
          <w:b/>
          <w:bCs/>
          <w:color w:val="auto"/>
          <w:sz w:val="48"/>
          <w:szCs w:val="48"/>
        </w:rPr>
      </w:pPr>
      <w:r>
        <w:rPr>
          <w:rFonts w:ascii="Times New Roman" w:hAnsi="Times New Roman"/>
          <w:b/>
          <w:bCs/>
          <w:color w:val="auto"/>
          <w:sz w:val="48"/>
          <w:szCs w:val="48"/>
        </w:rPr>
      </w:r>
      <w:r>
        <w:rPr>
          <w:color w:val="auto"/>
        </w:rPr>
      </w:r>
    </w:p>
    <w:p>
      <w:pPr>
        <w:spacing w:after="0" w:line="240" w:lineRule="auto"/>
        <w:ind w:firstLine="539"/>
        <w:jc w:val="center"/>
        <w:rPr>
          <w:rFonts w:ascii="Times New Roman" w:hAnsi="Times New Roman"/>
          <w:b/>
          <w:bCs/>
          <w:color w:val="auto"/>
          <w:sz w:val="48"/>
          <w:szCs w:val="48"/>
        </w:rPr>
      </w:pPr>
      <w:r>
        <w:rPr>
          <w:rFonts w:ascii="Times New Roman" w:hAnsi="Times New Roman"/>
          <w:b/>
          <w:bCs/>
          <w:color w:val="auto"/>
          <w:sz w:val="48"/>
          <w:szCs w:val="48"/>
        </w:rPr>
      </w:r>
      <w:r>
        <w:rPr>
          <w:color w:val="auto"/>
        </w:rPr>
      </w:r>
    </w:p>
    <w:p>
      <w:pPr>
        <w:spacing w:after="0" w:line="240" w:lineRule="auto"/>
        <w:ind w:firstLine="539"/>
        <w:jc w:val="center"/>
        <w:rPr>
          <w:rFonts w:ascii="Times New Roman" w:hAnsi="Times New Roman"/>
          <w:b/>
          <w:bCs/>
          <w:color w:val="auto"/>
          <w:sz w:val="48"/>
          <w:szCs w:val="48"/>
        </w:rPr>
      </w:pPr>
      <w:r>
        <w:rPr>
          <w:rFonts w:ascii="Times New Roman" w:hAnsi="Times New Roman"/>
          <w:b/>
          <w:bCs/>
          <w:color w:val="auto"/>
          <w:sz w:val="48"/>
          <w:szCs w:val="48"/>
        </w:rPr>
      </w:r>
      <w:r>
        <w:rPr>
          <w:color w:val="auto"/>
        </w:rPr>
      </w:r>
    </w:p>
    <w:p>
      <w:pPr>
        <w:spacing w:after="0" w:line="240" w:lineRule="auto"/>
        <w:ind w:firstLine="539"/>
        <w:jc w:val="center"/>
        <w:rPr>
          <w:rFonts w:ascii="Times New Roman" w:hAnsi="Times New Roman"/>
          <w:b/>
          <w:bCs/>
          <w:color w:val="auto"/>
          <w:sz w:val="48"/>
          <w:szCs w:val="48"/>
        </w:rPr>
      </w:pPr>
      <w:r>
        <w:rPr>
          <w:rFonts w:ascii="Times New Roman" w:hAnsi="Times New Roman"/>
          <w:b/>
          <w:bCs/>
          <w:color w:val="auto"/>
          <w:sz w:val="48"/>
          <w:szCs w:val="48"/>
        </w:rPr>
      </w:r>
      <w:r>
        <w:rPr>
          <w:color w:val="auto"/>
        </w:rPr>
      </w:r>
    </w:p>
    <w:p>
      <w:pPr>
        <w:spacing w:after="0" w:line="240" w:lineRule="auto"/>
        <w:ind w:firstLine="539"/>
        <w:jc w:val="center"/>
        <w:rPr>
          <w:rFonts w:ascii="Times New Roman" w:hAnsi="Times New Roman"/>
          <w:b/>
          <w:bCs/>
          <w:color w:val="auto"/>
          <w:sz w:val="48"/>
          <w:szCs w:val="48"/>
        </w:rPr>
      </w:pPr>
      <w:r>
        <w:rPr>
          <w:rFonts w:ascii="Times New Roman" w:hAnsi="Times New Roman"/>
          <w:b/>
          <w:bCs/>
          <w:color w:val="auto"/>
          <w:sz w:val="48"/>
          <w:szCs w:val="48"/>
        </w:rPr>
      </w:r>
      <w:r>
        <w:rPr>
          <w:color w:val="auto"/>
        </w:rPr>
      </w:r>
    </w:p>
    <w:p>
      <w:pPr>
        <w:spacing w:after="0" w:line="240" w:lineRule="auto"/>
        <w:ind w:firstLine="539"/>
        <w:jc w:val="center"/>
        <w:rPr>
          <w:rFonts w:ascii="Times New Roman" w:hAnsi="Times New Roman"/>
          <w:b/>
          <w:bCs/>
          <w:color w:val="auto"/>
          <w:sz w:val="48"/>
          <w:szCs w:val="48"/>
        </w:rPr>
      </w:pPr>
      <w:r>
        <w:rPr>
          <w:rFonts w:ascii="Times New Roman" w:hAnsi="Times New Roman"/>
          <w:b/>
          <w:bCs/>
          <w:color w:val="auto"/>
          <w:sz w:val="48"/>
          <w:szCs w:val="48"/>
        </w:rPr>
        <w:t xml:space="preserve">СВОДНЫЙ ГОДОВОЙ ДОКЛАД </w:t>
      </w:r>
      <w:r>
        <w:rPr>
          <w:color w:val="auto"/>
        </w:rPr>
      </w:r>
    </w:p>
    <w:p>
      <w:pPr>
        <w:spacing w:after="0" w:line="240" w:lineRule="auto"/>
        <w:ind w:firstLine="539"/>
        <w:jc w:val="center"/>
        <w:rPr>
          <w:rFonts w:ascii="Times New Roman" w:hAnsi="Times New Roman"/>
          <w:b/>
          <w:bCs/>
          <w:color w:val="auto"/>
          <w:sz w:val="48"/>
          <w:szCs w:val="48"/>
        </w:rPr>
      </w:pPr>
      <w:r>
        <w:rPr>
          <w:rFonts w:ascii="Times New Roman" w:hAnsi="Times New Roman"/>
          <w:b/>
          <w:bCs/>
          <w:color w:val="auto"/>
          <w:sz w:val="48"/>
          <w:szCs w:val="48"/>
        </w:rPr>
      </w:r>
      <w:r>
        <w:rPr>
          <w:color w:val="auto"/>
        </w:rPr>
      </w:r>
    </w:p>
    <w:p>
      <w:pPr>
        <w:spacing w:after="0" w:line="240" w:lineRule="auto"/>
        <w:ind w:firstLine="539"/>
        <w:jc w:val="center"/>
        <w:rPr>
          <w:rFonts w:ascii="Times New Roman" w:hAnsi="Times New Roman"/>
          <w:b/>
          <w:bCs/>
          <w:color w:val="auto"/>
          <w:sz w:val="40"/>
          <w:szCs w:val="40"/>
        </w:rPr>
      </w:pPr>
      <w:r>
        <w:rPr>
          <w:rFonts w:ascii="Times New Roman" w:hAnsi="Times New Roman"/>
          <w:b/>
          <w:bCs/>
          <w:color w:val="auto"/>
          <w:sz w:val="40"/>
          <w:szCs w:val="40"/>
        </w:rPr>
        <w:t xml:space="preserve">о ходе реализации и об оценке эффекти</w:t>
      </w:r>
      <w:r>
        <w:rPr>
          <w:rFonts w:ascii="Times New Roman" w:hAnsi="Times New Roman"/>
          <w:b/>
          <w:bCs/>
          <w:color w:val="auto"/>
          <w:sz w:val="40"/>
          <w:szCs w:val="40"/>
        </w:rPr>
        <w:t xml:space="preserve">вности государственных программ</w:t>
      </w:r>
      <w:r>
        <w:rPr>
          <w:color w:val="auto"/>
        </w:rPr>
      </w:r>
    </w:p>
    <w:p>
      <w:pPr>
        <w:spacing w:after="0" w:line="240" w:lineRule="auto"/>
        <w:ind w:firstLine="539"/>
        <w:jc w:val="center"/>
        <w:rPr>
          <w:rFonts w:ascii="Times New Roman" w:hAnsi="Times New Roman"/>
          <w:b/>
          <w:bCs/>
          <w:color w:val="auto"/>
          <w:sz w:val="40"/>
          <w:szCs w:val="40"/>
        </w:rPr>
      </w:pPr>
      <w:r>
        <w:rPr>
          <w:rFonts w:ascii="Times New Roman" w:hAnsi="Times New Roman"/>
          <w:b/>
          <w:bCs/>
          <w:color w:val="auto"/>
          <w:sz w:val="40"/>
          <w:szCs w:val="40"/>
        </w:rPr>
        <w:t xml:space="preserve">Новосибирской области</w:t>
      </w:r>
      <w:r>
        <w:rPr>
          <w:color w:val="auto"/>
        </w:rPr>
      </w:r>
    </w:p>
    <w:p>
      <w:pPr>
        <w:spacing w:after="0" w:line="240" w:lineRule="auto"/>
        <w:ind w:firstLine="539"/>
        <w:jc w:val="center"/>
        <w:rPr>
          <w:rFonts w:ascii="Times New Roman" w:hAnsi="Times New Roman"/>
          <w:b/>
          <w:bCs/>
          <w:color w:val="auto"/>
          <w:sz w:val="40"/>
          <w:szCs w:val="40"/>
        </w:rPr>
      </w:pPr>
      <w:r>
        <w:rPr>
          <w:rFonts w:ascii="Times New Roman" w:hAnsi="Times New Roman"/>
          <w:b/>
          <w:bCs/>
          <w:color w:val="auto"/>
          <w:sz w:val="40"/>
          <w:szCs w:val="40"/>
        </w:rPr>
        <w:t xml:space="preserve">за 20</w:t>
      </w:r>
      <w:r>
        <w:rPr>
          <w:rFonts w:ascii="Times New Roman" w:hAnsi="Times New Roman"/>
          <w:b/>
          <w:bCs/>
          <w:color w:val="auto"/>
          <w:sz w:val="40"/>
          <w:szCs w:val="40"/>
        </w:rPr>
        <w:t xml:space="preserve">2</w:t>
      </w:r>
      <w:r>
        <w:rPr>
          <w:rFonts w:ascii="Times New Roman" w:hAnsi="Times New Roman"/>
          <w:b/>
          <w:bCs/>
          <w:color w:val="auto"/>
          <w:sz w:val="40"/>
          <w:szCs w:val="40"/>
          <w:lang w:val="ru-RU"/>
        </w:rPr>
        <w:t xml:space="preserve">2</w:t>
      </w:r>
      <w:r>
        <w:rPr>
          <w:rFonts w:ascii="Times New Roman" w:hAnsi="Times New Roman"/>
          <w:b/>
          <w:bCs/>
          <w:color w:val="auto"/>
          <w:sz w:val="40"/>
          <w:szCs w:val="40"/>
          <w:lang w:val="en-US"/>
        </w:rPr>
        <w:t xml:space="preserve"> </w:t>
      </w:r>
      <w:r>
        <w:rPr>
          <w:rFonts w:ascii="Times New Roman" w:hAnsi="Times New Roman"/>
          <w:b/>
          <w:bCs/>
          <w:color w:val="auto"/>
          <w:sz w:val="40"/>
          <w:szCs w:val="40"/>
        </w:rPr>
        <w:t xml:space="preserve">год</w:t>
      </w:r>
      <w:r>
        <w:rPr>
          <w:color w:val="auto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  <w:sectPr>
          <w:headerReference w:type="default" r:id="rId9"/>
          <w:footnotePr/>
          <w:endnotePr/>
          <w:type w:val="nextPage"/>
          <w:pgSz w:w="11906" w:h="16838" w:orient="portrait"/>
          <w:pgMar w:top="851" w:right="851" w:bottom="993" w:left="1276" w:header="709" w:footer="709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Новосибирск, 202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3 год</w:t>
      </w:r>
      <w:r>
        <w:rPr>
          <w:color w:val="auto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ОГЛАВЛЕНИЕ 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Введение.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I. ОБЩИЕ СВЕДЕНИЯ О ГОСУДАРСТВЕННЫХ ПРОГРАММАХ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РЕАЛИЗОВАННЫХ В 2022 ГОДУ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II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СВОДНЫЕ ДАННЫЕ О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РЕАЛИЗАЦИИ ГОСУДАРСТВЕННЫХ ПРОГРАММ НОВОСИБИРСКОЙ ОБЛАСТИ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 Основные сведения о реализации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 Основные сведения об общем объеме финансирования государственных программ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(за счет всех источников)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 Основные сведения о предоставленных в рамках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государственных программ Новосибирской области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субсидиях и иных межбюджетных трансфертах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местным бюджетам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4. 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Основные сведения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 финансировании реализации наказов избирателей депутатам Законодательного Собрания Новосибирской области в рамках государственных программ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5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 Основные сведения об оценке эффективности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ПРИЛОЖЕНИЯ: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№ 1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«Характеристика итогов реализации государственных программ Новосибирской области»;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№ 2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«Сведения о кассовом исполнении государственных программ Новосибирской области за счет средств областного и федерального бюджетов»;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№ 3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«Сведения в разрезе муниципальных образований, на территории которых реализовывались мероприятия государственных программ Новосибирской области за счет пред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ставления субсидий и иных межбюджетных трансфертов»;</w:t>
      </w:r>
      <w:r>
        <w:rPr>
          <w:color w:val="auto"/>
        </w:rPr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№ 4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Сведения о финансировании реализации наказов избирателей депутатам Законодательного Собрания Новосибирской области в рамках государственных программ Новосибирской области</w:t>
      </w:r>
      <w:r>
        <w:rPr>
          <w:rFonts w:ascii="Times New Roman" w:hAnsi="Times New Roman" w:eastAsia="Times New Roman" w:cs="Times New Roman"/>
          <w:bCs/>
          <w:color w:val="auto"/>
          <w:sz w:val="28"/>
          <w:szCs w:val="28"/>
        </w:rPr>
        <w:t xml:space="preserve">»;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№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5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«Результаты оценки эффективности государственных программ Новосибирской области».</w:t>
      </w:r>
      <w:r>
        <w:rPr>
          <w:color w:val="auto"/>
        </w:rPr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_________</w:t>
      </w:r>
      <w:r>
        <w:rPr>
          <w:color w:val="auto"/>
        </w:rPr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br w:type="page" w:clear="all"/>
      </w:r>
      <w:r>
        <w:rPr>
          <w:color w:val="auto"/>
        </w:rPr>
      </w:r>
    </w:p>
    <w:p>
      <w:pPr>
        <w:spacing w:after="0" w:line="240" w:lineRule="auto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ВВЕДЕНИЕ</w:t>
      </w:r>
      <w:r>
        <w:rPr>
          <w:color w:val="auto"/>
        </w:rPr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Подготовка сводного годового доклада о ходе реализации и об оценке эффективности государственных программ Новосибирской области (далее – Сводный доклад) осуществлена в соответствии с требованиями следующих законодательных актов: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Федерального закона от 28.06.2014 № 172-ФЗ «О стратегическом планировании в Российской Федерации»;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Закона Новосибирской 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бласти от 18.12.2015 № 24-ОЗ «О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планировании социально-экономического развития Новосибирской области».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Сводный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доклад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подготовлен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министерством экономического развития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(далее – Минэкономразвития НСО)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пунктом 33 Порядка принятия решений о разработке государственных программ Новосибирской области, а также формирования и реализации указанных программ, утвержденного постановлением Правительства Новосибирской области от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28.03.2014 №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125-п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Сводный доклад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подготовлен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на основе:</w:t>
      </w:r>
      <w:r>
        <w:rPr>
          <w:color w:val="auto"/>
        </w:rPr>
      </w:r>
    </w:p>
    <w:p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Закона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Новосибирской области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от 23.12.2021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№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167-ОЗ (ред.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05.10.2022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)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«Об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областном бюдж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те Новосибирской области на 2022 год и плановый период 2023 и 2024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годов»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(далее – Закон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23.12.2021 № 167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-ОЗ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)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и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параметров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 уточненной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сводной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бюджетной росписи по состоянию на 31 дек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абря 2022 года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актуальных редакций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государственных программ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по состоянию на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31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.20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части параметров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2022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года;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годовых отчетов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 ходе и результатах реализации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отчетов о результатах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проведенной оценки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эффективности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реализации государственных программ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пред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ставленных 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Минэкономразвития НС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государственными заказчиками (заказчиками-координаторами)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квартальны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х отчетов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 выполнении планов реализации государственных программ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уточненных сведений, пред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ставленных государственными заказчиками (заказчиками-координаторами) государственных программ Новоси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бирской области после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15.04.202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года;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сведений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об исполнении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расходов областного бюджета Новосибирской области по государственным программам Новосибирской области на 2022 год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пред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ставленных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министерством финансов и налоговой политики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(далее – сведения об исполнении)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со статьей 35 Закона Ново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сибирской области от 07.10.2011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№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112-ОЗ «О бюджетном процессе в Новосибирской области»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годовые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отчеты об исполнении каждой государственной программы Новосибирской области за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год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(с подробным описанием)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были направлены областными исполнительными органами Новосибирской области в Законодательное Собрание Новосибирской области к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15.04.20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3 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года.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Информация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 размещении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телекоммуникационной сети «Интернет»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данных о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государственных программ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ах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Новосибирской области и годовых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отчетов о ходе и результатах реализации государственных программ Новосибирской области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за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год размещена по адресу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http://econom.nso.ru/page/3611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Наименования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государственных программ Новосибирской области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Сводном докладе приведены в соответствии с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Законом Новосибирской области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23.12.2021 № 167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-ОЗ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К Сводному докладу прилагается следующая информация: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Приложение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№ 1 «Характеристика итогов реализации государственных программ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», в котором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плановые объемы финансирования и плановые значения целевых индикаторов приведены в соответствии с актуальными редакциями государственных программ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Новосибирской области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по состоянию на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31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.202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года;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Приложение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№ 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«Сведения о кассовом исполнении государственных программ Новосибирской области за счет средств областного и федерального бюджетов»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в котором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плановые объемы финансирования приведены в соответствии с актуальными редакциями государственных программ по состоянию на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31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.202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года;</w:t>
      </w:r>
      <w:r>
        <w:rPr>
          <w:color w:val="auto"/>
        </w:rPr>
      </w:r>
    </w:p>
    <w:p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Приложение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№ 3 «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Сведения в разрезе муниципальных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образований, на территории которых реализовывались мероприятия государственных программ Новосибирской области за счет пред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ставления субсидий и иных межбюджетных трансфертов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местным бюджетам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котором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плановые объемы субсидий и иных межбюджетных трансфертов приведены в соответствии с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Законом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23.12.2021 № 167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-ОЗ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и/или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параметрами уточненной бюджетной росписи по состоянию на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31 декабря 2022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 года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</w:t>
      </w:r>
      <w:r>
        <w:rPr>
          <w:color w:val="auto"/>
        </w:rPr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Приложение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№ 4 «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Сведения о финансировании реализации наказов избирателей депутатам Законодательного Собрания Новосибирской области в рамках государственных программ Новосибирской области</w:t>
      </w:r>
      <w:r>
        <w:rPr>
          <w:rFonts w:ascii="Times New Roman" w:hAnsi="Times New Roman" w:eastAsia="Times New Roman" w:cs="Times New Roman"/>
          <w:bCs/>
          <w:color w:val="auto"/>
          <w:sz w:val="28"/>
          <w:szCs w:val="28"/>
        </w:rPr>
        <w:t xml:space="preserve">», на основании данных, представленных государственными заказчиками (заказчиками</w:t>
        <w:noBreakHyphen/>
        <w:t xml:space="preserve">координаторами);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Приложение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№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5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«Результаты оценки эффективности государственных программ Новосибирской области»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br w:type="page" w:clear="all"/>
      </w:r>
      <w:r>
        <w:rPr>
          <w:color w:val="auto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 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ОБЩИЕ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СВЕДЕНИЯ О ГОСУДАРСТВЕННЫХ ПРОГРАММАХ НОВОСИБИРСКОЙ ОБЛАСТИ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, РЕАЛИЗОВАННЫХ В 2022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 ГОДУ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распоряжением Правительства Новосибирской области от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21.08.2018 № 310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-рп </w:t>
      </w:r>
      <w:hyperlink r:id="rId12" w:tooltip="consultantplus://offline/ref=EC5945C6B0781D76EBA86BC2EB6231DDF1014A7D9AABB2A2F7D58F5DF62580E245B7BE073409A0D050086272FDB850125AWFZFE" w:history="1">
        <w:r>
          <w:rPr>
            <w:rFonts w:ascii="Times New Roman" w:hAnsi="Times New Roman" w:cs="Times New Roman"/>
            <w:color w:val="auto"/>
            <w:sz w:val="28"/>
            <w:szCs w:val="28"/>
          </w:rPr>
          <w:t xml:space="preserve">«О перечне государственных программ Новосибирской области</w:t>
        </w:r>
      </w:hyperlink>
      <w:r>
        <w:rPr>
          <w:rFonts w:ascii="Times New Roman" w:hAnsi="Times New Roman" w:cs="Times New Roman"/>
          <w:color w:val="auto"/>
          <w:sz w:val="28"/>
          <w:szCs w:val="28"/>
        </w:rPr>
        <w:t xml:space="preserve">», действующим 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2022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году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(далее – отчетном году)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перечень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состоял из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33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г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осударственных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программ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Все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государственные программы Новосибирской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области включены в Закон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23.12.2021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№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167-ОЗ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государственных программ Новосибирской области 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отчетном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году осуществлялась в соответствии с планами их реализации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2022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год и плановый период 20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4 годо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в, утвержденными приказами государственных заказчиков (за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казчиков-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координаторов)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. 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СВОДНЫЕ ДАННЫЕ О РЕАЛИЗАЦИИ ГОСУДАРСТВЕННЫХ ПРОГРАММ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НОВОСИБИРСКОЙ ОБЛАСТИ</w:t>
      </w:r>
      <w:r>
        <w:rPr>
          <w:color w:val="auto"/>
        </w:rPr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 О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сновные сведения о реализации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color w:val="auto"/>
        </w:rPr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Государственные программы Новосибирской области 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отчетном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году реализовывались в соответствии со Стратегией социально-экономического развития Новосибирской области на период до 2030 года, утвержденной постановлением Правительства Новосибирской области от 19.03.2019 № 105-п, и ус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тановленными в ней стратегическими приоритетами: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1. Развитие человеческого капитала и социальной сферы;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2. Развитие конкурентоспособной экономики с высоким уровнем предпринимательской активности и конкуренции;</w:t>
      </w:r>
      <w:r>
        <w:rPr>
          <w:color w:val="auto"/>
        </w:rPr>
      </w:r>
    </w:p>
    <w:p>
      <w:pPr>
        <w:spacing w:after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 Создание современной и безопасной среды для жизни, преображение городов и поселков Новосибирской области.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2022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году направления реализации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охватывали все основные задачи государственной политики в сфере социально-экономического развития и безопасности Новосибирской области.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В целях </w:t>
      </w:r>
      <w:r>
        <w:rPr>
          <w:rFonts w:ascii="Times New Roman" w:hAnsi="Times New Roman"/>
          <w:color w:val="auto"/>
          <w:sz w:val="28"/>
          <w:szCs w:val="28"/>
        </w:rPr>
        <w:t xml:space="preserve">развития</w:t>
      </w:r>
      <w:r>
        <w:rPr>
          <w:rFonts w:ascii="Times New Roman" w:hAnsi="Times New Roman"/>
          <w:color w:val="auto"/>
          <w:sz w:val="28"/>
          <w:szCs w:val="28"/>
        </w:rPr>
        <w:t xml:space="preserve"> человеческого капитала </w:t>
      </w:r>
      <w:r>
        <w:rPr>
          <w:rFonts w:ascii="Times New Roman" w:hAnsi="Times New Roman"/>
          <w:color w:val="auto"/>
          <w:sz w:val="28"/>
          <w:szCs w:val="28"/>
        </w:rPr>
        <w:t xml:space="preserve">и социальной сферы </w:t>
      </w:r>
      <w:r>
        <w:rPr>
          <w:rFonts w:ascii="Times New Roman" w:hAnsi="Times New Roman"/>
          <w:color w:val="auto"/>
          <w:sz w:val="28"/>
          <w:szCs w:val="28"/>
        </w:rPr>
        <w:t xml:space="preserve">в Новосибирской области и создания условий для комфортного проживания </w:t>
      </w:r>
      <w:r>
        <w:rPr>
          <w:rFonts w:ascii="Times New Roman" w:hAnsi="Times New Roman"/>
          <w:color w:val="auto"/>
          <w:sz w:val="28"/>
          <w:szCs w:val="28"/>
        </w:rPr>
        <w:t xml:space="preserve">в рамках государственных программ Новосибирской области </w:t>
      </w:r>
      <w:r>
        <w:rPr>
          <w:rFonts w:ascii="Times New Roman" w:hAnsi="Times New Roman"/>
          <w:color w:val="auto"/>
          <w:sz w:val="28"/>
          <w:szCs w:val="28"/>
        </w:rPr>
        <w:t xml:space="preserve">продолжена реализация мер по укреплен</w:t>
      </w:r>
      <w:r>
        <w:rPr>
          <w:rFonts w:ascii="Times New Roman" w:hAnsi="Times New Roman"/>
          <w:color w:val="auto"/>
          <w:sz w:val="28"/>
          <w:szCs w:val="28"/>
        </w:rPr>
        <w:t xml:space="preserve">ию здоровья населения и повышению</w:t>
      </w:r>
      <w:r>
        <w:rPr>
          <w:rFonts w:ascii="Times New Roman" w:hAnsi="Times New Roman"/>
          <w:color w:val="auto"/>
          <w:sz w:val="28"/>
          <w:szCs w:val="28"/>
        </w:rPr>
        <w:t xml:space="preserve"> демографического потенциала, формировани</w:t>
      </w:r>
      <w:r>
        <w:rPr>
          <w:rFonts w:ascii="Times New Roman" w:hAnsi="Times New Roman"/>
          <w:color w:val="auto"/>
          <w:sz w:val="28"/>
          <w:szCs w:val="28"/>
        </w:rPr>
        <w:t xml:space="preserve">ю</w:t>
      </w:r>
      <w:r>
        <w:rPr>
          <w:rFonts w:ascii="Times New Roman" w:hAnsi="Times New Roman"/>
          <w:color w:val="auto"/>
          <w:sz w:val="28"/>
          <w:szCs w:val="28"/>
        </w:rPr>
        <w:t xml:space="preserve"> условий для развития духовности, культуры, нравственного здоровья</w:t>
      </w:r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r>
        <w:rPr>
          <w:rFonts w:ascii="Times New Roman" w:hAnsi="Times New Roman"/>
          <w:color w:val="auto"/>
          <w:sz w:val="28"/>
          <w:szCs w:val="28"/>
        </w:rPr>
        <w:t xml:space="preserve">образования и кадрового потенциала, </w:t>
      </w:r>
      <w:r>
        <w:rPr>
          <w:rFonts w:ascii="Times New Roman" w:hAnsi="Times New Roman" w:eastAsia="Calibri"/>
          <w:color w:val="auto"/>
          <w:sz w:val="28"/>
          <w:szCs w:val="28"/>
        </w:rPr>
        <w:t xml:space="preserve">повышени</w:t>
      </w:r>
      <w:r>
        <w:rPr>
          <w:rFonts w:ascii="Times New Roman" w:hAnsi="Times New Roman"/>
          <w:color w:val="auto"/>
          <w:sz w:val="28"/>
          <w:szCs w:val="28"/>
        </w:rPr>
        <w:t xml:space="preserve">я</w:t>
      </w:r>
      <w:r>
        <w:rPr>
          <w:rFonts w:ascii="Times New Roman" w:hAnsi="Times New Roman" w:eastAsia="Calibri"/>
          <w:color w:val="auto"/>
          <w:sz w:val="28"/>
          <w:szCs w:val="28"/>
        </w:rPr>
        <w:t xml:space="preserve"> эффективности сельской экономики и сохранени</w:t>
      </w:r>
      <w:r>
        <w:rPr>
          <w:rFonts w:ascii="Times New Roman" w:hAnsi="Times New Roman"/>
          <w:color w:val="auto"/>
          <w:sz w:val="28"/>
          <w:szCs w:val="28"/>
        </w:rPr>
        <w:t xml:space="preserve">я</w:t>
      </w:r>
      <w:r>
        <w:rPr>
          <w:rFonts w:ascii="Times New Roman" w:hAnsi="Times New Roman" w:eastAsia="Calibri"/>
          <w:color w:val="auto"/>
          <w:sz w:val="28"/>
          <w:szCs w:val="28"/>
        </w:rPr>
        <w:t xml:space="preserve"> сельск</w:t>
      </w:r>
      <w:r>
        <w:rPr>
          <w:rFonts w:ascii="Times New Roman" w:hAnsi="Times New Roman" w:eastAsia="Calibri"/>
          <w:color w:val="auto"/>
          <w:sz w:val="28"/>
          <w:szCs w:val="28"/>
        </w:rPr>
        <w:t xml:space="preserve">ого образа жизни, </w:t>
      </w:r>
      <w:r>
        <w:rPr>
          <w:rFonts w:ascii="Times New Roman" w:hAnsi="Times New Roman"/>
          <w:color w:val="auto"/>
          <w:sz w:val="28"/>
          <w:szCs w:val="28"/>
        </w:rPr>
        <w:t xml:space="preserve">по развитию</w:t>
      </w:r>
      <w:r>
        <w:rPr>
          <w:rFonts w:ascii="Times New Roman" w:hAnsi="Times New Roman"/>
          <w:color w:val="auto"/>
          <w:sz w:val="28"/>
          <w:szCs w:val="28"/>
        </w:rPr>
        <w:t xml:space="preserve"> жилищного фонда и архитектурного</w:t>
      </w:r>
      <w:r>
        <w:rPr>
          <w:rFonts w:ascii="Times New Roman" w:hAnsi="Times New Roman"/>
          <w:color w:val="auto"/>
          <w:sz w:val="28"/>
          <w:szCs w:val="28"/>
        </w:rPr>
        <w:t xml:space="preserve"> совершенствовани</w:t>
      </w:r>
      <w:r>
        <w:rPr>
          <w:rFonts w:ascii="Times New Roman" w:hAnsi="Times New Roman"/>
          <w:color w:val="auto"/>
          <w:sz w:val="28"/>
          <w:szCs w:val="28"/>
        </w:rPr>
        <w:t xml:space="preserve">я</w:t>
      </w:r>
      <w:r>
        <w:rPr>
          <w:rFonts w:ascii="Times New Roman" w:hAnsi="Times New Roman"/>
          <w:color w:val="auto"/>
          <w:sz w:val="28"/>
          <w:szCs w:val="28"/>
        </w:rPr>
        <w:t xml:space="preserve"> городской среды</w:t>
      </w:r>
      <w:r>
        <w:rPr>
          <w:rFonts w:ascii="Times New Roman" w:hAnsi="Times New Roman"/>
          <w:color w:val="auto"/>
          <w:sz w:val="28"/>
          <w:szCs w:val="28"/>
        </w:rPr>
        <w:t xml:space="preserve">, развития общественной инфраструктуры</w:t>
      </w:r>
      <w:r>
        <w:rPr>
          <w:rFonts w:ascii="Times New Roman" w:hAnsi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Для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достижения устойчивой тенденции увеличения продолжительности здоровой жизни населения</w:t>
      </w:r>
      <w:r>
        <w:rPr>
          <w:rFonts w:ascii="Times New Roman" w:hAnsi="Times New Roman"/>
          <w:color w:val="auto"/>
          <w:sz w:val="28"/>
          <w:szCs w:val="28"/>
        </w:rPr>
        <w:t xml:space="preserve"> и </w:t>
      </w:r>
      <w:r>
        <w:rPr>
          <w:rFonts w:ascii="Times New Roman" w:hAnsi="Times New Roman"/>
          <w:color w:val="auto"/>
          <w:sz w:val="28"/>
          <w:szCs w:val="28"/>
        </w:rPr>
        <w:t xml:space="preserve">улучшения демографической ситуации на </w:t>
      </w:r>
      <w:r>
        <w:rPr>
          <w:rFonts w:ascii="Times New Roman" w:hAnsi="Times New Roman"/>
          <w:color w:val="auto"/>
          <w:sz w:val="28"/>
          <w:szCs w:val="28"/>
        </w:rPr>
        <w:t xml:space="preserve">территории Новосибирской области реализовывались мероприятия четырех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: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1. 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«</w:t>
      </w:r>
      <w:hyperlink r:id="rId13" w:tooltip="consultantplus://offline/ref=F138A9027943A7E28E926A6B20D5C40EB37F6CEE4C8B2637B5E700E8A5E327C6C0B402DFA8CFAE874215D7v6t4I" w:history="1">
        <w:r>
          <w:rPr>
            <w:rFonts w:ascii="Times New Roman" w:hAnsi="Times New Roman" w:eastAsia="Times New Roman"/>
            <w:color w:val="auto"/>
            <w:sz w:val="28"/>
            <w:szCs w:val="28"/>
          </w:rPr>
          <w:t xml:space="preserve">Развитие здравоохранения</w:t>
        </w:r>
      </w:hyperlink>
      <w:r>
        <w:rPr>
          <w:rFonts w:ascii="Times New Roman" w:hAnsi="Times New Roman" w:eastAsia="Times New Roman"/>
          <w:color w:val="auto"/>
          <w:sz w:val="28"/>
          <w:szCs w:val="28"/>
        </w:rPr>
        <w:t xml:space="preserve"> Новосиби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рской области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»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;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2. 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«</w:t>
      </w:r>
      <w:hyperlink r:id="rId14" w:tooltip="consultantplus://offline/ref=9EDAB431560C24676FC932679F46FB803B4240004FF3BB0FAAD3EC8A68164645E8C78D4F4414v4u6I" w:history="1">
        <w:r>
          <w:rPr>
            <w:rFonts w:ascii="Times New Roman" w:hAnsi="Times New Roman" w:eastAsia="Times New Roman"/>
            <w:color w:val="auto"/>
            <w:sz w:val="28"/>
            <w:szCs w:val="28"/>
          </w:rPr>
          <w:t xml:space="preserve">Социальная поддержка в Новосибирской области</w:t>
        </w:r>
      </w:hyperlink>
      <w:r>
        <w:rPr>
          <w:rFonts w:ascii="Times New Roman" w:hAnsi="Times New Roman" w:eastAsia="Times New Roman"/>
          <w:color w:val="auto"/>
          <w:sz w:val="28"/>
          <w:szCs w:val="28"/>
        </w:rPr>
        <w:t xml:space="preserve">»</w:t>
      </w:r>
      <w:r>
        <w:rPr>
          <w:rFonts w:ascii="Times New Roman" w:hAnsi="Times New Roman"/>
          <w:color w:val="auto"/>
          <w:sz w:val="28"/>
          <w:szCs w:val="28"/>
        </w:rPr>
        <w:t xml:space="preserve">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3. </w:t>
      </w:r>
      <w:r>
        <w:rPr>
          <w:rFonts w:ascii="Times New Roman" w:hAnsi="Times New Roman"/>
          <w:color w:val="auto"/>
          <w:sz w:val="28"/>
          <w:szCs w:val="28"/>
        </w:rPr>
        <w:t xml:space="preserve">«</w:t>
      </w:r>
      <w:hyperlink r:id="rId15" w:tooltip="consultantplus://offline/ref=24F809B073C361D7E9EB5214C4D3633207CAA36C21D294D6E1A9D16D0508812E554A080A04C2C1B72B4CA2a8xBI" w:history="1">
        <w:r>
          <w:rPr>
            <w:rFonts w:ascii="Times New Roman" w:hAnsi="Times New Roman"/>
            <w:color w:val="auto"/>
            <w:sz w:val="28"/>
            <w:szCs w:val="28"/>
          </w:rPr>
          <w:t xml:space="preserve">Развитие физической культуры</w:t>
        </w:r>
      </w:hyperlink>
      <w:r>
        <w:rPr>
          <w:rFonts w:ascii="Times New Roman" w:hAnsi="Times New Roman"/>
          <w:color w:val="auto"/>
          <w:sz w:val="28"/>
          <w:szCs w:val="28"/>
        </w:rPr>
        <w:t xml:space="preserve"> и спорта в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»</w:t>
      </w:r>
      <w:r>
        <w:rPr>
          <w:rFonts w:ascii="Times New Roman" w:hAnsi="Times New Roman"/>
          <w:color w:val="auto"/>
          <w:sz w:val="28"/>
          <w:szCs w:val="28"/>
        </w:rPr>
        <w:t xml:space="preserve">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4. </w:t>
      </w:r>
      <w:r>
        <w:rPr>
          <w:rFonts w:ascii="Times New Roman" w:hAnsi="Times New Roman"/>
          <w:color w:val="auto"/>
          <w:sz w:val="28"/>
          <w:szCs w:val="28"/>
        </w:rPr>
        <w:t xml:space="preserve">«</w:t>
      </w:r>
      <w:hyperlink r:id="rId16" w:tooltip="consultantplus://offline/ref=343086F5AFB7850C03E8ABFD7D35CA1626E55086A48FBD139E5616A1ACFA1A4AD1CF6AC0B7BBFD02B4CB0EjBw4I" w:history="1">
        <w:r>
          <w:rPr>
            <w:rFonts w:ascii="Times New Roman" w:hAnsi="Times New Roman"/>
            <w:color w:val="auto"/>
            <w:sz w:val="28"/>
            <w:szCs w:val="28"/>
          </w:rPr>
          <w:t xml:space="preserve">Оказание содействия</w:t>
        </w:r>
      </w:hyperlink>
      <w:r>
        <w:rPr>
          <w:rFonts w:ascii="Times New Roman" w:hAnsi="Times New Roman"/>
          <w:color w:val="auto"/>
          <w:sz w:val="28"/>
          <w:szCs w:val="28"/>
        </w:rPr>
        <w:t xml:space="preserve"> добровольному переселению в Новосибирскую область соотечественников, проживающих за рубежом</w:t>
      </w:r>
      <w:r>
        <w:rPr>
          <w:rFonts w:ascii="Times New Roman" w:hAnsi="Times New Roman"/>
          <w:color w:val="auto"/>
          <w:sz w:val="28"/>
          <w:szCs w:val="28"/>
        </w:rPr>
        <w:t xml:space="preserve">»</w:t>
      </w:r>
      <w:r>
        <w:rPr>
          <w:rFonts w:ascii="Times New Roman" w:hAnsi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На </w:t>
      </w:r>
      <w:r>
        <w:rPr>
          <w:rFonts w:ascii="Times New Roman" w:hAnsi="Times New Roman"/>
          <w:color w:val="auto"/>
          <w:sz w:val="28"/>
          <w:szCs w:val="28"/>
        </w:rPr>
        <w:t xml:space="preserve">создание</w:t>
      </w:r>
      <w:r>
        <w:rPr>
          <w:rFonts w:ascii="Times New Roman" w:hAnsi="Times New Roman"/>
          <w:color w:val="auto"/>
          <w:sz w:val="28"/>
          <w:szCs w:val="28"/>
        </w:rPr>
        <w:t xml:space="preserve"> условий для расширения возможностей развития духовности, нравственности и культуры, обеспечения </w:t>
      </w:r>
      <w:r>
        <w:rPr>
          <w:rFonts w:ascii="Times New Roman" w:hAnsi="Times New Roman"/>
          <w:color w:val="auto"/>
          <w:sz w:val="28"/>
          <w:szCs w:val="28"/>
        </w:rPr>
        <w:t xml:space="preserve">широкого общественного участия в формировании и проведении государственной культурной политики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была направлена реализация </w:t>
      </w:r>
      <w:r>
        <w:rPr>
          <w:rFonts w:ascii="Times New Roman" w:hAnsi="Times New Roman"/>
          <w:color w:val="auto"/>
          <w:sz w:val="28"/>
          <w:szCs w:val="28"/>
        </w:rPr>
        <w:t xml:space="preserve">трех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: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1. </w:t>
      </w:r>
      <w:hyperlink r:id="rId17" w:tooltip="consultantplus://offline/ref=DF3795668EDF6430079F3D4A43B192C2B81A0260C182735E6723D65E8FDF69B180ED70CC7C6A201B38E8FAMEB0J" w:history="1">
        <w:r>
          <w:rPr>
            <w:rFonts w:ascii="Times New Roman" w:hAnsi="Times New Roman"/>
            <w:color w:val="auto"/>
            <w:sz w:val="28"/>
            <w:szCs w:val="28"/>
          </w:rPr>
          <w:t xml:space="preserve">«Культура Новосибирской области»</w:t>
        </w:r>
      </w:hyperlink>
      <w:r>
        <w:rPr>
          <w:rFonts w:ascii="Times New Roman" w:hAnsi="Times New Roman"/>
          <w:color w:val="auto"/>
          <w:sz w:val="28"/>
          <w:szCs w:val="28"/>
        </w:rPr>
        <w:t xml:space="preserve">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2. 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«Развитие институтов региональной политики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и гражданского общества в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Новосибирской области» (в части подпрограмм «</w:t>
      </w:r>
      <w:hyperlink r:id="rId18" w:tooltip="consultantplus://offline/ref=C66ABBF43D4204B390B0B3A79281E1268AE22C31E9715ADB37D5DC265445AA77203F27987B453E394606E816C540F2B1D0B3E0D108DFCCDC825E7A6Bv8jEI" w:history="1">
        <w:r>
          <w:rPr>
            <w:rFonts w:ascii="Times New Roman" w:hAnsi="Times New Roman" w:eastAsia="Times New Roman"/>
            <w:color w:val="auto"/>
            <w:sz w:val="28"/>
            <w:szCs w:val="28"/>
          </w:rPr>
          <w:t xml:space="preserve">Патриотическое воспитание граждан</w:t>
        </w:r>
      </w:hyperlink>
      <w:r>
        <w:rPr>
          <w:rFonts w:ascii="Times New Roman" w:hAnsi="Times New Roman" w:eastAsia="Times New Roman"/>
          <w:color w:val="auto"/>
          <w:sz w:val="28"/>
          <w:szCs w:val="28"/>
        </w:rPr>
        <w:t xml:space="preserve"> Российской Федерации в Новосибирской области» и «</w:t>
      </w:r>
      <w:hyperlink r:id="rId19" w:tooltip="consultantplus://offline/ref=C66ABBF43D4204B390B0B3A79281E1268AE22C31E9715ADB37D5DC265445AA77203F27987B453E394607E01EC440F2B1D0B3E0D108DFCCDC825E7A6Bv8jEI" w:history="1">
        <w:r>
          <w:rPr>
            <w:rFonts w:ascii="Times New Roman" w:hAnsi="Times New Roman" w:eastAsia="Times New Roman"/>
            <w:color w:val="auto"/>
            <w:sz w:val="28"/>
            <w:szCs w:val="28"/>
          </w:rPr>
          <w:t xml:space="preserve">Реализация государственной национальной политики</w:t>
        </w:r>
      </w:hyperlink>
      <w:r>
        <w:rPr>
          <w:rFonts w:ascii="Times New Roman" w:hAnsi="Times New Roman" w:eastAsia="Times New Roman"/>
          <w:color w:val="auto"/>
          <w:sz w:val="28"/>
          <w:szCs w:val="28"/>
        </w:rPr>
        <w:t xml:space="preserve"> на территории Новосибирской области»);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3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. 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Развитие государственной молодежной политики Новосибирской области»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 xml:space="preserve">Задачи, направленные на</w:t>
      </w:r>
      <w:r>
        <w:rPr>
          <w:rFonts w:ascii="Times New Roman" w:hAnsi="Times New Roman"/>
          <w:b/>
          <w:color w:val="auto"/>
          <w:sz w:val="28"/>
          <w:szCs w:val="28"/>
          <w:shd w:val="clear" w:color="auto" w:fill="ffffff" w:themeFill="background1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 xml:space="preserve">развитие образов</w:t>
      </w:r>
      <w:r>
        <w:rPr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 xml:space="preserve">ательного потенциала населения Новосибирской области на основе совершенствования системы образования в соответствии с социальными запросами населения и требованиями инновационного развития экономики, и его эффективное использование, решались в рамках двух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 xml:space="preserve">: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1. </w:t>
      </w:r>
      <w:r>
        <w:rPr>
          <w:rFonts w:ascii="Times New Roman" w:hAnsi="Times New Roman"/>
          <w:color w:val="auto"/>
          <w:sz w:val="28"/>
          <w:szCs w:val="28"/>
        </w:rPr>
        <w:t xml:space="preserve">«</w:t>
      </w:r>
      <w:hyperlink r:id="rId20" w:tooltip="consultantplus://offline/ref=A91884BCBF75B25410D190D7EAD2660584F18F6E1D465A2DF337E97207617F202469235E221AB5084F96A1o8GFJ" w:history="1">
        <w:r>
          <w:rPr>
            <w:rFonts w:ascii="Times New Roman" w:hAnsi="Times New Roman" w:eastAsia="Times New Roman"/>
            <w:color w:val="auto"/>
            <w:sz w:val="28"/>
            <w:szCs w:val="28"/>
          </w:rPr>
          <w:t xml:space="preserve">Развитие образования</w:t>
        </w:r>
      </w:hyperlink>
      <w:r>
        <w:rPr>
          <w:rFonts w:ascii="Times New Roman" w:hAnsi="Times New Roman" w:eastAsia="Times New Roman"/>
          <w:color w:val="auto"/>
          <w:sz w:val="28"/>
          <w:szCs w:val="28"/>
        </w:rPr>
        <w:t xml:space="preserve">, создание условий для социализации детей и учащейся молодежи в Новосибирской области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»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2. 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«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Региональная </w:t>
      </w:r>
      <w:hyperlink r:id="rId21" w:tooltip="consultantplus://offline/ref=A91884BCBF75B25410D190D7EAD2660584F18F6E1D465D2AF537E97207617F202469235E221AoBG6J" w:history="1">
        <w:r>
          <w:rPr>
            <w:rFonts w:ascii="Times New Roman" w:hAnsi="Times New Roman" w:eastAsia="Times New Roman"/>
            <w:color w:val="auto"/>
            <w:sz w:val="28"/>
            <w:szCs w:val="28"/>
          </w:rPr>
          <w:t xml:space="preserve">программа</w:t>
        </w:r>
      </w:hyperlink>
      <w:r>
        <w:rPr>
          <w:rFonts w:ascii="Times New Roman" w:hAnsi="Times New Roman" w:eastAsia="Times New Roman"/>
          <w:color w:val="auto"/>
          <w:sz w:val="28"/>
          <w:szCs w:val="28"/>
        </w:rPr>
        <w:t xml:space="preserve"> развития среднего профессионального образования Новосиби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рской области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»</w:t>
      </w:r>
      <w:r>
        <w:rPr>
          <w:rFonts w:ascii="Times New Roman" w:hAnsi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Решение задачи по обеспечению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эффективной занятости и совершенствованию системы содействия занятости населения, в том числе за счет трудовой мобильности населения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, о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существлялось в рамках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государственной</w:t>
      </w:r>
      <w:r>
        <w:rPr>
          <w:rFonts w:ascii="Times New Roman" w:hAnsi="Times New Roman"/>
          <w:color w:val="auto"/>
          <w:sz w:val="28"/>
          <w:szCs w:val="28"/>
        </w:rPr>
        <w:t xml:space="preserve"> программ</w:t>
      </w:r>
      <w:r>
        <w:rPr>
          <w:rFonts w:ascii="Times New Roman" w:hAnsi="Times New Roman"/>
          <w:color w:val="auto"/>
          <w:sz w:val="28"/>
          <w:szCs w:val="28"/>
        </w:rPr>
        <w:t xml:space="preserve">ы</w:t>
      </w:r>
      <w:r>
        <w:rPr>
          <w:rFonts w:ascii="Times New Roman" w:hAnsi="Times New Roman"/>
          <w:color w:val="auto"/>
          <w:sz w:val="28"/>
          <w:szCs w:val="28"/>
        </w:rPr>
        <w:t xml:space="preserve">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«</w:t>
      </w:r>
      <w:hyperlink r:id="rId22" w:tooltip="consultantplus://offline/ref=7E41102F00E363CD6FC989EBD1A5590E82ED763139E4C3CF5CEB7E81C06F91A7CBE24C74BE63u2M2J" w:history="1">
        <w:r>
          <w:rPr>
            <w:rFonts w:ascii="Times New Roman" w:hAnsi="Times New Roman" w:eastAsia="Times New Roman"/>
            <w:color w:val="auto"/>
            <w:sz w:val="28"/>
            <w:szCs w:val="28"/>
          </w:rPr>
          <w:t xml:space="preserve">Содействие занятости населения</w:t>
        </w:r>
      </w:hyperlink>
      <w:r>
        <w:rPr>
          <w:rFonts w:ascii="Times New Roman" w:hAnsi="Times New Roman" w:eastAsia="Times New Roman"/>
          <w:color w:val="auto"/>
          <w:sz w:val="28"/>
          <w:szCs w:val="28"/>
        </w:rPr>
        <w:t xml:space="preserve">».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В</w:t>
      </w:r>
      <w:r>
        <w:rPr>
          <w:rFonts w:ascii="Times New Roman" w:hAnsi="Times New Roman"/>
          <w:color w:val="auto"/>
          <w:sz w:val="28"/>
          <w:szCs w:val="28"/>
        </w:rPr>
        <w:t xml:space="preserve">опросы </w:t>
      </w:r>
      <w:r>
        <w:rPr>
          <w:rFonts w:ascii="Times New Roman" w:hAnsi="Times New Roman"/>
          <w:color w:val="auto"/>
          <w:sz w:val="28"/>
          <w:szCs w:val="28"/>
        </w:rPr>
        <w:t xml:space="preserve">развития</w:t>
      </w:r>
      <w:r>
        <w:rPr>
          <w:rFonts w:ascii="Times New Roman" w:hAnsi="Times New Roman"/>
          <w:color w:val="auto"/>
          <w:sz w:val="28"/>
          <w:szCs w:val="28"/>
        </w:rPr>
        <w:t xml:space="preserve"> жилищного фонда и архитектурного совершенствования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городской среды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, повышения уровня обеспеченности населения жильем решались в рамках реализации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трех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: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1. 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«</w:t>
      </w:r>
      <w:hyperlink r:id="rId23" w:tooltip="consultantplus://offline/ref=F690E0A253022947F945350E4CC858AE5B9804898D6B8A08BD9217A8EBECCD567AB1DC04081C200CF6CE69ZAg8I" w:history="1">
        <w:r>
          <w:rPr>
            <w:rFonts w:ascii="Times New Roman" w:hAnsi="Times New Roman" w:eastAsia="Times New Roman"/>
            <w:color w:val="auto"/>
            <w:sz w:val="28"/>
            <w:szCs w:val="28"/>
          </w:rPr>
          <w:t xml:space="preserve">Жилищно-коммунальное хозяйство</w:t>
        </w:r>
      </w:hyperlink>
      <w:r>
        <w:rPr>
          <w:rFonts w:ascii="Times New Roman" w:hAnsi="Times New Roman" w:eastAsia="Times New Roman"/>
          <w:color w:val="auto"/>
          <w:sz w:val="28"/>
          <w:szCs w:val="28"/>
        </w:rPr>
        <w:t xml:space="preserve"> Новосибирской области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»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2. 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«</w:t>
      </w:r>
      <w:hyperlink r:id="rId24" w:tooltip="consultantplus://offline/ref=F690E0A253022947F945350E4CC858AE5B9804898D6B8103B49217A8EBECCD567AB1DC04081C200CF6CE6DZAgFI" w:history="1">
        <w:r>
          <w:rPr>
            <w:rFonts w:ascii="Times New Roman" w:hAnsi="Times New Roman" w:eastAsia="Times New Roman"/>
            <w:color w:val="auto"/>
            <w:sz w:val="28"/>
            <w:szCs w:val="28"/>
          </w:rPr>
          <w:t xml:space="preserve">Стимулирование развития</w:t>
        </w:r>
      </w:hyperlink>
      <w:r>
        <w:rPr>
          <w:rFonts w:ascii="Times New Roman" w:hAnsi="Times New Roman" w:eastAsia="Times New Roman"/>
          <w:color w:val="auto"/>
          <w:sz w:val="28"/>
          <w:szCs w:val="28"/>
        </w:rPr>
        <w:t xml:space="preserve"> жилищного строительства в Новосибирск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ой области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»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3. 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«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Обеспечение жильем молодых семей в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»</w:t>
      </w:r>
      <w:r>
        <w:rPr>
          <w:rFonts w:ascii="Times New Roman" w:hAnsi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В целях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создания комфортных условий жизнедеятельности в сельской мест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ности Новосибирской области в отчетном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году реализовывались мероприятия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государственной программы Новосибирской области «</w:t>
      </w:r>
      <w:bookmarkStart w:id="0" w:name="_GoBack"/>
      <w:r>
        <w:rPr>
          <w:color w:val="auto"/>
        </w:rPr>
        <w:fldChar w:fldCharType="begin"/>
      </w:r>
      <w:r>
        <w:rPr>
          <w:color w:val="auto"/>
        </w:rPr>
        <w:instrText xml:space="preserve"> HYPERLINK "consultantplus://offline/ref=3572A7EC13E1055CB63D68017BDC98E1863B6DDAA3CB14443CAF77B9B9B72B35DC125AE9C7842A92D3FEEDZ729I" </w:instrText>
      </w:r>
      <w:r>
        <w:rPr>
          <w:color w:val="auto"/>
        </w:rPr>
        <w:fldChar w:fldCharType="separate"/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Комплексное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развитие</w:t>
      </w:r>
      <w:r>
        <w:rPr>
          <w:rFonts w:ascii="Times New Roman" w:hAnsi="Times New Roman" w:eastAsia="Times New Roman"/>
          <w:color w:val="auto"/>
          <w:sz w:val="28"/>
          <w:szCs w:val="28"/>
        </w:rPr>
        <w:fldChar w:fldCharType="end"/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сельск</w:t>
      </w:r>
      <w:bookmarkEnd w:id="0"/>
      <w:r>
        <w:rPr>
          <w:rFonts w:ascii="Times New Roman" w:hAnsi="Times New Roman" w:eastAsia="Times New Roman"/>
          <w:color w:val="auto"/>
          <w:sz w:val="28"/>
          <w:szCs w:val="28"/>
        </w:rPr>
        <w:t xml:space="preserve">их территорий в Новосибирской области».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eastAsia="Calibri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В целях развития конкурентоспособной экономики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, в том числе за счет обеспечения перехода к экономике знаний</w:t>
      </w:r>
      <w:r>
        <w:rPr>
          <w:rFonts w:ascii="Times New Roman" w:hAnsi="Times New Roman"/>
          <w:color w:val="auto"/>
          <w:sz w:val="28"/>
          <w:szCs w:val="28"/>
        </w:rPr>
        <w:t xml:space="preserve">, экономического </w:t>
      </w:r>
      <w:r>
        <w:rPr>
          <w:rFonts w:ascii="Times New Roman" w:hAnsi="Times New Roman"/>
          <w:color w:val="auto"/>
          <w:sz w:val="28"/>
          <w:szCs w:val="28"/>
        </w:rPr>
        <w:t xml:space="preserve">развития на базе важнейших конкурентных преимуществ Новосибирской области (знаний, технологий, компетенций),</w:t>
      </w:r>
      <w:r>
        <w:rPr>
          <w:rFonts w:ascii="Times New Roman" w:hAnsi="Times New Roman"/>
          <w:color w:val="auto"/>
          <w:sz w:val="28"/>
          <w:szCs w:val="28"/>
        </w:rPr>
        <w:t xml:space="preserve"> продолжена реализация мер </w:t>
      </w:r>
      <w:r>
        <w:rPr>
          <w:rFonts w:ascii="Times New Roman" w:hAnsi="Times New Roman"/>
          <w:color w:val="auto"/>
          <w:sz w:val="28"/>
          <w:szCs w:val="28"/>
        </w:rPr>
        <w:t xml:space="preserve">в рамках </w:t>
      </w:r>
      <w:r>
        <w:rPr>
          <w:rFonts w:ascii="Times New Roman" w:hAnsi="Times New Roman" w:eastAsia="Calibri"/>
          <w:color w:val="auto"/>
          <w:sz w:val="28"/>
          <w:szCs w:val="28"/>
        </w:rPr>
        <w:t xml:space="preserve">пяти</w:t>
      </w:r>
      <w:r>
        <w:rPr>
          <w:rFonts w:ascii="Times New Roman" w:hAnsi="Times New Roman" w:eastAsia="Calibri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Calibri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 w:eastAsia="Calibri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Для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усиления роли промышленности в экономике Новосибирской области, ускорения обновления или создания на современной технологической основе производственных мощностей, технологий на предприятиях Новосибирской области осуществлялась реализация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государственной</w:t>
      </w:r>
      <w:r>
        <w:rPr>
          <w:rFonts w:ascii="Times New Roman" w:hAnsi="Times New Roman"/>
          <w:color w:val="auto"/>
          <w:sz w:val="28"/>
          <w:szCs w:val="28"/>
        </w:rPr>
        <w:t xml:space="preserve"> программ</w:t>
      </w:r>
      <w:r>
        <w:rPr>
          <w:rFonts w:ascii="Times New Roman" w:hAnsi="Times New Roman"/>
          <w:color w:val="auto"/>
          <w:sz w:val="28"/>
          <w:szCs w:val="28"/>
        </w:rPr>
        <w:t xml:space="preserve">ы</w:t>
      </w:r>
      <w:r>
        <w:rPr>
          <w:rFonts w:ascii="Times New Roman" w:hAnsi="Times New Roman"/>
          <w:color w:val="auto"/>
          <w:sz w:val="28"/>
          <w:szCs w:val="28"/>
        </w:rPr>
        <w:t xml:space="preserve">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«</w:t>
      </w:r>
      <w:hyperlink r:id="rId25" w:tooltip="consultantplus://offline/ref=7E41102F00E363CD6FC989EBD1A5590E82ED763136E1CEC159EB7E81C06F91A7CBE24C74BE63214161A074uCM2J" w:history="1">
        <w:r>
          <w:rPr>
            <w:rFonts w:ascii="Times New Roman" w:hAnsi="Times New Roman" w:eastAsia="Times New Roman"/>
            <w:color w:val="auto"/>
            <w:sz w:val="28"/>
            <w:szCs w:val="28"/>
          </w:rPr>
          <w:t xml:space="preserve">Развитие промышленности</w:t>
        </w:r>
      </w:hyperlink>
      <w:r>
        <w:rPr>
          <w:rFonts w:ascii="Times New Roman" w:hAnsi="Times New Roman" w:eastAsia="Times New Roman"/>
          <w:color w:val="auto"/>
          <w:sz w:val="28"/>
          <w:szCs w:val="28"/>
        </w:rPr>
        <w:t xml:space="preserve"> и повышение ее конкурентоспособности в Новосибирской области». 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Основные меры, направленные на содействие развитию предпринимательской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и инвестиционной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активности, были предусмотрены в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государственной</w:t>
      </w:r>
      <w:r>
        <w:rPr>
          <w:rFonts w:ascii="Times New Roman" w:hAnsi="Times New Roman"/>
          <w:color w:val="auto"/>
          <w:sz w:val="28"/>
          <w:szCs w:val="28"/>
        </w:rPr>
        <w:t xml:space="preserve"> программ</w:t>
      </w:r>
      <w:r>
        <w:rPr>
          <w:rFonts w:ascii="Times New Roman" w:hAnsi="Times New Roman"/>
          <w:color w:val="auto"/>
          <w:sz w:val="28"/>
          <w:szCs w:val="28"/>
        </w:rPr>
        <w:t xml:space="preserve">е</w:t>
      </w:r>
      <w:r>
        <w:rPr>
          <w:rFonts w:ascii="Times New Roman" w:hAnsi="Times New Roman"/>
          <w:color w:val="auto"/>
          <w:sz w:val="28"/>
          <w:szCs w:val="28"/>
        </w:rPr>
        <w:t xml:space="preserve"> Новосибирской области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«Развитие субъектов малого и среднего предпринимательства в Новосибирс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кой области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» и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государственной</w:t>
      </w:r>
      <w:r>
        <w:rPr>
          <w:rFonts w:ascii="Times New Roman" w:hAnsi="Times New Roman"/>
          <w:color w:val="auto"/>
          <w:sz w:val="28"/>
          <w:szCs w:val="28"/>
        </w:rPr>
        <w:t xml:space="preserve"> программ</w:t>
      </w:r>
      <w:r>
        <w:rPr>
          <w:rFonts w:ascii="Times New Roman" w:hAnsi="Times New Roman"/>
          <w:color w:val="auto"/>
          <w:sz w:val="28"/>
          <w:szCs w:val="28"/>
        </w:rPr>
        <w:t xml:space="preserve">е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«Стимулирование инвестиционной активности в Новосибирской области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».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Решение задач по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содействию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повышении объемов производства продукции сельского хозяйства, пищевой и перерабатывающей промышленности в Новосибирской области, а также ее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конкурентоспособности, созданию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условий для воспроизводства и повышения эффективности использования в сельском хозяйстве земельных ресурсов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осуществляло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сь за счет мероприятий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государственной</w:t>
      </w:r>
      <w:r>
        <w:rPr>
          <w:rFonts w:ascii="Times New Roman" w:hAnsi="Times New Roman"/>
          <w:color w:val="auto"/>
          <w:sz w:val="28"/>
          <w:szCs w:val="28"/>
        </w:rPr>
        <w:t xml:space="preserve"> программ</w:t>
      </w:r>
      <w:r>
        <w:rPr>
          <w:rFonts w:ascii="Times New Roman" w:hAnsi="Times New Roman"/>
          <w:color w:val="auto"/>
          <w:sz w:val="28"/>
          <w:szCs w:val="28"/>
        </w:rPr>
        <w:t xml:space="preserve">ы</w:t>
      </w:r>
      <w:r>
        <w:rPr>
          <w:rFonts w:ascii="Times New Roman" w:hAnsi="Times New Roman"/>
          <w:color w:val="auto"/>
          <w:sz w:val="28"/>
          <w:szCs w:val="28"/>
        </w:rPr>
        <w:t xml:space="preserve">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«</w:t>
      </w:r>
      <w:hyperlink r:id="rId26" w:tooltip="consultantplus://offline/ref=3572A7EC13E1055CB63D68017BDC98E1863B6DDAA3C814493FAF77B9B9B72B35DC125AE9C7842A92D3FEE8Z728I" w:history="1">
        <w:r>
          <w:rPr>
            <w:rFonts w:ascii="Times New Roman" w:hAnsi="Times New Roman" w:eastAsia="Times New Roman"/>
            <w:color w:val="auto"/>
            <w:sz w:val="28"/>
            <w:szCs w:val="28"/>
          </w:rPr>
          <w:t xml:space="preserve">Развитие сельского хозяйства</w:t>
        </w:r>
      </w:hyperlink>
      <w:r>
        <w:rPr>
          <w:rFonts w:ascii="Times New Roman" w:hAnsi="Times New Roman" w:eastAsia="Times New Roman"/>
          <w:color w:val="auto"/>
          <w:sz w:val="28"/>
          <w:szCs w:val="28"/>
        </w:rPr>
        <w:t xml:space="preserve"> и регулирование рынков сельскохозяйственной продукции, сырья и продовольствия в Новосибирской области»</w:t>
      </w:r>
      <w:r>
        <w:rPr>
          <w:rFonts w:ascii="Times New Roman" w:hAnsi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  <w:highlight w:val="none"/>
        </w:rPr>
        <w:t xml:space="preserve">Меры, направленные на развитие внутреннего и въездного туризма предусмотренны в государственной программе Новосибирской области «Развитие туризма в Новосибирской области».</w:t>
      </w:r>
      <w:r>
        <w:rPr>
          <w:rFonts w:ascii="Times New Roman" w:hAnsi="Times New Roman"/>
          <w:color w:val="auto"/>
          <w:sz w:val="28"/>
          <w:szCs w:val="28"/>
          <w:highlight w:val="none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Основной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государственной программой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r>
        <w:rPr>
          <w:rFonts w:ascii="Times New Roman" w:hAnsi="Times New Roman"/>
          <w:color w:val="auto"/>
          <w:sz w:val="28"/>
          <w:szCs w:val="28"/>
        </w:rPr>
        <w:t xml:space="preserve">реализуемой в направлении развития инновационной деятельности, являлась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государственная</w:t>
      </w:r>
      <w:r>
        <w:rPr>
          <w:rFonts w:ascii="Times New Roman" w:hAnsi="Times New Roman"/>
          <w:color w:val="auto"/>
          <w:sz w:val="28"/>
          <w:szCs w:val="28"/>
        </w:rPr>
        <w:t xml:space="preserve"> программ</w:t>
      </w:r>
      <w:r>
        <w:rPr>
          <w:rFonts w:ascii="Times New Roman" w:hAnsi="Times New Roman"/>
          <w:color w:val="auto"/>
          <w:sz w:val="28"/>
          <w:szCs w:val="28"/>
        </w:rPr>
        <w:t xml:space="preserve">а</w:t>
      </w:r>
      <w:r>
        <w:rPr>
          <w:rFonts w:ascii="Times New Roman" w:hAnsi="Times New Roman"/>
          <w:color w:val="auto"/>
          <w:sz w:val="28"/>
          <w:szCs w:val="28"/>
        </w:rPr>
        <w:t xml:space="preserve">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 «</w:t>
      </w:r>
      <w:r>
        <w:rPr>
          <w:rFonts w:ascii="Times New Roman" w:hAnsi="Times New Roman"/>
          <w:color w:val="auto"/>
          <w:sz w:val="28"/>
          <w:szCs w:val="28"/>
        </w:rPr>
        <w:t xml:space="preserve">Стимулирование научной, научно-технической и инновационной деятельности в Новосибирской области».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Создание с</w:t>
      </w:r>
      <w:r>
        <w:rPr>
          <w:rFonts w:ascii="Times New Roman" w:hAnsi="Times New Roman"/>
          <w:color w:val="auto"/>
          <w:sz w:val="28"/>
          <w:szCs w:val="28"/>
        </w:rPr>
        <w:t xml:space="preserve">овременной и безопасной среды</w:t>
      </w:r>
      <w:r>
        <w:rPr>
          <w:rFonts w:ascii="Times New Roman" w:hAnsi="Times New Roman"/>
          <w:color w:val="auto"/>
          <w:sz w:val="28"/>
          <w:szCs w:val="28"/>
        </w:rPr>
        <w:t xml:space="preserve"> для про</w:t>
      </w:r>
      <w:r>
        <w:rPr>
          <w:rFonts w:ascii="Times New Roman" w:hAnsi="Times New Roman"/>
          <w:color w:val="auto"/>
          <w:sz w:val="28"/>
          <w:szCs w:val="28"/>
        </w:rPr>
        <w:t xml:space="preserve">живания в Новосибирской области </w:t>
      </w:r>
      <w:r>
        <w:rPr>
          <w:rFonts w:ascii="Times New Roman" w:hAnsi="Times New Roman"/>
          <w:color w:val="auto"/>
          <w:sz w:val="28"/>
          <w:szCs w:val="28"/>
        </w:rPr>
        <w:t xml:space="preserve">осуществлялось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путем реализации мер по развитию транспортной инфраструктуры, развитию энергетики, повышению </w:t>
      </w:r>
      <w:r>
        <w:rPr>
          <w:rFonts w:ascii="Times New Roman" w:hAnsi="Times New Roman"/>
          <w:color w:val="auto"/>
          <w:sz w:val="28"/>
          <w:szCs w:val="28"/>
        </w:rPr>
        <w:t xml:space="preserve">энергоэффективности</w:t>
      </w:r>
      <w:r>
        <w:rPr>
          <w:rFonts w:ascii="Times New Roman" w:hAnsi="Times New Roman"/>
          <w:color w:val="auto"/>
          <w:sz w:val="28"/>
          <w:szCs w:val="28"/>
        </w:rPr>
        <w:t xml:space="preserve"> и </w:t>
      </w:r>
      <w:r>
        <w:rPr>
          <w:rFonts w:ascii="Times New Roman" w:hAnsi="Times New Roman"/>
          <w:color w:val="auto"/>
          <w:sz w:val="28"/>
          <w:szCs w:val="28"/>
        </w:rPr>
        <w:t xml:space="preserve">энергобезопасности</w:t>
      </w:r>
      <w:r>
        <w:rPr>
          <w:rFonts w:ascii="Times New Roman" w:hAnsi="Times New Roman"/>
          <w:color w:val="auto"/>
          <w:sz w:val="28"/>
          <w:szCs w:val="28"/>
        </w:rPr>
        <w:t xml:space="preserve">, охране окружающей среды и обеспечению безопасности жизнедеятельности населения</w:t>
      </w:r>
      <w:r>
        <w:rPr>
          <w:rFonts w:ascii="Times New Roman" w:hAnsi="Times New Roman"/>
          <w:color w:val="auto"/>
          <w:sz w:val="28"/>
          <w:szCs w:val="28"/>
        </w:rPr>
        <w:t xml:space="preserve"> в рамках</w:t>
      </w:r>
      <w:r>
        <w:rPr>
          <w:rFonts w:ascii="Times New Roman" w:hAnsi="Times New Roman" w:eastAsia="Calibri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10 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В целях обеспечения развития транспортной инфраструктуры Новосибирской области </w:t>
      </w:r>
      <w:r>
        <w:rPr>
          <w:rFonts w:ascii="Times New Roman" w:hAnsi="Times New Roman"/>
          <w:color w:val="auto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color w:val="auto"/>
          <w:sz w:val="28"/>
          <w:szCs w:val="28"/>
        </w:rPr>
        <w:t xml:space="preserve">потребностям</w:t>
      </w:r>
      <w:r>
        <w:rPr>
          <w:rFonts w:ascii="Times New Roman" w:hAnsi="Times New Roman"/>
          <w:color w:val="auto"/>
          <w:sz w:val="28"/>
          <w:szCs w:val="28"/>
        </w:rPr>
        <w:t xml:space="preserve">и</w:t>
      </w:r>
      <w:r>
        <w:rPr>
          <w:rFonts w:ascii="Times New Roman" w:hAnsi="Times New Roman"/>
          <w:color w:val="auto"/>
          <w:sz w:val="28"/>
          <w:szCs w:val="28"/>
        </w:rPr>
        <w:t xml:space="preserve"> развития экономики и населения Новосибирской области, использования выгодного транспортного положения и востребованности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,</w:t>
      </w:r>
      <w:r>
        <w:rPr>
          <w:rFonts w:ascii="Times New Roman" w:hAnsi="Times New Roman"/>
          <w:color w:val="auto"/>
          <w:sz w:val="28"/>
          <w:szCs w:val="28"/>
        </w:rPr>
        <w:t xml:space="preserve"> как крупнейшего транспортно</w:t>
      </w:r>
      <w:r>
        <w:rPr>
          <w:rFonts w:ascii="Times New Roman" w:hAnsi="Times New Roman"/>
          <w:color w:val="auto"/>
          <w:sz w:val="28"/>
          <w:szCs w:val="28"/>
        </w:rPr>
        <w:noBreakHyphen/>
      </w:r>
      <w:r>
        <w:rPr>
          <w:rFonts w:ascii="Times New Roman" w:hAnsi="Times New Roman"/>
          <w:color w:val="auto"/>
          <w:sz w:val="28"/>
          <w:szCs w:val="28"/>
        </w:rPr>
        <w:t xml:space="preserve">распределительного узла Сибири, реализации ее транзитного потенциала в 20</w:t>
      </w:r>
      <w:r>
        <w:rPr>
          <w:rFonts w:ascii="Times New Roman" w:hAnsi="Times New Roman"/>
          <w:color w:val="auto"/>
          <w:sz w:val="28"/>
          <w:szCs w:val="28"/>
        </w:rPr>
        <w:t xml:space="preserve">22</w:t>
      </w:r>
      <w:r>
        <w:rPr>
          <w:rFonts w:ascii="Times New Roman" w:hAnsi="Times New Roman"/>
          <w:color w:val="auto"/>
          <w:sz w:val="28"/>
          <w:szCs w:val="28"/>
        </w:rPr>
        <w:t xml:space="preserve"> году осуществлялось исполнение двух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: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1. </w:t>
      </w:r>
      <w:r>
        <w:rPr>
          <w:rFonts w:ascii="Times New Roman" w:hAnsi="Times New Roman"/>
          <w:color w:val="auto"/>
          <w:sz w:val="28"/>
          <w:szCs w:val="28"/>
        </w:rPr>
        <w:t xml:space="preserve">«</w:t>
      </w:r>
      <w:hyperlink r:id="rId27" w:tooltip="consultantplus://offline/ref=D1160BB16CB8E1D1E08263EE28B6047E7BF5E86076ED9925973D4D8E6AFD7049697C6B74FD095010D2A71076o0I" w:history="1">
        <w:r>
          <w:rPr>
            <w:rFonts w:ascii="Times New Roman" w:hAnsi="Times New Roman" w:eastAsia="Times New Roman"/>
            <w:color w:val="auto"/>
            <w:sz w:val="28"/>
            <w:szCs w:val="28"/>
          </w:rPr>
          <w:t xml:space="preserve">Обеспечение доступности</w:t>
        </w:r>
      </w:hyperlink>
      <w:r>
        <w:rPr>
          <w:rFonts w:ascii="Times New Roman" w:hAnsi="Times New Roman" w:eastAsia="Times New Roman"/>
          <w:color w:val="auto"/>
          <w:sz w:val="28"/>
          <w:szCs w:val="28"/>
        </w:rPr>
        <w:t xml:space="preserve"> услуг общественного пассажирского транспорта, в том числе Новосибирского метрополитена, для населения Новосибирской области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»</w:t>
      </w:r>
      <w:r>
        <w:rPr>
          <w:rFonts w:ascii="Times New Roman" w:hAnsi="Times New Roman"/>
          <w:color w:val="auto"/>
          <w:sz w:val="28"/>
          <w:szCs w:val="28"/>
        </w:rPr>
        <w:t xml:space="preserve">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2. «</w:t>
      </w:r>
      <w:hyperlink r:id="rId28" w:tooltip="consultantplus://offline/ref=D1160BB16CB8E1D1E08263EE28B6047E7BF5E86079E59826903D4D8E6AFD7049697C6B74FD095010D2AF1276oEI" w:history="1">
        <w:r>
          <w:rPr>
            <w:rFonts w:ascii="Times New Roman" w:hAnsi="Times New Roman" w:eastAsia="Times New Roman"/>
            <w:color w:val="auto"/>
            <w:sz w:val="28"/>
            <w:szCs w:val="28"/>
          </w:rPr>
          <w:t xml:space="preserve">Развитие автомобильных дорог</w:t>
        </w:r>
      </w:hyperlink>
      <w:r>
        <w:rPr>
          <w:rFonts w:ascii="Times New Roman" w:hAnsi="Times New Roman"/>
          <w:color w:val="auto"/>
          <w:sz w:val="28"/>
          <w:szCs w:val="28"/>
        </w:rPr>
        <w:t xml:space="preserve"> регионального, межмуниципального и местного значения в Новосибирской области».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Меры, направленные на переход к рациональному </w:t>
      </w:r>
      <w:r>
        <w:rPr>
          <w:rFonts w:ascii="Times New Roman" w:hAnsi="Times New Roman"/>
          <w:color w:val="auto"/>
          <w:sz w:val="28"/>
          <w:szCs w:val="28"/>
        </w:rPr>
        <w:t xml:space="preserve">и </w:t>
      </w:r>
      <w:r>
        <w:rPr>
          <w:rFonts w:ascii="Times New Roman" w:hAnsi="Times New Roman"/>
          <w:color w:val="auto"/>
          <w:sz w:val="28"/>
          <w:szCs w:val="28"/>
        </w:rPr>
        <w:t xml:space="preserve">экологически ответственному использованию энергетических ресурсов, осуществлялись в рамках реализации государственной программы «</w:t>
      </w:r>
      <w:hyperlink r:id="rId29" w:tooltip="consultantplus://offline/ref=BDC1A32C9513503744860B2EC7372DA2BF1072C6953F556388E81531161CC9C50BCB7F1BC20F99965D46BBhEtCJ" w:history="1">
        <w:r>
          <w:rPr>
            <w:rFonts w:ascii="Times New Roman" w:hAnsi="Times New Roman" w:eastAsia="Times New Roman"/>
            <w:color w:val="auto"/>
            <w:sz w:val="28"/>
            <w:szCs w:val="28"/>
          </w:rPr>
          <w:t xml:space="preserve">Энергосбережение и повышение</w:t>
        </w:r>
      </w:hyperlink>
      <w:r>
        <w:rPr>
          <w:rFonts w:ascii="Times New Roman" w:hAnsi="Times New Roman" w:eastAsia="Times New Roman"/>
          <w:color w:val="auto"/>
          <w:sz w:val="28"/>
          <w:szCs w:val="28"/>
        </w:rPr>
        <w:t xml:space="preserve"> энергетической эффективност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и Новосибирской области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»</w:t>
      </w:r>
      <w:r>
        <w:rPr>
          <w:rFonts w:ascii="Times New Roman" w:hAnsi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Минимизация негативного</w:t>
      </w:r>
      <w:r>
        <w:rPr>
          <w:rFonts w:ascii="Times New Roman" w:hAnsi="Times New Roman"/>
          <w:color w:val="auto"/>
          <w:sz w:val="28"/>
          <w:szCs w:val="28"/>
        </w:rPr>
        <w:t xml:space="preserve"> воздействия</w:t>
      </w:r>
      <w:r>
        <w:rPr>
          <w:rFonts w:ascii="Times New Roman" w:hAnsi="Times New Roman"/>
          <w:color w:val="auto"/>
          <w:sz w:val="28"/>
          <w:szCs w:val="28"/>
        </w:rPr>
        <w:t xml:space="preserve"> на окружающую среду и здоровье населения, обеспечение экологической</w:t>
      </w:r>
      <w:r>
        <w:rPr>
          <w:rFonts w:ascii="Times New Roman" w:hAnsi="Times New Roman"/>
          <w:color w:val="auto"/>
          <w:sz w:val="28"/>
          <w:szCs w:val="28"/>
        </w:rPr>
        <w:t xml:space="preserve"> безопасности</w:t>
      </w:r>
      <w:r>
        <w:rPr>
          <w:rFonts w:ascii="Times New Roman" w:hAnsi="Times New Roman"/>
          <w:color w:val="auto"/>
          <w:sz w:val="28"/>
          <w:szCs w:val="28"/>
        </w:rPr>
        <w:t xml:space="preserve"> осуществлялись в рамках </w:t>
      </w:r>
      <w:r>
        <w:rPr>
          <w:rFonts w:ascii="Times New Roman" w:hAnsi="Times New Roman"/>
          <w:color w:val="auto"/>
          <w:sz w:val="28"/>
          <w:szCs w:val="28"/>
        </w:rPr>
        <w:t xml:space="preserve">трех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: 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1. </w:t>
      </w:r>
      <w:hyperlink r:id="rId30" w:tooltip="consultantplus://offline/ref=D8DF53566EFBD959430FB9531209F23879B35919398C64E0F82BCA9FB91CCEAFA4650E2B3A07FA2AD8A256x057J" w:history="1">
        <w:r>
          <w:rPr>
            <w:rFonts w:ascii="Times New Roman" w:hAnsi="Times New Roman"/>
            <w:color w:val="auto"/>
            <w:sz w:val="28"/>
            <w:szCs w:val="28"/>
          </w:rPr>
          <w:t xml:space="preserve">«Охрана окружающей среды»</w:t>
        </w:r>
      </w:hyperlink>
      <w:r>
        <w:rPr>
          <w:rFonts w:ascii="Times New Roman" w:hAnsi="Times New Roman"/>
          <w:color w:val="auto"/>
          <w:sz w:val="28"/>
          <w:szCs w:val="28"/>
        </w:rPr>
        <w:t xml:space="preserve">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2. </w:t>
      </w:r>
      <w:r>
        <w:rPr>
          <w:rFonts w:ascii="Times New Roman" w:hAnsi="Times New Roman"/>
          <w:color w:val="auto"/>
          <w:sz w:val="28"/>
          <w:szCs w:val="28"/>
        </w:rPr>
        <w:t xml:space="preserve">«</w:t>
      </w:r>
      <w:hyperlink r:id="rId31" w:tooltip="consultantplus://offline/ref=D8DF53566EFBD959430FB9531209F23879B3591939836DE6FE2BCA9FB91CCEAFA4650E2B3A07FA2AD8A257x05DJ" w:history="1">
        <w:r>
          <w:rPr>
            <w:rFonts w:ascii="Times New Roman" w:hAnsi="Times New Roman"/>
            <w:color w:val="auto"/>
            <w:sz w:val="28"/>
            <w:szCs w:val="28"/>
          </w:rPr>
          <w:t xml:space="preserve">Развитие системы обращения</w:t>
        </w:r>
      </w:hyperlink>
      <w:r>
        <w:rPr>
          <w:rFonts w:ascii="Times New Roman" w:hAnsi="Times New Roman"/>
          <w:color w:val="auto"/>
          <w:sz w:val="28"/>
          <w:szCs w:val="28"/>
        </w:rPr>
        <w:t xml:space="preserve"> с отходами производства и потребления в Новосибирской</w:t>
      </w:r>
      <w:r>
        <w:rPr>
          <w:rFonts w:ascii="Times New Roman" w:hAnsi="Times New Roman"/>
          <w:color w:val="auto"/>
          <w:sz w:val="28"/>
          <w:szCs w:val="28"/>
        </w:rPr>
        <w:t xml:space="preserve">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»</w:t>
      </w:r>
      <w:r>
        <w:rPr>
          <w:rFonts w:ascii="Times New Roman" w:hAnsi="Times New Roman"/>
          <w:color w:val="auto"/>
          <w:sz w:val="28"/>
          <w:szCs w:val="28"/>
        </w:rPr>
        <w:t xml:space="preserve">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3. </w:t>
      </w:r>
      <w:r>
        <w:rPr>
          <w:rFonts w:ascii="Times New Roman" w:hAnsi="Times New Roman"/>
          <w:color w:val="auto"/>
          <w:sz w:val="28"/>
          <w:szCs w:val="28"/>
        </w:rPr>
        <w:t xml:space="preserve">«</w:t>
      </w:r>
      <w:hyperlink r:id="rId32" w:tooltip="consultantplus://offline/ref=D8DF53566EFBD959430FB9531209F23879B35919368664E6F02BCA9FB91CCEAFA4650E2B3A07FA2AD9A25Dx057J" w:history="1">
        <w:r>
          <w:rPr>
            <w:rFonts w:ascii="Times New Roman" w:hAnsi="Times New Roman"/>
            <w:color w:val="auto"/>
            <w:sz w:val="28"/>
            <w:szCs w:val="28"/>
          </w:rPr>
          <w:t xml:space="preserve">Развитие лесного хозяйства</w:t>
        </w:r>
      </w:hyperlink>
      <w:r>
        <w:rPr>
          <w:rFonts w:ascii="Times New Roman" w:hAnsi="Times New Roman"/>
          <w:color w:val="auto"/>
          <w:sz w:val="28"/>
          <w:szCs w:val="28"/>
        </w:rPr>
        <w:t xml:space="preserve"> Новосиби</w:t>
      </w:r>
      <w:r>
        <w:rPr>
          <w:rFonts w:ascii="Times New Roman" w:hAnsi="Times New Roman"/>
          <w:color w:val="auto"/>
          <w:sz w:val="28"/>
          <w:szCs w:val="28"/>
        </w:rPr>
        <w:t xml:space="preserve">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»</w:t>
      </w:r>
      <w:r>
        <w:rPr>
          <w:rFonts w:ascii="Times New Roman" w:hAnsi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Основные меры,</w:t>
      </w:r>
      <w:r>
        <w:rPr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 xml:space="preserve"> направленные на обеспечение безопасности жизнедеятельности населения Новосибирской области, были в основном сконцентрированы в </w:t>
      </w:r>
      <w:r>
        <w:rPr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 xml:space="preserve">трех</w:t>
      </w:r>
      <w:r>
        <w:rPr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государственных программ</w:t>
      </w:r>
      <w:r>
        <w:rPr>
          <w:rFonts w:ascii="Times New Roman" w:hAnsi="Times New Roman"/>
          <w:color w:val="auto"/>
          <w:sz w:val="28"/>
          <w:szCs w:val="28"/>
        </w:rPr>
        <w:t xml:space="preserve">ах</w:t>
      </w:r>
      <w:r>
        <w:rPr>
          <w:rFonts w:ascii="Times New Roman" w:hAnsi="Times New Roman"/>
          <w:color w:val="auto"/>
          <w:sz w:val="28"/>
          <w:szCs w:val="28"/>
        </w:rPr>
        <w:t xml:space="preserve"> Новосибирской области</w:t>
      </w:r>
      <w:r>
        <w:rPr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 xml:space="preserve">: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 xml:space="preserve">1. </w:t>
      </w:r>
      <w:r>
        <w:rPr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 xml:space="preserve">«</w:t>
      </w:r>
      <w:hyperlink r:id="rId33" w:tooltip="consultantplus://offline/ref=0B1CD921EABF88409445B914F57FB6FAB8AFFCCD4CC6074AC1F2D07E2B5BD821141F617B107664D756218E70T0K" w:history="1">
        <w:r>
          <w:rPr>
            <w:rFonts w:ascii="Times New Roman" w:hAnsi="Times New Roman" w:eastAsia="Times New Roman"/>
            <w:color w:val="auto"/>
            <w:sz w:val="28"/>
            <w:szCs w:val="28"/>
            <w:shd w:val="clear" w:color="auto" w:fill="ffffff" w:themeFill="background1"/>
          </w:rPr>
          <w:t xml:space="preserve">Обеспечение безопасности жизнедеятельности</w:t>
        </w:r>
      </w:hyperlink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 населения Новосибирской об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ласти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»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;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2. 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«</w:t>
      </w:r>
      <w:hyperlink r:id="rId34" w:tooltip="consultantplus://offline/ref=0B1CD921EABF88409445B914F57FB6FAB8AFFCCD4CC60544C3F2D07E2B5BD821141F617B107664D757208870T7K" w:history="1">
        <w:r>
          <w:rPr>
            <w:rFonts w:ascii="Times New Roman" w:hAnsi="Times New Roman" w:eastAsia="Times New Roman"/>
            <w:color w:val="auto"/>
            <w:sz w:val="28"/>
            <w:szCs w:val="28"/>
            <w:shd w:val="clear" w:color="auto" w:fill="ffffff" w:themeFill="background1"/>
          </w:rPr>
          <w:t xml:space="preserve">Повышение безопасности</w:t>
        </w:r>
      </w:hyperlink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 дорожного движения на автомобильных дорогах и обеспечение безопасности населения на транспорте в Новосибирской области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»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;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3. </w:t>
      </w:r>
      <w:r>
        <w:rPr>
          <w:rFonts w:ascii="Times New Roman" w:hAnsi="Times New Roman"/>
          <w:color w:val="auto"/>
          <w:sz w:val="28"/>
          <w:szCs w:val="28"/>
        </w:rPr>
        <w:t xml:space="preserve">«</w:t>
      </w:r>
      <w:r>
        <w:rPr>
          <w:rFonts w:ascii="Times New Roman" w:hAnsi="Times New Roman"/>
          <w:color w:val="auto"/>
          <w:sz w:val="28"/>
          <w:szCs w:val="28"/>
        </w:rPr>
        <w:t xml:space="preserve">Построение и развитие аппаратно-программного комплекса «Безопасный город» в Новосибир</w:t>
      </w:r>
      <w:r>
        <w:rPr>
          <w:rFonts w:ascii="Times New Roman" w:hAnsi="Times New Roman"/>
          <w:color w:val="auto"/>
          <w:sz w:val="28"/>
          <w:szCs w:val="28"/>
        </w:rPr>
        <w:t xml:space="preserve">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»</w:t>
      </w:r>
      <w:r>
        <w:rPr>
          <w:rFonts w:ascii="Times New Roman" w:hAnsi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Меры, направленные на создание условий для получения н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аселением и хозяйствующими субъектами на территории Новосибирской области преимуществ от применения информационных и телекоммуникационных технологий на основе формирования единого информационного пространства Новосибирской области, осуществлялись в рамках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государственной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программ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ы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Новосибирской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области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Цифровая трансформация Новосибирской области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». 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Совершенствование механизмов регионального и муниципального управления осуществлялось в рамках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четырех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: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1. 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«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П</w:t>
      </w:r>
      <w:hyperlink r:id="rId35" w:tooltip="consultantplus://offline/ref=8CCE2E5DBF49AA49CD1FD781303A15904DCED258055076FF9C0601BA738A0E71F69B0F033C13B43ABF02F5V4eAK" w:history="1">
        <w:r>
          <w:rPr>
            <w:rFonts w:ascii="Times New Roman" w:hAnsi="Times New Roman" w:eastAsia="Times New Roman"/>
            <w:color w:val="auto"/>
            <w:sz w:val="28"/>
            <w:szCs w:val="28"/>
          </w:rPr>
          <w:t xml:space="preserve">овышение качества</w:t>
        </w:r>
      </w:hyperlink>
      <w:r>
        <w:rPr>
          <w:rFonts w:ascii="Times New Roman" w:hAnsi="Times New Roman" w:eastAsia="Times New Roman"/>
          <w:color w:val="auto"/>
          <w:sz w:val="28"/>
          <w:szCs w:val="28"/>
        </w:rPr>
        <w:t xml:space="preserve"> и доступности предоставления государственных и муниципальных услуг в Новосибирской области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»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2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. 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«</w:t>
      </w:r>
      <w:hyperlink r:id="rId36" w:tooltip="consultantplus://offline/ref=8CCE2E5DBF49AA49CD1FD781303A15904DCED25805517EF89A0601BA738A0E71F69B0F033C13VBe7K" w:history="1">
        <w:r>
          <w:rPr>
            <w:rFonts w:ascii="Times New Roman" w:hAnsi="Times New Roman" w:eastAsia="Times New Roman"/>
            <w:color w:val="auto"/>
            <w:sz w:val="28"/>
            <w:szCs w:val="28"/>
          </w:rPr>
          <w:t xml:space="preserve">Управление финансами</w:t>
        </w:r>
      </w:hyperlink>
      <w:r>
        <w:rPr>
          <w:rFonts w:ascii="Times New Roman" w:hAnsi="Times New Roman" w:eastAsia="Times New Roman"/>
          <w:color w:val="auto"/>
          <w:sz w:val="28"/>
          <w:szCs w:val="28"/>
        </w:rPr>
        <w:t xml:space="preserve"> в Новосибирской области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»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;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3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. 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«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Развитие институтов региональной политики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и гражданского общества в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Новосиби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рской области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»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(в части подпрограмм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«</w:t>
      </w:r>
      <w:hyperlink r:id="rId37" w:tooltip="consultantplus://offline/ref=D5B7395E2162F6E40748D477C600E66F0668F07616863554AEAC7AE3CAF2ED2DECBDAC4CCB4D44A3EF2FFF4E0B1708D13EBA4B91245B12CEC1C1F619b4h4I" w:history="1">
        <w:r>
          <w:rPr>
            <w:rFonts w:ascii="Times New Roman" w:hAnsi="Times New Roman" w:eastAsia="Times New Roman"/>
            <w:color w:val="auto"/>
            <w:sz w:val="28"/>
            <w:szCs w:val="28"/>
          </w:rPr>
          <w:t xml:space="preserve">Государственная поддержка общественных инициатив</w:t>
        </w:r>
      </w:hyperlink>
      <w:r>
        <w:rPr>
          <w:rFonts w:ascii="Times New Roman" w:hAnsi="Times New Roman" w:eastAsia="Times New Roman"/>
          <w:color w:val="auto"/>
          <w:sz w:val="28"/>
          <w:szCs w:val="28"/>
        </w:rPr>
        <w:t xml:space="preserve">, социально ориентированных некоммерческих организаций и развития институтов гражданского общества в Новосибирской области» и </w:t>
      </w:r>
      <w:hyperlink r:id="rId38" w:tooltip="consultantplus://offline/ref=D5B7395E2162F6E40748D477C600E66F0668F07616863554AEAC7AE3CAF2ED2DECBDAC4CCB4D44A3EF2FFE4E001708D13EBA4B91245B12CEC1C1F619b4h4I" w:history="1">
        <w:r>
          <w:rPr>
            <w:rFonts w:ascii="Times New Roman" w:hAnsi="Times New Roman" w:eastAsia="Times New Roman"/>
            <w:color w:val="auto"/>
            <w:sz w:val="28"/>
            <w:szCs w:val="28"/>
          </w:rPr>
          <w:t xml:space="preserve">«Содействие развитию местного самоуправления»</w:t>
        </w:r>
      </w:hyperlink>
      <w:r>
        <w:rPr>
          <w:rFonts w:ascii="Times New Roman" w:hAnsi="Times New Roman" w:eastAsia="Times New Roman"/>
          <w:color w:val="auto"/>
          <w:sz w:val="28"/>
          <w:szCs w:val="28"/>
        </w:rPr>
        <w:t xml:space="preserve">)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</w:t>
      </w:r>
      <w:r>
        <w:rPr>
          <w:rFonts w:ascii="Times New Roman" w:hAnsi="Times New Roman"/>
          <w:color w:val="auto"/>
          <w:sz w:val="28"/>
          <w:szCs w:val="28"/>
        </w:rPr>
        <w:t xml:space="preserve">. </w:t>
      </w:r>
      <w:hyperlink r:id="rId39" w:tooltip="consultantplus://offline/ref=8CCE2E5DBF49AA49CD1FD781303A15904DCED25805517CFE940601BA738A0E71F69B0F033C13B43ABF0AF0V4eAK" w:history="1">
        <w:r>
          <w:rPr>
            <w:rFonts w:ascii="Times New Roman" w:hAnsi="Times New Roman"/>
            <w:color w:val="auto"/>
            <w:sz w:val="28"/>
            <w:szCs w:val="28"/>
          </w:rPr>
          <w:t xml:space="preserve">«Юстиция»</w:t>
        </w:r>
      </w:hyperlink>
      <w:r>
        <w:rPr>
          <w:rFonts w:ascii="Times New Roman" w:hAnsi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Характеристика итогов р</w:t>
      </w:r>
      <w:r>
        <w:rPr>
          <w:rFonts w:ascii="Times New Roman" w:hAnsi="Times New Roman"/>
          <w:color w:val="auto"/>
          <w:sz w:val="28"/>
          <w:szCs w:val="28"/>
        </w:rPr>
        <w:t xml:space="preserve">еализации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приведен</w:t>
      </w:r>
      <w:r>
        <w:rPr>
          <w:rFonts w:ascii="Times New Roman" w:hAnsi="Times New Roman"/>
          <w:color w:val="auto"/>
          <w:sz w:val="28"/>
          <w:szCs w:val="28"/>
        </w:rPr>
        <w:t xml:space="preserve">а</w:t>
      </w:r>
      <w:r>
        <w:rPr>
          <w:rFonts w:ascii="Times New Roman" w:hAnsi="Times New Roman"/>
          <w:color w:val="auto"/>
          <w:sz w:val="28"/>
          <w:szCs w:val="28"/>
        </w:rPr>
        <w:t xml:space="preserve"> в приложении № 1</w:t>
      </w:r>
      <w:r>
        <w:rPr>
          <w:rFonts w:ascii="Times New Roman" w:hAnsi="Times New Roman"/>
          <w:color w:val="auto"/>
          <w:sz w:val="28"/>
          <w:szCs w:val="28"/>
        </w:rPr>
        <w:t xml:space="preserve"> к Сводному докладу.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br w:type="page" w:clear="all"/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2. Основные сведения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общем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объеме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финансировани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я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color w:val="auto"/>
        </w:rPr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(за 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счет всех источников)</w:t>
      </w:r>
    </w:p>
    <w:p>
      <w:pPr>
        <w:shd w:val="clear" w:color="auto" w:fill="ffffff" w:themeFill="background1"/>
        <w:spacing w:after="0" w:line="240" w:lineRule="auto"/>
        <w:ind w:firstLine="709"/>
        <w:jc w:val="right"/>
        <w:rPr>
          <w:rFonts w:ascii="Times New Roman" w:hAnsi="Times New Roman"/>
          <w:i/>
          <w:color w:val="auto"/>
          <w:sz w:val="28"/>
          <w:szCs w:val="28"/>
        </w:rPr>
      </w:pPr>
      <w:r>
        <w:rPr>
          <w:rFonts w:ascii="Times New Roman" w:hAnsi="Times New Roman"/>
          <w:i/>
          <w:color w:val="auto"/>
          <w:sz w:val="28"/>
          <w:szCs w:val="28"/>
        </w:rPr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Законом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23.12.2021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№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167-ОЗ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 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на реализацию 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государственных программ Новосибирской области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 в 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2022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году предусмотрено более 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258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,6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млрд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руб., что выше аналогичного показателя 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2021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года 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на 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17,7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%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 (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2021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год – 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219,7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млрд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руб., 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2020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год – 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190,3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млрд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рублей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)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Всего в соответствии с утвержденными редакциями государственных программ Новосибирской области в </w:t>
      </w:r>
      <w:r>
        <w:rPr>
          <w:rFonts w:ascii="Times New Roman" w:hAnsi="Times New Roman"/>
          <w:color w:val="auto"/>
          <w:sz w:val="28"/>
          <w:szCs w:val="28"/>
        </w:rPr>
        <w:t xml:space="preserve">отчетном</w:t>
      </w:r>
      <w:r>
        <w:rPr>
          <w:rFonts w:ascii="Times New Roman" w:hAnsi="Times New Roman"/>
          <w:color w:val="auto"/>
          <w:sz w:val="28"/>
          <w:szCs w:val="28"/>
        </w:rPr>
        <w:t xml:space="preserve"> году на реализацию их мероприятий за счет всех источников финансирования, включая внебюджетные, планировалось направить более </w:t>
      </w:r>
      <w:r>
        <w:rPr>
          <w:rFonts w:ascii="Times New Roman" w:hAnsi="Times New Roman"/>
          <w:color w:val="auto"/>
          <w:sz w:val="28"/>
          <w:szCs w:val="28"/>
        </w:rPr>
        <w:t xml:space="preserve">309,53</w:t>
      </w:r>
      <w:r>
        <w:rPr>
          <w:rFonts w:ascii="Times New Roman" w:hAnsi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руб., что выше анало</w:t>
      </w:r>
      <w:r>
        <w:rPr>
          <w:rFonts w:ascii="Times New Roman" w:hAnsi="Times New Roman"/>
          <w:color w:val="auto"/>
          <w:sz w:val="28"/>
          <w:szCs w:val="28"/>
        </w:rPr>
        <w:t xml:space="preserve">гичного показателя 2021</w:t>
      </w:r>
      <w:r>
        <w:rPr>
          <w:rFonts w:ascii="Times New Roman" w:hAnsi="Times New Roman"/>
          <w:color w:val="auto"/>
          <w:sz w:val="28"/>
          <w:szCs w:val="28"/>
        </w:rPr>
        <w:t xml:space="preserve"> года на </w:t>
      </w:r>
      <w:r>
        <w:rPr>
          <w:rFonts w:ascii="Times New Roman" w:hAnsi="Times New Roman"/>
          <w:color w:val="auto"/>
          <w:sz w:val="28"/>
          <w:szCs w:val="28"/>
        </w:rPr>
        <w:t xml:space="preserve">19,5</w:t>
      </w:r>
      <w:r>
        <w:rPr>
          <w:rFonts w:ascii="Times New Roman" w:hAnsi="Times New Roman"/>
          <w:color w:val="auto"/>
          <w:sz w:val="28"/>
          <w:szCs w:val="28"/>
        </w:rPr>
        <w:t xml:space="preserve">%</w:t>
      </w:r>
      <w:r>
        <w:rPr>
          <w:rFonts w:ascii="Times New Roman" w:hAnsi="Times New Roman"/>
          <w:color w:val="auto"/>
          <w:sz w:val="28"/>
          <w:szCs w:val="28"/>
        </w:rPr>
        <w:t xml:space="preserve"> (</w:t>
      </w:r>
      <w:r>
        <w:rPr>
          <w:rFonts w:ascii="Times New Roman" w:hAnsi="Times New Roman"/>
          <w:color w:val="auto"/>
          <w:sz w:val="28"/>
          <w:szCs w:val="28"/>
        </w:rPr>
        <w:t xml:space="preserve">2021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год – </w:t>
      </w:r>
      <w:r>
        <w:rPr>
          <w:rFonts w:ascii="Times New Roman" w:hAnsi="Times New Roman"/>
          <w:color w:val="auto"/>
          <w:sz w:val="28"/>
          <w:szCs w:val="28"/>
        </w:rPr>
        <w:t xml:space="preserve">2</w:t>
      </w:r>
      <w:r>
        <w:rPr>
          <w:rFonts w:ascii="Times New Roman" w:hAnsi="Times New Roman"/>
          <w:color w:val="auto"/>
          <w:sz w:val="28"/>
          <w:szCs w:val="28"/>
        </w:rPr>
        <w:t xml:space="preserve">59,05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руб., </w:t>
      </w:r>
      <w:r>
        <w:rPr>
          <w:rFonts w:ascii="Times New Roman" w:hAnsi="Times New Roman"/>
          <w:color w:val="auto"/>
          <w:sz w:val="28"/>
          <w:szCs w:val="28"/>
        </w:rPr>
        <w:t xml:space="preserve">2020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год – </w:t>
      </w:r>
      <w:r>
        <w:rPr>
          <w:rFonts w:ascii="Times New Roman" w:hAnsi="Times New Roman"/>
          <w:color w:val="auto"/>
          <w:sz w:val="28"/>
          <w:szCs w:val="28"/>
        </w:rPr>
        <w:t xml:space="preserve">228,8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рублей).</w:t>
      </w:r>
      <w:r>
        <w:rPr>
          <w:color w:val="auto"/>
        </w:rPr>
      </w:r>
    </w:p>
    <w:p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Calibri" w:cs="Times New Roman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shd w:val="clear" w:color="auto" w:fill="ffffff"/>
        </w:rPr>
        <w:t xml:space="preserve">В соответствии с пунктом 32 Порядка принятия решений о разработке государственных программ Новосибирской области, а также формирования и реализации указанных программ, утвержденного постановлением Правительства Новосибирской области от 28.03.2014 № 125-п:</w:t>
      </w:r>
      <w:r>
        <w:rPr>
          <w:color w:val="auto"/>
        </w:rPr>
      </w:r>
    </w:p>
    <w:p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Calibri" w:cs="Times New Roman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shd w:val="clear" w:color="auto" w:fill="ffffff"/>
        </w:rPr>
        <w:t xml:space="preserve">1) объемы бюджетных ассигнований </w:t>
      </w:r>
      <w:r>
        <w:rPr>
          <w:rFonts w:ascii="Times New Roman" w:hAnsi="Times New Roman" w:eastAsia="Calibri" w:cs="Times New Roman"/>
          <w:color w:val="auto"/>
          <w:sz w:val="28"/>
          <w:szCs w:val="28"/>
          <w:shd w:val="clear" w:color="auto" w:fill="ffffff"/>
        </w:rPr>
        <w:t xml:space="preserve">в утвержденных редакциях </w:t>
      </w:r>
      <w:r>
        <w:rPr>
          <w:rFonts w:ascii="Times New Roman" w:hAnsi="Times New Roman" w:eastAsia="Calibri" w:cs="Times New Roman"/>
          <w:color w:val="auto"/>
          <w:sz w:val="28"/>
          <w:szCs w:val="28"/>
          <w:shd w:val="clear" w:color="auto" w:fill="ffffff"/>
        </w:rPr>
        <w:t xml:space="preserve">государственных программ приведены в соответствие с Законом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от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23.12.2021 № 167-ОЗ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, действующем по состоянию на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31 декабря 2022 года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,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color w:val="auto"/>
          <w:sz w:val="28"/>
          <w:szCs w:val="28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2) в случае если объемы бюджетных ассигнований в </w:t>
      </w:r>
      <w:r>
        <w:rPr>
          <w:rFonts w:ascii="Times New Roman" w:hAnsi="Times New Roman" w:eastAsia="Calibri" w:cs="Times New Roman"/>
          <w:color w:val="auto"/>
          <w:sz w:val="28"/>
          <w:szCs w:val="28"/>
          <w:shd w:val="clear" w:color="auto" w:fill="ffffff"/>
        </w:rPr>
        <w:t xml:space="preserve">Законе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от 23.12.2021 № 167-ОЗ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, действующем по состоянию на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31 декабря 2022 года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, отличались от объемов бюджетных ассигнований в уточненной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 сводной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 бюджетной росписи по состоянию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на 31 декабря 2022 год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а, </w:t>
      </w:r>
      <w:r>
        <w:rPr>
          <w:rFonts w:ascii="Times New Roman" w:hAnsi="Times New Roman" w:eastAsia="Calibri" w:cs="Times New Roman"/>
          <w:color w:val="auto"/>
          <w:sz w:val="28"/>
          <w:szCs w:val="28"/>
          <w:shd w:val="clear" w:color="auto" w:fill="ffffff"/>
        </w:rPr>
        <w:t xml:space="preserve">объемы бюджетных ассигнований</w:t>
      </w:r>
      <w:r>
        <w:rPr>
          <w:rFonts w:ascii="Times New Roman" w:hAnsi="Times New Roman" w:eastAsia="Calibri" w:cs="Times New Roman"/>
          <w:color w:val="auto"/>
          <w:sz w:val="28"/>
          <w:szCs w:val="28"/>
          <w:shd w:val="clear" w:color="auto" w:fill="ffffff"/>
        </w:rPr>
        <w:t xml:space="preserve"> в утвержденных редакциях</w:t>
      </w:r>
      <w:r>
        <w:rPr>
          <w:rFonts w:ascii="Times New Roman" w:hAnsi="Times New Roman" w:eastAsia="Calibri" w:cs="Times New Roman"/>
          <w:color w:val="auto"/>
          <w:sz w:val="28"/>
          <w:szCs w:val="28"/>
          <w:shd w:val="clear" w:color="auto" w:fill="ffffff"/>
        </w:rPr>
        <w:t xml:space="preserve"> государственных программ приведены в соответствие</w:t>
      </w:r>
      <w:r>
        <w:rPr>
          <w:rFonts w:ascii="Times New Roman" w:hAnsi="Times New Roman" w:eastAsia="Calibri" w:cs="Times New Roman"/>
          <w:color w:val="auto"/>
          <w:sz w:val="28"/>
          <w:szCs w:val="28"/>
          <w:shd w:val="clear" w:color="auto" w:fill="ffffff"/>
        </w:rPr>
        <w:t xml:space="preserve"> с</w:t>
      </w:r>
      <w:r>
        <w:rPr>
          <w:rFonts w:ascii="Times New Roman" w:hAnsi="Times New Roman" w:eastAsia="Calibri" w:cs="Times New Roman"/>
          <w:color w:val="auto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уточненной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 сводной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 бюджетной росписью по состоянию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на 31 декабря 2022 года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Общий объем фактического финансирования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 за счет средств областного бюджета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 и федерального бюджета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в отчетном году </w:t>
      </w:r>
      <w:r>
        <w:rPr>
          <w:rFonts w:ascii="Times New Roman" w:hAnsi="Times New Roman"/>
          <w:color w:val="auto"/>
          <w:sz w:val="28"/>
          <w:szCs w:val="28"/>
        </w:rPr>
        <w:t xml:space="preserve">сос</w:t>
      </w:r>
      <w:r>
        <w:rPr>
          <w:rFonts w:ascii="Times New Roman" w:hAnsi="Times New Roman"/>
          <w:color w:val="auto"/>
          <w:sz w:val="28"/>
          <w:szCs w:val="28"/>
        </w:rPr>
        <w:t xml:space="preserve">тавил более </w:t>
      </w:r>
      <w:r>
        <w:rPr>
          <w:rFonts w:ascii="Times New Roman" w:hAnsi="Times New Roman"/>
          <w:color w:val="auto"/>
          <w:sz w:val="28"/>
          <w:szCs w:val="28"/>
        </w:rPr>
        <w:t xml:space="preserve">249,1</w:t>
      </w:r>
      <w:r>
        <w:rPr>
          <w:rFonts w:ascii="Times New Roman" w:hAnsi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руб. (или </w:t>
      </w:r>
      <w:r>
        <w:rPr>
          <w:rFonts w:ascii="Times New Roman" w:hAnsi="Times New Roman"/>
          <w:color w:val="auto"/>
          <w:sz w:val="28"/>
          <w:szCs w:val="28"/>
        </w:rPr>
        <w:t xml:space="preserve">9</w:t>
      </w:r>
      <w:r>
        <w:rPr>
          <w:rFonts w:ascii="Times New Roman" w:hAnsi="Times New Roman"/>
          <w:color w:val="auto"/>
          <w:sz w:val="28"/>
          <w:szCs w:val="28"/>
        </w:rPr>
        <w:t xml:space="preserve">6,4</w:t>
      </w:r>
      <w:r>
        <w:rPr>
          <w:rFonts w:ascii="Times New Roman" w:hAnsi="Times New Roman"/>
          <w:color w:val="auto"/>
          <w:sz w:val="28"/>
          <w:szCs w:val="28"/>
        </w:rPr>
        <w:t xml:space="preserve">%</w:t>
      </w:r>
      <w:r>
        <w:rPr>
          <w:rFonts w:ascii="Times New Roman" w:hAnsi="Times New Roman"/>
          <w:color w:val="auto"/>
          <w:sz w:val="28"/>
          <w:szCs w:val="28"/>
        </w:rPr>
        <w:t xml:space="preserve"> от </w:t>
      </w:r>
      <w:r>
        <w:rPr>
          <w:rFonts w:ascii="Times New Roman" w:hAnsi="Times New Roman"/>
          <w:color w:val="auto"/>
          <w:sz w:val="28"/>
          <w:szCs w:val="28"/>
        </w:rPr>
        <w:t xml:space="preserve">предусмотренных в Законе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от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23.12.2021 № 167</w:t>
      </w:r>
      <w:r>
        <w:rPr>
          <w:rFonts w:ascii="Times New Roman" w:hAnsi="Times New Roman" w:cs="Times New Roman"/>
          <w:color w:val="auto"/>
          <w:sz w:val="28"/>
          <w:szCs w:val="28"/>
        </w:rPr>
        <w:noBreakHyphen/>
        <w:t xml:space="preserve">ОЗ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на реализацию государственных программ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).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Доля бюджетных расходов, запланированных в рамках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, составила </w:t>
      </w:r>
      <w:r>
        <w:rPr>
          <w:rFonts w:ascii="Times New Roman" w:hAnsi="Times New Roman"/>
          <w:color w:val="auto"/>
          <w:sz w:val="28"/>
          <w:szCs w:val="28"/>
        </w:rPr>
        <w:t xml:space="preserve">порядка </w:t>
      </w:r>
      <w:r>
        <w:rPr>
          <w:rFonts w:ascii="Times New Roman" w:hAnsi="Times New Roman"/>
          <w:color w:val="auto"/>
          <w:sz w:val="28"/>
          <w:szCs w:val="28"/>
        </w:rPr>
        <w:t xml:space="preserve">94,2</w:t>
      </w:r>
      <w:r>
        <w:rPr>
          <w:rFonts w:ascii="Times New Roman" w:hAnsi="Times New Roman"/>
          <w:color w:val="auto"/>
          <w:sz w:val="28"/>
          <w:szCs w:val="28"/>
        </w:rPr>
        <w:t xml:space="preserve"> процентов от</w:t>
      </w:r>
      <w:r>
        <w:rPr>
          <w:rFonts w:ascii="Times New Roman" w:hAnsi="Times New Roman"/>
          <w:color w:val="auto"/>
          <w:sz w:val="28"/>
          <w:szCs w:val="28"/>
        </w:rPr>
        <w:t xml:space="preserve"> всех</w:t>
      </w:r>
      <w:r>
        <w:rPr>
          <w:rFonts w:ascii="Times New Roman" w:hAnsi="Times New Roman"/>
          <w:color w:val="auto"/>
          <w:sz w:val="28"/>
          <w:szCs w:val="28"/>
        </w:rPr>
        <w:t xml:space="preserve"> расходов, предусмотренных Законом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23.12.2021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№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167-ОЗ</w:t>
      </w:r>
      <w:r>
        <w:rPr>
          <w:rFonts w:ascii="Times New Roman" w:hAnsi="Times New Roman"/>
          <w:color w:val="auto"/>
          <w:sz w:val="28"/>
          <w:szCs w:val="28"/>
        </w:rPr>
        <w:t xml:space="preserve">. 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Таким образом,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</w:t>
      </w:r>
      <w:r>
        <w:rPr>
          <w:rFonts w:ascii="Times New Roman" w:hAnsi="Times New Roman"/>
          <w:color w:val="auto"/>
          <w:sz w:val="28"/>
          <w:szCs w:val="28"/>
        </w:rPr>
        <w:t xml:space="preserve">е</w:t>
      </w:r>
      <w:r>
        <w:rPr>
          <w:rFonts w:ascii="Times New Roman" w:hAnsi="Times New Roman"/>
          <w:color w:val="auto"/>
          <w:sz w:val="28"/>
          <w:szCs w:val="28"/>
        </w:rPr>
        <w:t xml:space="preserve"> программ</w:t>
      </w:r>
      <w:r>
        <w:rPr>
          <w:rFonts w:ascii="Times New Roman" w:hAnsi="Times New Roman"/>
          <w:color w:val="auto"/>
          <w:sz w:val="28"/>
          <w:szCs w:val="28"/>
        </w:rPr>
        <w:t xml:space="preserve">ы</w:t>
      </w:r>
      <w:r>
        <w:rPr>
          <w:rFonts w:ascii="Times New Roman" w:hAnsi="Times New Roman"/>
          <w:color w:val="auto"/>
          <w:sz w:val="28"/>
          <w:szCs w:val="28"/>
        </w:rPr>
        <w:t xml:space="preserve">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остаются ключевым механизмом, с помощью которого увязываются стратегическое и бюджетное планирование.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По итогам </w:t>
      </w:r>
      <w:r>
        <w:rPr>
          <w:rFonts w:ascii="Times New Roman" w:hAnsi="Times New Roman"/>
          <w:color w:val="auto"/>
          <w:sz w:val="28"/>
          <w:szCs w:val="28"/>
        </w:rPr>
        <w:t xml:space="preserve">отчетного</w:t>
      </w:r>
      <w:r>
        <w:rPr>
          <w:rFonts w:ascii="Times New Roman" w:hAnsi="Times New Roman"/>
          <w:color w:val="auto"/>
          <w:sz w:val="28"/>
          <w:szCs w:val="28"/>
        </w:rPr>
        <w:t xml:space="preserve"> года на реализацию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 (</w:t>
      </w:r>
      <w:r>
        <w:rPr>
          <w:rFonts w:ascii="Times New Roman" w:hAnsi="Times New Roman"/>
          <w:color w:val="auto"/>
          <w:sz w:val="28"/>
          <w:szCs w:val="28"/>
        </w:rPr>
        <w:t xml:space="preserve">по уточненным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сведениям, пред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ставленным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государственными заказчиками (заказчиками-координаторами) государственных программ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после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15.04.202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  <w:r>
        <w:rPr>
          <w:rFonts w:ascii="Times New Roman" w:hAnsi="Times New Roman"/>
          <w:color w:val="auto"/>
          <w:sz w:val="28"/>
          <w:szCs w:val="28"/>
        </w:rPr>
        <w:t xml:space="preserve">фактически было направлено из всех источников финансирования </w:t>
      </w:r>
      <w:r>
        <w:rPr>
          <w:rFonts w:ascii="Times New Roman" w:hAnsi="Times New Roman"/>
          <w:color w:val="auto"/>
          <w:sz w:val="28"/>
          <w:szCs w:val="28"/>
        </w:rPr>
        <w:t xml:space="preserve">292,86</w:t>
      </w:r>
      <w:r>
        <w:rPr>
          <w:rFonts w:ascii="Times New Roman" w:hAnsi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руб.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(</w:t>
      </w:r>
      <w:r>
        <w:rPr>
          <w:rFonts w:ascii="Times New Roman" w:hAnsi="Times New Roman"/>
          <w:color w:val="auto"/>
          <w:sz w:val="28"/>
          <w:szCs w:val="28"/>
        </w:rPr>
        <w:t xml:space="preserve">или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94,6</w:t>
      </w:r>
      <w:r>
        <w:rPr>
          <w:rFonts w:ascii="Times New Roman" w:hAnsi="Times New Roman"/>
          <w:color w:val="auto"/>
          <w:sz w:val="28"/>
          <w:szCs w:val="28"/>
        </w:rPr>
        <w:t xml:space="preserve">%</w:t>
      </w:r>
      <w:r>
        <w:rPr>
          <w:rFonts w:ascii="Times New Roman" w:hAnsi="Times New Roman"/>
          <w:color w:val="auto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объемов, запланированных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государственных программ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ах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Новосибирской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 их утвержденными редакциями)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(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для сравнения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2021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году –</w:t>
      </w:r>
      <w:r>
        <w:rPr>
          <w:rFonts w:ascii="Times New Roman" w:hAnsi="Times New Roman"/>
          <w:color w:val="auto"/>
          <w:sz w:val="28"/>
          <w:szCs w:val="28"/>
        </w:rPr>
        <w:t xml:space="preserve"> 247,5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млрд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руб.,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2020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году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222,29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рублей).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Информация в разрезе источников финансирования приведена в таблице.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right"/>
        <w:rPr>
          <w:rFonts w:ascii="Times New Roman" w:hAnsi="Times New Roman"/>
          <w:i/>
          <w:color w:val="auto"/>
          <w:sz w:val="28"/>
          <w:szCs w:val="28"/>
        </w:rPr>
      </w:pPr>
      <w:r>
        <w:rPr>
          <w:rFonts w:ascii="Times New Roman" w:hAnsi="Times New Roman"/>
          <w:i/>
          <w:color w:val="auto"/>
          <w:sz w:val="28"/>
          <w:szCs w:val="28"/>
        </w:rPr>
        <w:t xml:space="preserve">Таблица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Источники и общие объемы финансирования государственных программ Новосибирской области</w:t>
      </w:r>
      <w:r>
        <w:rPr>
          <w:color w:val="auto"/>
        </w:rPr>
      </w:r>
    </w:p>
    <w:tbl>
      <w:tblPr>
        <w:tblStyle w:val="866"/>
        <w:tblW w:w="9836" w:type="dxa"/>
        <w:tblLayout w:type="fixed"/>
        <w:tblLook w:val="04A0" w:firstRow="1" w:lastRow="0" w:firstColumn="1" w:lastColumn="0" w:noHBand="0" w:noVBand="1"/>
      </w:tblPr>
      <w:tblGrid>
        <w:gridCol w:w="2972"/>
        <w:gridCol w:w="1935"/>
        <w:gridCol w:w="1896"/>
        <w:gridCol w:w="1414"/>
        <w:gridCol w:w="1619"/>
      </w:tblGrid>
      <w:tr>
        <w:trPr/>
        <w:tc>
          <w:tcPr>
            <w:tcW w:w="2972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Источники финансирования государственных программ Новосибирской области</w:t>
            </w:r>
            <w:r>
              <w:rPr>
                <w:color w:val="auto"/>
              </w:rPr>
            </w:r>
          </w:p>
        </w:tc>
        <w:tc>
          <w:tcPr>
            <w:tcW w:w="1935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Плановые назначения на 20</w:t>
            </w:r>
            <w:r>
              <w:rPr>
                <w:rFonts w:ascii="Times New Roman" w:hAnsi="Times New Roman"/>
                <w:color w:val="auto"/>
              </w:rPr>
              <w:t xml:space="preserve">22</w:t>
            </w:r>
            <w:r>
              <w:rPr>
                <w:rFonts w:ascii="Times New Roman" w:hAnsi="Times New Roman"/>
                <w:color w:val="auto"/>
              </w:rPr>
              <w:t xml:space="preserve"> год</w:t>
            </w:r>
            <w:r>
              <w:rPr>
                <w:color w:val="auto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(в соответствии с утвержденными редакциями </w:t>
            </w:r>
            <w:r>
              <w:rPr>
                <w:rFonts w:ascii="Times New Roman" w:hAnsi="Times New Roman"/>
                <w:color w:val="auto"/>
              </w:rPr>
              <w:t xml:space="preserve">государственных программ), млрд</w:t>
            </w:r>
            <w:r>
              <w:rPr>
                <w:rFonts w:ascii="Times New Roman" w:hAnsi="Times New Roman"/>
                <w:color w:val="auto"/>
              </w:rPr>
              <w:t xml:space="preserve"> рублей</w:t>
            </w:r>
            <w:r>
              <w:rPr>
                <w:color w:val="auto"/>
              </w:rPr>
            </w:r>
          </w:p>
        </w:tc>
        <w:tc>
          <w:tcPr>
            <w:tcW w:w="1896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Фактическое финансирование по итогам</w:t>
            </w:r>
            <w:r>
              <w:rPr>
                <w:color w:val="auto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2</w:t>
            </w:r>
            <w:r>
              <w:rPr>
                <w:rFonts w:ascii="Times New Roman" w:hAnsi="Times New Roman"/>
                <w:color w:val="auto"/>
              </w:rPr>
              <w:t xml:space="preserve">022</w:t>
            </w:r>
            <w:r>
              <w:rPr>
                <w:rFonts w:ascii="Times New Roman" w:hAnsi="Times New Roman"/>
                <w:color w:val="auto"/>
              </w:rPr>
              <w:t xml:space="preserve"> года, млрд</w:t>
            </w:r>
            <w:r>
              <w:rPr>
                <w:rFonts w:ascii="Times New Roman" w:hAnsi="Times New Roman"/>
                <w:color w:val="auto"/>
              </w:rPr>
              <w:t xml:space="preserve"> рублей</w:t>
            </w:r>
            <w:r>
              <w:rPr>
                <w:color w:val="auto"/>
              </w:rPr>
            </w:r>
          </w:p>
        </w:tc>
        <w:tc>
          <w:tcPr>
            <w:tcW w:w="1414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Процент</w:t>
            </w:r>
            <w:r>
              <w:rPr>
                <w:color w:val="auto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исполнения от запланированного</w:t>
            </w:r>
            <w:r>
              <w:rPr>
                <w:color w:val="auto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уровня, %</w:t>
            </w:r>
            <w:r>
              <w:rPr>
                <w:color w:val="auto"/>
              </w:rPr>
            </w:r>
          </w:p>
        </w:tc>
        <w:tc>
          <w:tcPr>
            <w:tcW w:w="1619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Доля источника финансирования в общем объеме фактического</w:t>
            </w:r>
            <w:r>
              <w:rPr>
                <w:color w:val="auto"/>
              </w:rPr>
            </w:r>
          </w:p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финансирования, %</w:t>
            </w:r>
            <w:r>
              <w:rPr>
                <w:color w:val="auto"/>
              </w:rPr>
            </w:r>
          </w:p>
        </w:tc>
      </w:tr>
      <w:tr>
        <w:trPr/>
        <w:tc>
          <w:tcPr>
            <w:tcW w:w="2972" w:type="dxa"/>
            <w:noWrap w:val="false"/>
            <w:textDirection w:val="lrTb"/>
          </w:tcPr>
          <w:p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областной бюджет</w:t>
            </w:r>
            <w:r>
              <w:rPr>
                <w:color w:val="auto"/>
              </w:rPr>
            </w:r>
          </w:p>
        </w:tc>
        <w:tc>
          <w:tcPr>
            <w:tcW w:w="1935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209,81</w:t>
            </w:r>
            <w:r>
              <w:rPr>
                <w:color w:val="auto"/>
              </w:rPr>
            </w:r>
          </w:p>
        </w:tc>
        <w:tc>
          <w:tcPr>
            <w:tcW w:w="1896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193,89</w:t>
            </w:r>
            <w:r>
              <w:rPr>
                <w:color w:val="auto"/>
              </w:rPr>
            </w:r>
          </w:p>
        </w:tc>
        <w:tc>
          <w:tcPr>
            <w:tcW w:w="1414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92,4</w:t>
            </w:r>
            <w:r>
              <w:rPr>
                <w:color w:val="auto"/>
              </w:rPr>
            </w:r>
          </w:p>
        </w:tc>
        <w:tc>
          <w:tcPr>
            <w:tcW w:w="1619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66,2</w:t>
            </w:r>
            <w:r>
              <w:rPr>
                <w:color w:val="auto"/>
              </w:rPr>
            </w:r>
          </w:p>
        </w:tc>
      </w:tr>
      <w:tr>
        <w:trPr/>
        <w:tc>
          <w:tcPr>
            <w:tcW w:w="2972" w:type="dxa"/>
            <w:noWrap w:val="false"/>
            <w:textDirection w:val="lrTb"/>
          </w:tcPr>
          <w:p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федеральный бюджет</w:t>
            </w:r>
            <w:r>
              <w:rPr>
                <w:color w:val="auto"/>
              </w:rPr>
            </w:r>
          </w:p>
        </w:tc>
        <w:tc>
          <w:tcPr>
            <w:tcW w:w="1935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56,29</w:t>
            </w:r>
            <w:r>
              <w:rPr>
                <w:color w:val="auto"/>
              </w:rPr>
            </w:r>
          </w:p>
        </w:tc>
        <w:tc>
          <w:tcPr>
            <w:tcW w:w="1896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55,29</w:t>
            </w:r>
            <w:r>
              <w:rPr>
                <w:color w:val="auto"/>
              </w:rPr>
            </w:r>
          </w:p>
        </w:tc>
        <w:tc>
          <w:tcPr>
            <w:tcW w:w="1414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98,2</w:t>
            </w:r>
            <w:r>
              <w:rPr>
                <w:color w:val="auto"/>
              </w:rPr>
            </w:r>
          </w:p>
        </w:tc>
        <w:tc>
          <w:tcPr>
            <w:tcW w:w="1619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18,9</w:t>
            </w:r>
            <w:r>
              <w:rPr>
                <w:color w:val="auto"/>
              </w:rPr>
            </w:r>
          </w:p>
        </w:tc>
      </w:tr>
      <w:tr>
        <w:trPr/>
        <w:tc>
          <w:tcPr>
            <w:tcW w:w="2972" w:type="dxa"/>
            <w:noWrap w:val="false"/>
            <w:textDirection w:val="lrTb"/>
          </w:tcPr>
          <w:p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местные бюджеты</w:t>
            </w:r>
            <w:r>
              <w:rPr>
                <w:color w:val="auto"/>
              </w:rPr>
            </w:r>
          </w:p>
        </w:tc>
        <w:tc>
          <w:tcPr>
            <w:tcW w:w="1935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1,3</w:t>
            </w:r>
            <w:r>
              <w:rPr>
                <w:color w:val="auto"/>
              </w:rPr>
            </w:r>
          </w:p>
        </w:tc>
        <w:tc>
          <w:tcPr>
            <w:tcW w:w="1896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1,24</w:t>
            </w:r>
            <w:r>
              <w:rPr>
                <w:color w:val="auto"/>
              </w:rPr>
            </w:r>
          </w:p>
        </w:tc>
        <w:tc>
          <w:tcPr>
            <w:tcW w:w="1414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95,5</w:t>
            </w:r>
            <w:r>
              <w:rPr>
                <w:color w:val="auto"/>
              </w:rPr>
            </w:r>
          </w:p>
        </w:tc>
        <w:tc>
          <w:tcPr>
            <w:tcW w:w="1619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0,4</w:t>
            </w:r>
            <w:r>
              <w:rPr>
                <w:color w:val="auto"/>
              </w:rPr>
            </w:r>
          </w:p>
        </w:tc>
      </w:tr>
      <w:tr>
        <w:trPr/>
        <w:tc>
          <w:tcPr>
            <w:tcW w:w="2972" w:type="dxa"/>
            <w:noWrap w:val="false"/>
            <w:textDirection w:val="lrTb"/>
          </w:tcPr>
          <w:p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внебюджетные источники</w:t>
            </w:r>
            <w:r>
              <w:rPr>
                <w:color w:val="auto"/>
              </w:rPr>
            </w:r>
          </w:p>
        </w:tc>
        <w:tc>
          <w:tcPr>
            <w:tcW w:w="1935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42,13</w:t>
            </w:r>
            <w:r>
              <w:rPr>
                <w:color w:val="auto"/>
              </w:rPr>
            </w:r>
          </w:p>
        </w:tc>
        <w:tc>
          <w:tcPr>
            <w:tcW w:w="1896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42,44</w:t>
            </w:r>
            <w:r>
              <w:rPr>
                <w:color w:val="auto"/>
              </w:rPr>
            </w:r>
          </w:p>
        </w:tc>
        <w:tc>
          <w:tcPr>
            <w:tcW w:w="1414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100,7</w:t>
            </w:r>
            <w:r>
              <w:rPr>
                <w:color w:val="auto"/>
              </w:rPr>
            </w:r>
          </w:p>
        </w:tc>
        <w:tc>
          <w:tcPr>
            <w:tcW w:w="1619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14,5</w:t>
            </w:r>
            <w:r>
              <w:rPr>
                <w:color w:val="auto"/>
              </w:rPr>
            </w:r>
          </w:p>
        </w:tc>
      </w:tr>
      <w:tr>
        <w:trPr/>
        <w:tc>
          <w:tcPr>
            <w:tcW w:w="2972" w:type="dxa"/>
            <w:noWrap w:val="false"/>
            <w:textDirection w:val="lrTb"/>
          </w:tcPr>
          <w:p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ВСЕГО</w:t>
            </w:r>
            <w:r>
              <w:rPr>
                <w:color w:val="auto"/>
              </w:rPr>
            </w:r>
          </w:p>
        </w:tc>
        <w:tc>
          <w:tcPr>
            <w:tcW w:w="1935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309,53</w:t>
            </w:r>
            <w:r>
              <w:rPr>
                <w:color w:val="auto"/>
              </w:rPr>
            </w:r>
          </w:p>
        </w:tc>
        <w:tc>
          <w:tcPr>
            <w:tcW w:w="1896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292,86</w:t>
            </w:r>
            <w:r>
              <w:rPr>
                <w:color w:val="auto"/>
              </w:rPr>
            </w:r>
          </w:p>
        </w:tc>
        <w:tc>
          <w:tcPr>
            <w:tcW w:w="1414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94,6</w:t>
            </w:r>
            <w:r>
              <w:rPr>
                <w:color w:val="auto"/>
              </w:rPr>
            </w:r>
          </w:p>
        </w:tc>
        <w:tc>
          <w:tcPr>
            <w:tcW w:w="1619" w:type="dxa"/>
            <w:noWrap w:val="false"/>
            <w:textDirection w:val="lrTb"/>
          </w:tcPr>
          <w:p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100,0</w:t>
            </w:r>
            <w:r>
              <w:rPr>
                <w:color w:val="auto"/>
              </w:rPr>
            </w:r>
          </w:p>
        </w:tc>
      </w:tr>
    </w:tbl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В </w:t>
      </w:r>
      <w:r>
        <w:rPr>
          <w:rFonts w:ascii="Times New Roman" w:hAnsi="Times New Roman"/>
          <w:color w:val="auto"/>
          <w:sz w:val="28"/>
          <w:szCs w:val="28"/>
        </w:rPr>
        <w:t xml:space="preserve">отчетном</w:t>
      </w:r>
      <w:r>
        <w:rPr>
          <w:rFonts w:ascii="Times New Roman" w:hAnsi="Times New Roman"/>
          <w:color w:val="auto"/>
          <w:sz w:val="28"/>
          <w:szCs w:val="28"/>
        </w:rPr>
        <w:t xml:space="preserve"> году в государственные программы Новосибирской области интегрированы региональные проекты. Общее количество интегрированных региональных проектов, </w:t>
      </w:r>
      <w:r>
        <w:rPr>
          <w:rFonts w:ascii="Times New Roman" w:hAnsi="Times New Roman"/>
          <w:color w:val="auto"/>
          <w:sz w:val="28"/>
          <w:szCs w:val="28"/>
        </w:rPr>
        <w:t xml:space="preserve">предусмотренных 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Законом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23.12.2021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№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167-ОЗ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составило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34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единицы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Общая сумма фактического финансирования региональных проектов за счет средств областного и федераль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ного бюджетов составила за </w:t>
      </w:r>
      <w:r>
        <w:rPr>
          <w:rFonts w:ascii="Times New Roman" w:hAnsi="Times New Roman"/>
          <w:color w:val="auto"/>
          <w:sz w:val="28"/>
          <w:szCs w:val="28"/>
        </w:rPr>
        <w:t xml:space="preserve">2022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год </w:t>
      </w:r>
      <w:r>
        <w:rPr>
          <w:rFonts w:ascii="Times New Roman" w:hAnsi="Times New Roman"/>
          <w:color w:val="auto"/>
          <w:sz w:val="28"/>
          <w:szCs w:val="28"/>
        </w:rPr>
        <w:t xml:space="preserve">более</w:t>
      </w:r>
      <w:r>
        <w:rPr>
          <w:rFonts w:ascii="Times New Roman" w:hAnsi="Times New Roman"/>
          <w:color w:val="auto"/>
          <w:sz w:val="28"/>
          <w:szCs w:val="28"/>
        </w:rPr>
        <w:t xml:space="preserve"> 48,0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млрд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руб. или </w:t>
      </w:r>
      <w:r>
        <w:rPr>
          <w:rFonts w:ascii="Times New Roman" w:hAnsi="Times New Roman"/>
          <w:color w:val="auto"/>
          <w:sz w:val="28"/>
          <w:szCs w:val="28"/>
        </w:rPr>
        <w:t xml:space="preserve">19,3</w:t>
      </w:r>
      <w:r>
        <w:rPr>
          <w:rFonts w:ascii="Times New Roman" w:hAnsi="Times New Roman"/>
          <w:color w:val="auto"/>
          <w:sz w:val="28"/>
          <w:szCs w:val="28"/>
        </w:rPr>
        <w:t xml:space="preserve">%</w:t>
      </w:r>
      <w:r>
        <w:rPr>
          <w:rFonts w:ascii="Times New Roman" w:hAnsi="Times New Roman"/>
          <w:color w:val="auto"/>
          <w:sz w:val="28"/>
          <w:szCs w:val="28"/>
        </w:rPr>
        <w:t xml:space="preserve"> от </w:t>
      </w:r>
      <w:r>
        <w:rPr>
          <w:rFonts w:ascii="Times New Roman" w:hAnsi="Times New Roman"/>
          <w:color w:val="auto"/>
          <w:sz w:val="28"/>
          <w:szCs w:val="28"/>
        </w:rPr>
        <w:t xml:space="preserve">фактического объема финансирования государственных программ Новосибирской области за счет областного 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федерального бюджетов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В результате ранжирования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 по объемам </w:t>
      </w:r>
      <w:r>
        <w:rPr>
          <w:rFonts w:ascii="Times New Roman" w:hAnsi="Times New Roman"/>
          <w:color w:val="auto"/>
          <w:sz w:val="28"/>
          <w:szCs w:val="28"/>
        </w:rPr>
        <w:t xml:space="preserve">их </w:t>
      </w:r>
      <w:r>
        <w:rPr>
          <w:rFonts w:ascii="Times New Roman" w:hAnsi="Times New Roman"/>
          <w:color w:val="auto"/>
          <w:sz w:val="28"/>
          <w:szCs w:val="28"/>
        </w:rPr>
        <w:t xml:space="preserve">фактического </w:t>
      </w:r>
      <w:r>
        <w:rPr>
          <w:rFonts w:ascii="Times New Roman" w:hAnsi="Times New Roman"/>
          <w:color w:val="auto"/>
          <w:sz w:val="28"/>
          <w:szCs w:val="28"/>
        </w:rPr>
        <w:t xml:space="preserve">финансирования </w:t>
      </w:r>
      <w:r>
        <w:rPr>
          <w:rFonts w:ascii="Times New Roman" w:hAnsi="Times New Roman"/>
          <w:color w:val="auto"/>
          <w:sz w:val="28"/>
          <w:szCs w:val="28"/>
        </w:rPr>
        <w:t xml:space="preserve">за счет средств областного бюджета Новосибирской области </w:t>
      </w:r>
      <w:r>
        <w:rPr>
          <w:rFonts w:ascii="Times New Roman" w:hAnsi="Times New Roman"/>
          <w:color w:val="auto"/>
          <w:sz w:val="28"/>
          <w:szCs w:val="28"/>
        </w:rPr>
        <w:t xml:space="preserve">и средств федерального бюджета </w:t>
      </w:r>
      <w:r>
        <w:rPr>
          <w:rFonts w:ascii="Times New Roman" w:hAnsi="Times New Roman"/>
          <w:color w:val="auto"/>
          <w:sz w:val="28"/>
          <w:szCs w:val="28"/>
        </w:rPr>
        <w:t xml:space="preserve">для целей Сводного доклада выделены</w:t>
      </w:r>
      <w:r>
        <w:rPr>
          <w:rFonts w:ascii="Times New Roman" w:hAnsi="Times New Roman"/>
          <w:color w:val="auto"/>
          <w:sz w:val="28"/>
          <w:szCs w:val="28"/>
        </w:rPr>
        <w:t xml:space="preserve"> четыре группы: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1) свыше 1</w:t>
      </w:r>
      <w:r>
        <w:rPr>
          <w:rFonts w:ascii="Times New Roman" w:hAnsi="Times New Roman"/>
          <w:color w:val="auto"/>
          <w:sz w:val="28"/>
          <w:szCs w:val="28"/>
        </w:rPr>
        <w:t xml:space="preserve">5</w:t>
      </w:r>
      <w:r>
        <w:rPr>
          <w:rFonts w:ascii="Times New Roman" w:hAnsi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руб.</w:t>
      </w:r>
      <w:r>
        <w:rPr>
          <w:rFonts w:ascii="Times New Roman" w:hAnsi="Times New Roman"/>
          <w:color w:val="auto"/>
          <w:sz w:val="28"/>
          <w:szCs w:val="28"/>
        </w:rPr>
        <w:t xml:space="preserve"> – </w:t>
      </w:r>
      <w:r>
        <w:rPr>
          <w:rFonts w:ascii="Times New Roman" w:hAnsi="Times New Roman"/>
          <w:color w:val="auto"/>
          <w:sz w:val="28"/>
          <w:szCs w:val="28"/>
        </w:rPr>
        <w:t xml:space="preserve">5</w:t>
      </w:r>
      <w:r>
        <w:rPr>
          <w:rFonts w:ascii="Times New Roman" w:hAnsi="Times New Roman"/>
          <w:color w:val="auto"/>
          <w:sz w:val="28"/>
          <w:szCs w:val="28"/>
        </w:rPr>
        <w:t xml:space="preserve"> государственных программ Новосибирской области </w:t>
      </w:r>
      <w:r>
        <w:rPr>
          <w:rFonts w:ascii="Times New Roman" w:hAnsi="Times New Roman"/>
          <w:color w:val="auto"/>
          <w:sz w:val="28"/>
          <w:szCs w:val="28"/>
        </w:rPr>
        <w:t xml:space="preserve">на </w:t>
      </w:r>
      <w:r>
        <w:rPr>
          <w:rFonts w:ascii="Times New Roman" w:hAnsi="Times New Roman"/>
          <w:color w:val="auto"/>
          <w:sz w:val="28"/>
          <w:szCs w:val="28"/>
        </w:rPr>
        <w:t xml:space="preserve">общую </w:t>
      </w:r>
      <w:r>
        <w:rPr>
          <w:rFonts w:ascii="Times New Roman" w:hAnsi="Times New Roman"/>
          <w:color w:val="auto"/>
          <w:sz w:val="28"/>
          <w:szCs w:val="28"/>
        </w:rPr>
        <w:t xml:space="preserve">сумму </w:t>
      </w:r>
      <w:r>
        <w:rPr>
          <w:rFonts w:ascii="Times New Roman" w:hAnsi="Times New Roman"/>
          <w:color w:val="auto"/>
          <w:sz w:val="28"/>
          <w:szCs w:val="28"/>
        </w:rPr>
        <w:t xml:space="preserve">более </w:t>
      </w:r>
      <w:r>
        <w:rPr>
          <w:rFonts w:ascii="Times New Roman" w:hAnsi="Times New Roman"/>
          <w:color w:val="auto"/>
          <w:sz w:val="28"/>
          <w:szCs w:val="28"/>
        </w:rPr>
        <w:t xml:space="preserve">192,</w:t>
      </w:r>
      <w:r>
        <w:rPr>
          <w:rFonts w:ascii="Times New Roman" w:hAnsi="Times New Roman"/>
          <w:color w:val="auto"/>
          <w:sz w:val="28"/>
          <w:szCs w:val="28"/>
        </w:rPr>
        <w:t xml:space="preserve">33</w:t>
      </w:r>
      <w:r>
        <w:rPr>
          <w:rFonts w:ascii="Times New Roman" w:hAnsi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руб. (</w:t>
      </w:r>
      <w:r>
        <w:rPr>
          <w:rFonts w:ascii="Times New Roman" w:hAnsi="Times New Roman"/>
          <w:color w:val="auto"/>
          <w:sz w:val="28"/>
          <w:szCs w:val="28"/>
        </w:rPr>
        <w:t xml:space="preserve">65,7</w:t>
      </w:r>
      <w:r>
        <w:rPr>
          <w:rFonts w:ascii="Times New Roman" w:hAnsi="Times New Roman"/>
          <w:color w:val="auto"/>
          <w:sz w:val="28"/>
          <w:szCs w:val="28"/>
        </w:rPr>
        <w:t xml:space="preserve">%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от общего объема фактического финансирования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)</w:t>
      </w:r>
      <w:r>
        <w:rPr>
          <w:rFonts w:ascii="Times New Roman" w:hAnsi="Times New Roman"/>
          <w:color w:val="auto"/>
          <w:sz w:val="28"/>
          <w:szCs w:val="28"/>
        </w:rPr>
        <w:t xml:space="preserve">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2) </w:t>
      </w:r>
      <w:r>
        <w:rPr>
          <w:rFonts w:ascii="Times New Roman" w:hAnsi="Times New Roman"/>
          <w:color w:val="auto"/>
          <w:sz w:val="28"/>
          <w:szCs w:val="28"/>
        </w:rPr>
        <w:t xml:space="preserve">от</w:t>
      </w:r>
      <w:r>
        <w:rPr>
          <w:rFonts w:ascii="Times New Roman" w:hAnsi="Times New Roman"/>
          <w:color w:val="auto"/>
          <w:sz w:val="28"/>
          <w:szCs w:val="28"/>
        </w:rPr>
        <w:t xml:space="preserve"> 1 </w:t>
      </w:r>
      <w:r>
        <w:rPr>
          <w:rFonts w:ascii="Times New Roman" w:hAnsi="Times New Roman"/>
          <w:color w:val="auto"/>
          <w:sz w:val="28"/>
          <w:szCs w:val="28"/>
        </w:rPr>
        <w:t xml:space="preserve">до 15 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руб. </w:t>
      </w:r>
      <w:r>
        <w:rPr>
          <w:rFonts w:ascii="Times New Roman" w:hAnsi="Times New Roman"/>
          <w:color w:val="auto"/>
          <w:sz w:val="28"/>
          <w:szCs w:val="28"/>
        </w:rPr>
        <w:t xml:space="preserve">– </w:t>
      </w:r>
      <w:r>
        <w:rPr>
          <w:rFonts w:ascii="Times New Roman" w:hAnsi="Times New Roman"/>
          <w:color w:val="auto"/>
          <w:sz w:val="28"/>
          <w:szCs w:val="28"/>
        </w:rPr>
        <w:t xml:space="preserve">11 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 на </w:t>
      </w:r>
      <w:r>
        <w:rPr>
          <w:rFonts w:ascii="Times New Roman" w:hAnsi="Times New Roman"/>
          <w:color w:val="auto"/>
          <w:sz w:val="28"/>
          <w:szCs w:val="28"/>
        </w:rPr>
        <w:t xml:space="preserve">общую </w:t>
      </w:r>
      <w:r>
        <w:rPr>
          <w:rFonts w:ascii="Times New Roman" w:hAnsi="Times New Roman"/>
          <w:color w:val="auto"/>
          <w:sz w:val="28"/>
          <w:szCs w:val="28"/>
        </w:rPr>
        <w:t xml:space="preserve">сумму более </w:t>
      </w:r>
      <w:r>
        <w:rPr>
          <w:rFonts w:ascii="Times New Roman" w:hAnsi="Times New Roman"/>
          <w:color w:val="auto"/>
          <w:sz w:val="28"/>
          <w:szCs w:val="28"/>
        </w:rPr>
        <w:t xml:space="preserve">49,4</w:t>
      </w:r>
      <w:r>
        <w:rPr>
          <w:rFonts w:ascii="Times New Roman" w:hAnsi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руб. (</w:t>
      </w:r>
      <w:r>
        <w:rPr>
          <w:rFonts w:ascii="Times New Roman" w:hAnsi="Times New Roman"/>
          <w:color w:val="auto"/>
          <w:sz w:val="28"/>
          <w:szCs w:val="28"/>
        </w:rPr>
        <w:t xml:space="preserve">16,9</w:t>
      </w:r>
      <w:r>
        <w:rPr>
          <w:rFonts w:ascii="Times New Roman" w:hAnsi="Times New Roman"/>
          <w:color w:val="auto"/>
          <w:sz w:val="28"/>
          <w:szCs w:val="28"/>
        </w:rPr>
        <w:t xml:space="preserve">%)</w:t>
      </w:r>
      <w:r>
        <w:rPr>
          <w:rFonts w:ascii="Times New Roman" w:hAnsi="Times New Roman"/>
          <w:color w:val="auto"/>
          <w:sz w:val="28"/>
          <w:szCs w:val="28"/>
        </w:rPr>
        <w:t xml:space="preserve">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3) </w:t>
      </w:r>
      <w:r>
        <w:rPr>
          <w:rFonts w:ascii="Times New Roman" w:hAnsi="Times New Roman"/>
          <w:color w:val="auto"/>
          <w:sz w:val="28"/>
          <w:szCs w:val="28"/>
        </w:rPr>
        <w:t xml:space="preserve">от</w:t>
      </w:r>
      <w:r>
        <w:rPr>
          <w:rFonts w:ascii="Times New Roman" w:hAnsi="Times New Roman"/>
          <w:color w:val="auto"/>
          <w:sz w:val="28"/>
          <w:szCs w:val="28"/>
        </w:rPr>
        <w:t xml:space="preserve"> 10</w:t>
      </w:r>
      <w:r>
        <w:rPr>
          <w:rFonts w:ascii="Times New Roman" w:hAnsi="Times New Roman"/>
          <w:color w:val="auto"/>
          <w:sz w:val="28"/>
          <w:szCs w:val="28"/>
        </w:rPr>
        <w:t xml:space="preserve">0</w:t>
      </w:r>
      <w:r>
        <w:rPr>
          <w:rFonts w:ascii="Times New Roman" w:hAnsi="Times New Roman"/>
          <w:color w:val="auto"/>
          <w:sz w:val="28"/>
          <w:szCs w:val="28"/>
        </w:rPr>
        <w:t xml:space="preserve"> млн</w:t>
      </w:r>
      <w:r>
        <w:rPr>
          <w:rFonts w:ascii="Times New Roman" w:hAnsi="Times New Roman"/>
          <w:color w:val="auto"/>
          <w:sz w:val="28"/>
          <w:szCs w:val="28"/>
        </w:rPr>
        <w:t xml:space="preserve"> руб. до 1 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руб. </w:t>
      </w:r>
      <w:r>
        <w:rPr>
          <w:rFonts w:ascii="Times New Roman" w:hAnsi="Times New Roman"/>
          <w:color w:val="auto"/>
          <w:sz w:val="28"/>
          <w:szCs w:val="28"/>
        </w:rPr>
        <w:t xml:space="preserve">– </w:t>
      </w:r>
      <w:r>
        <w:rPr>
          <w:rFonts w:ascii="Times New Roman" w:hAnsi="Times New Roman"/>
          <w:color w:val="auto"/>
          <w:sz w:val="28"/>
          <w:szCs w:val="28"/>
        </w:rPr>
        <w:t xml:space="preserve">1</w:t>
      </w:r>
      <w:r>
        <w:rPr>
          <w:rFonts w:ascii="Times New Roman" w:hAnsi="Times New Roman"/>
          <w:color w:val="auto"/>
          <w:sz w:val="28"/>
          <w:szCs w:val="28"/>
        </w:rPr>
        <w:t xml:space="preserve">3</w:t>
      </w:r>
      <w:r>
        <w:rPr>
          <w:rFonts w:ascii="Times New Roman" w:hAnsi="Times New Roman"/>
          <w:color w:val="auto"/>
          <w:sz w:val="28"/>
          <w:szCs w:val="28"/>
        </w:rPr>
        <w:t xml:space="preserve"> государственных программ Новосибирской области </w:t>
      </w:r>
      <w:r>
        <w:rPr>
          <w:rFonts w:ascii="Times New Roman" w:hAnsi="Times New Roman"/>
          <w:color w:val="auto"/>
          <w:sz w:val="28"/>
          <w:szCs w:val="28"/>
        </w:rPr>
        <w:t xml:space="preserve">на </w:t>
      </w:r>
      <w:r>
        <w:rPr>
          <w:rFonts w:ascii="Times New Roman" w:hAnsi="Times New Roman"/>
          <w:color w:val="auto"/>
          <w:sz w:val="28"/>
          <w:szCs w:val="28"/>
        </w:rPr>
        <w:t xml:space="preserve">общую </w:t>
      </w:r>
      <w:r>
        <w:rPr>
          <w:rFonts w:ascii="Times New Roman" w:hAnsi="Times New Roman"/>
          <w:color w:val="auto"/>
          <w:sz w:val="28"/>
          <w:szCs w:val="28"/>
        </w:rPr>
        <w:t xml:space="preserve">сумму более </w:t>
      </w:r>
      <w:r>
        <w:rPr>
          <w:rFonts w:ascii="Times New Roman" w:hAnsi="Times New Roman"/>
          <w:color w:val="auto"/>
          <w:sz w:val="28"/>
          <w:szCs w:val="28"/>
        </w:rPr>
        <w:t xml:space="preserve">7</w:t>
      </w:r>
      <w:r>
        <w:rPr>
          <w:rFonts w:ascii="Times New Roman" w:hAnsi="Times New Roman"/>
          <w:color w:val="auto"/>
          <w:sz w:val="28"/>
          <w:szCs w:val="28"/>
        </w:rPr>
        <w:t xml:space="preserve">,</w:t>
      </w:r>
      <w:r>
        <w:rPr>
          <w:rFonts w:ascii="Times New Roman" w:hAnsi="Times New Roman"/>
          <w:color w:val="auto"/>
          <w:sz w:val="28"/>
          <w:szCs w:val="28"/>
        </w:rPr>
        <w:t xml:space="preserve">16</w:t>
      </w:r>
      <w:r>
        <w:rPr>
          <w:rFonts w:ascii="Times New Roman" w:hAnsi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руб. </w:t>
      </w:r>
      <w:r>
        <w:rPr>
          <w:rFonts w:ascii="Times New Roman" w:hAnsi="Times New Roman"/>
          <w:color w:val="auto"/>
          <w:sz w:val="28"/>
          <w:szCs w:val="28"/>
        </w:rPr>
        <w:t xml:space="preserve">(</w:t>
      </w:r>
      <w:r>
        <w:rPr>
          <w:rFonts w:ascii="Times New Roman" w:hAnsi="Times New Roman"/>
          <w:color w:val="auto"/>
          <w:sz w:val="28"/>
          <w:szCs w:val="28"/>
        </w:rPr>
        <w:t xml:space="preserve">2,4</w:t>
      </w:r>
      <w:r>
        <w:rPr>
          <w:rFonts w:ascii="Times New Roman" w:hAnsi="Times New Roman"/>
          <w:color w:val="auto"/>
          <w:sz w:val="28"/>
          <w:szCs w:val="28"/>
        </w:rPr>
        <w:t xml:space="preserve">%);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 </w:t>
      </w:r>
      <w:r>
        <w:rPr>
          <w:rFonts w:ascii="Times New Roman" w:hAnsi="Times New Roman"/>
          <w:color w:val="auto"/>
          <w:sz w:val="28"/>
          <w:szCs w:val="28"/>
        </w:rPr>
        <w:t xml:space="preserve">менее</w:t>
      </w:r>
      <w:r>
        <w:rPr>
          <w:rFonts w:ascii="Times New Roman" w:hAnsi="Times New Roman"/>
          <w:color w:val="auto"/>
          <w:sz w:val="28"/>
          <w:szCs w:val="28"/>
        </w:rPr>
        <w:t xml:space="preserve"> 10</w:t>
      </w:r>
      <w:r>
        <w:rPr>
          <w:rFonts w:ascii="Times New Roman" w:hAnsi="Times New Roman"/>
          <w:color w:val="auto"/>
          <w:sz w:val="28"/>
          <w:szCs w:val="28"/>
        </w:rPr>
        <w:t xml:space="preserve">0</w:t>
      </w:r>
      <w:r>
        <w:rPr>
          <w:rFonts w:ascii="Times New Roman" w:hAnsi="Times New Roman"/>
          <w:color w:val="auto"/>
          <w:sz w:val="28"/>
          <w:szCs w:val="28"/>
        </w:rPr>
        <w:t xml:space="preserve"> млн</w:t>
      </w:r>
      <w:r>
        <w:rPr>
          <w:rFonts w:ascii="Times New Roman" w:hAnsi="Times New Roman"/>
          <w:color w:val="auto"/>
          <w:sz w:val="28"/>
          <w:szCs w:val="28"/>
        </w:rPr>
        <w:t xml:space="preserve"> руб. – </w:t>
      </w:r>
      <w:r>
        <w:rPr>
          <w:rFonts w:ascii="Times New Roman" w:hAnsi="Times New Roman"/>
          <w:color w:val="auto"/>
          <w:sz w:val="28"/>
          <w:szCs w:val="28"/>
        </w:rPr>
        <w:t xml:space="preserve">4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государственные программы Новосибирской области </w:t>
      </w:r>
      <w:r>
        <w:rPr>
          <w:rFonts w:ascii="Times New Roman" w:hAnsi="Times New Roman"/>
          <w:color w:val="auto"/>
          <w:sz w:val="28"/>
          <w:szCs w:val="28"/>
        </w:rPr>
        <w:t xml:space="preserve">на </w:t>
      </w:r>
      <w:r>
        <w:rPr>
          <w:rFonts w:ascii="Times New Roman" w:hAnsi="Times New Roman"/>
          <w:color w:val="auto"/>
          <w:sz w:val="28"/>
          <w:szCs w:val="28"/>
        </w:rPr>
        <w:t xml:space="preserve">общую </w:t>
      </w:r>
      <w:r>
        <w:rPr>
          <w:rFonts w:ascii="Times New Roman" w:hAnsi="Times New Roman"/>
          <w:color w:val="auto"/>
          <w:sz w:val="28"/>
          <w:szCs w:val="28"/>
        </w:rPr>
        <w:t xml:space="preserve">сумму более </w:t>
      </w:r>
      <w:r>
        <w:rPr>
          <w:rFonts w:ascii="Times New Roman" w:hAnsi="Times New Roman"/>
          <w:color w:val="auto"/>
          <w:sz w:val="28"/>
          <w:szCs w:val="28"/>
        </w:rPr>
        <w:t xml:space="preserve">0,</w:t>
      </w:r>
      <w:r>
        <w:rPr>
          <w:rFonts w:ascii="Times New Roman" w:hAnsi="Times New Roman"/>
          <w:color w:val="auto"/>
          <w:sz w:val="28"/>
          <w:szCs w:val="28"/>
        </w:rPr>
        <w:t xml:space="preserve">26</w:t>
      </w:r>
      <w:r>
        <w:rPr>
          <w:rFonts w:ascii="Times New Roman" w:hAnsi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руб. (0,</w:t>
      </w:r>
      <w:r>
        <w:rPr>
          <w:rFonts w:ascii="Times New Roman" w:hAnsi="Times New Roman"/>
          <w:color w:val="auto"/>
          <w:sz w:val="28"/>
          <w:szCs w:val="28"/>
        </w:rPr>
        <w:t xml:space="preserve">09%)</w:t>
      </w:r>
      <w:r>
        <w:rPr>
          <w:rFonts w:ascii="Times New Roman" w:hAnsi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К п</w:t>
      </w:r>
      <w:r>
        <w:rPr>
          <w:rFonts w:ascii="Times New Roman" w:hAnsi="Times New Roman"/>
          <w:color w:val="auto"/>
          <w:sz w:val="28"/>
          <w:szCs w:val="28"/>
        </w:rPr>
        <w:t xml:space="preserve">ервой группе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относятся</w:t>
      </w:r>
      <w:r>
        <w:rPr>
          <w:rFonts w:ascii="Times New Roman" w:hAnsi="Times New Roman"/>
          <w:color w:val="auto"/>
          <w:sz w:val="28"/>
          <w:szCs w:val="28"/>
        </w:rPr>
        <w:t xml:space="preserve">: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1. «Развитие образования, создание условий для социализации детей и учащейся молодежи в Новосибирской области» –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49,7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 руб. </w:t>
      </w:r>
      <w:r>
        <w:rPr>
          <w:rFonts w:ascii="Times New Roman" w:hAnsi="Times New Roman"/>
          <w:color w:val="auto"/>
          <w:sz w:val="28"/>
          <w:szCs w:val="28"/>
        </w:rPr>
        <w:t xml:space="preserve">(в</w:t>
      </w:r>
      <w:r>
        <w:rPr>
          <w:rFonts w:ascii="Times New Roman" w:hAnsi="Times New Roman"/>
          <w:color w:val="auto"/>
          <w:sz w:val="28"/>
          <w:szCs w:val="28"/>
        </w:rPr>
        <w:t xml:space="preserve"> 2021</w:t>
      </w:r>
      <w:r>
        <w:rPr>
          <w:rFonts w:ascii="Times New Roman" w:hAnsi="Times New Roman"/>
          <w:color w:val="auto"/>
          <w:sz w:val="28"/>
          <w:szCs w:val="28"/>
        </w:rPr>
        <w:t xml:space="preserve"> г. – </w:t>
      </w:r>
      <w:r>
        <w:rPr>
          <w:rFonts w:ascii="Times New Roman" w:hAnsi="Times New Roman"/>
          <w:color w:val="auto"/>
          <w:sz w:val="28"/>
          <w:szCs w:val="28"/>
        </w:rPr>
        <w:t xml:space="preserve">43,9</w:t>
      </w:r>
      <w:r>
        <w:rPr>
          <w:rFonts w:ascii="Times New Roman" w:hAnsi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руб.</w:t>
      </w:r>
      <w:r>
        <w:rPr>
          <w:rFonts w:ascii="Times New Roman" w:hAnsi="Times New Roman"/>
          <w:color w:val="auto"/>
          <w:sz w:val="28"/>
          <w:szCs w:val="28"/>
        </w:rPr>
        <w:t xml:space="preserve">)</w:t>
      </w:r>
      <w:r>
        <w:rPr>
          <w:rFonts w:ascii="Times New Roman" w:hAnsi="Times New Roman"/>
          <w:color w:val="auto"/>
          <w:sz w:val="28"/>
          <w:szCs w:val="28"/>
        </w:rPr>
        <w:t xml:space="preserve">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2. «Социальная поддержка в Новосибирской области»</w:t>
      </w:r>
      <w:r>
        <w:rPr>
          <w:rFonts w:ascii="Times New Roman" w:hAnsi="Times New Roman"/>
          <w:color w:val="auto"/>
          <w:sz w:val="28"/>
          <w:szCs w:val="28"/>
        </w:rPr>
        <w:t xml:space="preserve"> – 46,2</w:t>
      </w:r>
      <w:r>
        <w:rPr>
          <w:rFonts w:ascii="Times New Roman" w:hAnsi="Times New Roman"/>
          <w:color w:val="auto"/>
          <w:sz w:val="28"/>
          <w:szCs w:val="28"/>
        </w:rPr>
        <w:t xml:space="preserve"> млрд руб. (в 2021</w:t>
      </w:r>
      <w:r>
        <w:rPr>
          <w:rFonts w:ascii="Times New Roman" w:hAnsi="Times New Roman"/>
          <w:color w:val="auto"/>
          <w:sz w:val="28"/>
          <w:szCs w:val="28"/>
        </w:rPr>
        <w:t xml:space="preserve"> г. в рамках государственной программы Новосибирской области «</w:t>
      </w:r>
      <w:r>
        <w:rPr>
          <w:rFonts w:ascii="Times New Roman" w:hAnsi="Times New Roman"/>
          <w:color w:val="auto"/>
          <w:sz w:val="28"/>
          <w:szCs w:val="28"/>
        </w:rPr>
        <w:t xml:space="preserve">Развитие системы социальной поддержки населения и улучшение</w:t>
      </w:r>
      <w:r>
        <w:rPr>
          <w:rFonts w:ascii="Times New Roman" w:hAnsi="Times New Roman"/>
          <w:color w:val="auto"/>
          <w:sz w:val="28"/>
          <w:szCs w:val="28"/>
        </w:rPr>
        <w:t xml:space="preserve"> социального положения семей с детьми</w:t>
      </w:r>
      <w:r>
        <w:rPr>
          <w:rFonts w:ascii="Times New Roman" w:hAnsi="Times New Roman"/>
          <w:color w:val="auto"/>
          <w:sz w:val="28"/>
          <w:szCs w:val="28"/>
        </w:rPr>
        <w:t xml:space="preserve"> в Новосибирской области» </w:t>
      </w:r>
      <w:r>
        <w:rPr>
          <w:rFonts w:ascii="Times New Roman" w:hAnsi="Times New Roman"/>
          <w:color w:val="auto"/>
          <w:sz w:val="28"/>
          <w:szCs w:val="28"/>
        </w:rPr>
        <w:t xml:space="preserve">– </w:t>
      </w:r>
      <w:r>
        <w:rPr>
          <w:rFonts w:ascii="Times New Roman" w:hAnsi="Times New Roman"/>
          <w:color w:val="auto"/>
          <w:sz w:val="28"/>
          <w:szCs w:val="28"/>
        </w:rPr>
        <w:t xml:space="preserve">41,5</w:t>
      </w:r>
      <w:r>
        <w:rPr>
          <w:rFonts w:ascii="Times New Roman" w:hAnsi="Times New Roman"/>
          <w:color w:val="auto"/>
          <w:sz w:val="28"/>
          <w:szCs w:val="28"/>
        </w:rPr>
        <w:t xml:space="preserve"> млрд руб.</w:t>
      </w:r>
      <w:r>
        <w:rPr>
          <w:rFonts w:ascii="Times New Roman" w:hAnsi="Times New Roman"/>
          <w:color w:val="auto"/>
          <w:sz w:val="28"/>
          <w:szCs w:val="28"/>
        </w:rPr>
        <w:t xml:space="preserve">);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 «Развитие здравоохранения Новосибирской области» – </w:t>
      </w:r>
      <w:r>
        <w:rPr>
          <w:rFonts w:ascii="Times New Roman" w:hAnsi="Times New Roman"/>
          <w:color w:val="auto"/>
          <w:sz w:val="28"/>
          <w:szCs w:val="28"/>
        </w:rPr>
        <w:t xml:space="preserve">43,4 </w:t>
      </w:r>
      <w:r>
        <w:rPr>
          <w:rFonts w:ascii="Times New Roman" w:hAnsi="Times New Roman"/>
          <w:color w:val="auto"/>
          <w:sz w:val="28"/>
          <w:szCs w:val="28"/>
        </w:rPr>
        <w:t xml:space="preserve">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руб. (в </w:t>
      </w:r>
      <w:r>
        <w:rPr>
          <w:rFonts w:ascii="Times New Roman" w:hAnsi="Times New Roman"/>
          <w:color w:val="auto"/>
          <w:sz w:val="28"/>
          <w:szCs w:val="28"/>
        </w:rPr>
        <w:t xml:space="preserve">2021</w:t>
      </w:r>
      <w:r>
        <w:rPr>
          <w:rFonts w:ascii="Times New Roman" w:hAnsi="Times New Roman"/>
          <w:color w:val="auto"/>
          <w:sz w:val="28"/>
          <w:szCs w:val="28"/>
        </w:rPr>
        <w:t xml:space="preserve"> г. – </w:t>
      </w:r>
      <w:r>
        <w:rPr>
          <w:rFonts w:ascii="Times New Roman" w:hAnsi="Times New Roman"/>
          <w:color w:val="auto"/>
          <w:sz w:val="28"/>
          <w:szCs w:val="28"/>
        </w:rPr>
        <w:t xml:space="preserve">38,3</w:t>
      </w:r>
      <w:r>
        <w:rPr>
          <w:rFonts w:ascii="Times New Roman" w:hAnsi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руб.)</w:t>
      </w:r>
      <w:r>
        <w:rPr>
          <w:rFonts w:ascii="Times New Roman" w:hAnsi="Times New Roman"/>
          <w:color w:val="auto"/>
          <w:sz w:val="28"/>
          <w:szCs w:val="28"/>
        </w:rPr>
        <w:t xml:space="preserve">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4. «Развитие автомобильных дорог регионального, межмуниципального и местного значения в Новосибирской области»</w:t>
      </w:r>
      <w:r>
        <w:rPr>
          <w:rFonts w:ascii="Times New Roman" w:hAnsi="Times New Roman"/>
          <w:color w:val="auto"/>
          <w:sz w:val="28"/>
          <w:szCs w:val="28"/>
        </w:rPr>
        <w:t xml:space="preserve"> –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30,8 </w:t>
      </w:r>
      <w:r>
        <w:rPr>
          <w:rFonts w:ascii="Times New Roman" w:hAnsi="Times New Roman"/>
          <w:color w:val="auto"/>
          <w:sz w:val="28"/>
          <w:szCs w:val="28"/>
        </w:rPr>
        <w:t xml:space="preserve">млрд </w:t>
      </w:r>
      <w:r>
        <w:rPr>
          <w:rFonts w:ascii="Times New Roman" w:hAnsi="Times New Roman"/>
          <w:color w:val="auto"/>
          <w:sz w:val="28"/>
          <w:szCs w:val="28"/>
        </w:rPr>
        <w:t xml:space="preserve">руб. (в </w:t>
      </w:r>
      <w:r>
        <w:rPr>
          <w:rFonts w:ascii="Times New Roman" w:hAnsi="Times New Roman"/>
          <w:color w:val="auto"/>
          <w:sz w:val="28"/>
          <w:szCs w:val="28"/>
        </w:rPr>
        <w:t xml:space="preserve">2021</w:t>
      </w:r>
      <w:r>
        <w:rPr>
          <w:rFonts w:ascii="Times New Roman" w:hAnsi="Times New Roman"/>
          <w:color w:val="auto"/>
          <w:sz w:val="28"/>
          <w:szCs w:val="28"/>
        </w:rPr>
        <w:t xml:space="preserve"> г. – </w:t>
      </w:r>
      <w:r>
        <w:rPr>
          <w:rFonts w:ascii="Times New Roman" w:hAnsi="Times New Roman"/>
          <w:color w:val="auto"/>
          <w:sz w:val="28"/>
          <w:szCs w:val="28"/>
        </w:rPr>
        <w:t xml:space="preserve">25,4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млрд </w:t>
      </w:r>
      <w:r>
        <w:rPr>
          <w:rFonts w:ascii="Times New Roman" w:hAnsi="Times New Roman"/>
          <w:color w:val="auto"/>
          <w:sz w:val="28"/>
          <w:szCs w:val="28"/>
        </w:rPr>
        <w:t xml:space="preserve">руб.);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5. «Управление финансами в Новосибирской области»</w:t>
      </w:r>
      <w:r>
        <w:rPr>
          <w:rFonts w:ascii="Times New Roman" w:hAnsi="Times New Roman"/>
          <w:color w:val="auto"/>
          <w:sz w:val="28"/>
          <w:szCs w:val="28"/>
        </w:rPr>
        <w:t xml:space="preserve"> – </w:t>
      </w:r>
      <w:r>
        <w:rPr>
          <w:rFonts w:ascii="Times New Roman" w:hAnsi="Times New Roman"/>
          <w:color w:val="auto"/>
          <w:sz w:val="28"/>
          <w:szCs w:val="28"/>
        </w:rPr>
        <w:t xml:space="preserve">22,2 </w:t>
      </w:r>
      <w:r>
        <w:rPr>
          <w:rFonts w:ascii="Times New Roman" w:hAnsi="Times New Roman"/>
          <w:color w:val="auto"/>
          <w:sz w:val="28"/>
          <w:szCs w:val="28"/>
        </w:rPr>
        <w:t xml:space="preserve">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руб. (в 2021</w:t>
      </w:r>
      <w:r>
        <w:rPr>
          <w:rFonts w:ascii="Times New Roman" w:hAnsi="Times New Roman"/>
          <w:color w:val="auto"/>
          <w:sz w:val="28"/>
          <w:szCs w:val="28"/>
        </w:rPr>
        <w:t xml:space="preserve"> г. – </w:t>
      </w:r>
      <w:r>
        <w:rPr>
          <w:rFonts w:ascii="Times New Roman" w:hAnsi="Times New Roman"/>
          <w:color w:val="auto"/>
          <w:sz w:val="28"/>
          <w:szCs w:val="28"/>
        </w:rPr>
        <w:t xml:space="preserve">18,3</w:t>
      </w:r>
      <w:r>
        <w:rPr>
          <w:rFonts w:ascii="Times New Roman" w:hAnsi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рублей).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Таким образом, </w:t>
      </w:r>
      <w:r>
        <w:rPr>
          <w:rFonts w:ascii="Times New Roman" w:hAnsi="Times New Roman"/>
          <w:color w:val="auto"/>
          <w:sz w:val="28"/>
          <w:szCs w:val="28"/>
        </w:rPr>
        <w:t xml:space="preserve">в 2022</w:t>
      </w:r>
      <w:r>
        <w:rPr>
          <w:rFonts w:ascii="Times New Roman" w:hAnsi="Times New Roman"/>
          <w:color w:val="auto"/>
          <w:sz w:val="28"/>
          <w:szCs w:val="28"/>
        </w:rPr>
        <w:t xml:space="preserve"> году, </w:t>
      </w:r>
      <w:r>
        <w:rPr>
          <w:rFonts w:ascii="Times New Roman" w:hAnsi="Times New Roman"/>
          <w:color w:val="auto"/>
          <w:sz w:val="28"/>
          <w:szCs w:val="28"/>
        </w:rPr>
        <w:t xml:space="preserve">как и в </w:t>
      </w:r>
      <w:r>
        <w:rPr>
          <w:rFonts w:ascii="Times New Roman" w:hAnsi="Times New Roman"/>
          <w:color w:val="auto"/>
          <w:sz w:val="28"/>
          <w:szCs w:val="28"/>
        </w:rPr>
        <w:t xml:space="preserve">2021-2020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годах</w:t>
      </w:r>
      <w:r>
        <w:rPr>
          <w:rFonts w:ascii="Times New Roman" w:hAnsi="Times New Roman"/>
          <w:color w:val="auto"/>
          <w:sz w:val="28"/>
          <w:szCs w:val="28"/>
        </w:rPr>
        <w:t xml:space="preserve">,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в пятерку высоко финансируемых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государственных программ Новосибирской области (</w:t>
      </w:r>
      <w:r>
        <w:rPr>
          <w:rFonts w:ascii="Times New Roman" w:hAnsi="Times New Roman"/>
          <w:color w:val="auto"/>
          <w:sz w:val="28"/>
          <w:szCs w:val="28"/>
        </w:rPr>
        <w:t xml:space="preserve">на долю </w:t>
      </w:r>
      <w:r>
        <w:rPr>
          <w:rFonts w:ascii="Times New Roman" w:hAnsi="Times New Roman"/>
          <w:color w:val="auto"/>
          <w:sz w:val="28"/>
          <w:szCs w:val="28"/>
        </w:rPr>
        <w:t xml:space="preserve">которых приходится </w:t>
      </w:r>
      <w:r>
        <w:rPr>
          <w:rFonts w:ascii="Times New Roman" w:hAnsi="Times New Roman"/>
          <w:color w:val="auto"/>
          <w:sz w:val="28"/>
          <w:szCs w:val="28"/>
        </w:rPr>
        <w:t xml:space="preserve">65,7</w:t>
      </w:r>
      <w:r>
        <w:rPr>
          <w:rFonts w:ascii="Times New Roman" w:hAnsi="Times New Roman"/>
          <w:color w:val="auto"/>
          <w:sz w:val="28"/>
          <w:szCs w:val="28"/>
        </w:rPr>
        <w:t xml:space="preserve">% от общего фактического объема финансирования) </w:t>
      </w:r>
      <w:r>
        <w:rPr>
          <w:rFonts w:ascii="Times New Roman" w:hAnsi="Times New Roman"/>
          <w:color w:val="auto"/>
          <w:sz w:val="28"/>
          <w:szCs w:val="28"/>
        </w:rPr>
        <w:t xml:space="preserve">вошли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государственные</w:t>
      </w:r>
      <w:r>
        <w:rPr>
          <w:rFonts w:ascii="Times New Roman" w:hAnsi="Times New Roman"/>
          <w:color w:val="auto"/>
          <w:sz w:val="28"/>
          <w:szCs w:val="28"/>
        </w:rPr>
        <w:t xml:space="preserve"> программ</w:t>
      </w:r>
      <w:r>
        <w:rPr>
          <w:rFonts w:ascii="Times New Roman" w:hAnsi="Times New Roman"/>
          <w:color w:val="auto"/>
          <w:sz w:val="28"/>
          <w:szCs w:val="28"/>
        </w:rPr>
        <w:t xml:space="preserve">ы</w:t>
      </w:r>
      <w:r>
        <w:rPr>
          <w:rFonts w:ascii="Times New Roman" w:hAnsi="Times New Roman"/>
          <w:color w:val="auto"/>
          <w:sz w:val="28"/>
          <w:szCs w:val="28"/>
        </w:rPr>
        <w:t xml:space="preserve">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,</w:t>
      </w:r>
      <w:r>
        <w:rPr>
          <w:rFonts w:ascii="Times New Roman" w:hAnsi="Times New Roman"/>
          <w:color w:val="auto"/>
          <w:sz w:val="28"/>
          <w:szCs w:val="28"/>
        </w:rPr>
        <w:t xml:space="preserve"> в большей степени </w:t>
      </w:r>
      <w:r>
        <w:rPr>
          <w:rFonts w:ascii="Times New Roman" w:hAnsi="Times New Roman"/>
          <w:color w:val="auto"/>
          <w:sz w:val="28"/>
          <w:szCs w:val="28"/>
        </w:rPr>
        <w:t xml:space="preserve">имеющие социальную</w:t>
      </w:r>
      <w:r>
        <w:rPr>
          <w:rFonts w:ascii="Times New Roman" w:hAnsi="Times New Roman"/>
          <w:color w:val="auto"/>
          <w:sz w:val="28"/>
          <w:szCs w:val="28"/>
        </w:rPr>
        <w:t xml:space="preserve"> направленност</w:t>
      </w:r>
      <w:r>
        <w:rPr>
          <w:rFonts w:ascii="Times New Roman" w:hAnsi="Times New Roman"/>
          <w:color w:val="auto"/>
          <w:sz w:val="28"/>
          <w:szCs w:val="28"/>
        </w:rPr>
        <w:t xml:space="preserve">ь</w:t>
      </w:r>
      <w:r>
        <w:rPr>
          <w:rFonts w:ascii="Times New Roman" w:hAnsi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По итогам </w:t>
      </w:r>
      <w:r>
        <w:rPr>
          <w:rFonts w:ascii="Times New Roman" w:hAnsi="Times New Roman"/>
          <w:color w:val="auto"/>
          <w:sz w:val="28"/>
          <w:szCs w:val="28"/>
        </w:rPr>
        <w:t xml:space="preserve">отчетного</w:t>
      </w:r>
      <w:r>
        <w:rPr>
          <w:rFonts w:ascii="Times New Roman" w:hAnsi="Times New Roman"/>
          <w:color w:val="auto"/>
          <w:sz w:val="28"/>
          <w:szCs w:val="28"/>
        </w:rPr>
        <w:t xml:space="preserve"> года для </w:t>
      </w:r>
      <w:r>
        <w:rPr>
          <w:rFonts w:ascii="Times New Roman" w:hAnsi="Times New Roman"/>
          <w:color w:val="auto"/>
          <w:sz w:val="28"/>
          <w:szCs w:val="28"/>
        </w:rPr>
        <w:t xml:space="preserve">софинансирования</w:t>
      </w:r>
      <w:r>
        <w:rPr>
          <w:rFonts w:ascii="Times New Roman" w:hAnsi="Times New Roman"/>
          <w:color w:val="auto"/>
          <w:sz w:val="28"/>
          <w:szCs w:val="28"/>
        </w:rPr>
        <w:t xml:space="preserve"> мероприятий государственных программ Новосибирской области привлечено порядка </w:t>
      </w:r>
      <w:r>
        <w:rPr>
          <w:rFonts w:ascii="Times New Roman" w:hAnsi="Times New Roman"/>
          <w:color w:val="auto"/>
          <w:sz w:val="28"/>
          <w:szCs w:val="28"/>
        </w:rPr>
        <w:t xml:space="preserve">55,29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руб. </w:t>
      </w:r>
      <w:r>
        <w:rPr>
          <w:rFonts w:ascii="Times New Roman" w:hAnsi="Times New Roman"/>
          <w:color w:val="auto"/>
          <w:sz w:val="28"/>
          <w:szCs w:val="28"/>
        </w:rPr>
        <w:t xml:space="preserve">средств </w:t>
      </w:r>
      <w:r>
        <w:rPr>
          <w:rFonts w:ascii="Times New Roman" w:hAnsi="Times New Roman"/>
          <w:color w:val="auto"/>
          <w:sz w:val="28"/>
          <w:szCs w:val="28"/>
        </w:rPr>
        <w:t xml:space="preserve">из федерального бюджета (</w:t>
      </w:r>
      <w:r>
        <w:rPr>
          <w:rFonts w:ascii="Times New Roman" w:hAnsi="Times New Roman"/>
          <w:color w:val="auto"/>
          <w:sz w:val="28"/>
          <w:szCs w:val="28"/>
        </w:rPr>
        <w:t xml:space="preserve">для сра</w:t>
      </w:r>
      <w:r>
        <w:rPr>
          <w:rFonts w:ascii="Times New Roman" w:hAnsi="Times New Roman"/>
          <w:color w:val="auto"/>
          <w:sz w:val="28"/>
          <w:szCs w:val="28"/>
        </w:rPr>
        <w:t xml:space="preserve">внения </w:t>
      </w:r>
      <w:r>
        <w:rPr>
          <w:rFonts w:ascii="Times New Roman" w:hAnsi="Times New Roman"/>
          <w:color w:val="auto"/>
          <w:sz w:val="28"/>
          <w:szCs w:val="28"/>
        </w:rPr>
        <w:t xml:space="preserve">в </w:t>
      </w:r>
      <w:r>
        <w:rPr>
          <w:rFonts w:ascii="Times New Roman" w:hAnsi="Times New Roman"/>
          <w:color w:val="auto"/>
          <w:sz w:val="28"/>
          <w:szCs w:val="28"/>
        </w:rPr>
        <w:t xml:space="preserve">2021</w:t>
      </w:r>
      <w:r>
        <w:rPr>
          <w:rFonts w:ascii="Times New Roman" w:hAnsi="Times New Roman"/>
          <w:color w:val="auto"/>
          <w:sz w:val="28"/>
          <w:szCs w:val="28"/>
        </w:rPr>
        <w:t xml:space="preserve"> году</w:t>
      </w:r>
      <w:r>
        <w:rPr>
          <w:rFonts w:ascii="Times New Roman" w:hAnsi="Times New Roman"/>
          <w:color w:val="auto"/>
          <w:sz w:val="28"/>
          <w:szCs w:val="28"/>
        </w:rPr>
        <w:t xml:space="preserve"> –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58,49</w:t>
      </w:r>
      <w:r>
        <w:rPr>
          <w:rFonts w:ascii="Times New Roman" w:hAnsi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руб., 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в 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2020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году 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– 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47,4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млрд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рублей).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Государственными</w:t>
      </w:r>
      <w:r>
        <w:rPr>
          <w:rFonts w:ascii="Times New Roman" w:hAnsi="Times New Roman"/>
          <w:color w:val="auto"/>
          <w:sz w:val="28"/>
          <w:szCs w:val="28"/>
        </w:rPr>
        <w:t xml:space="preserve"> программ</w:t>
      </w:r>
      <w:r>
        <w:rPr>
          <w:rFonts w:ascii="Times New Roman" w:hAnsi="Times New Roman"/>
          <w:color w:val="auto"/>
          <w:sz w:val="28"/>
          <w:szCs w:val="28"/>
        </w:rPr>
        <w:t xml:space="preserve">ами</w:t>
      </w:r>
      <w:r>
        <w:rPr>
          <w:rFonts w:ascii="Times New Roman" w:hAnsi="Times New Roman"/>
          <w:color w:val="auto"/>
          <w:sz w:val="28"/>
          <w:szCs w:val="28"/>
        </w:rPr>
        <w:t xml:space="preserve">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, в рамках которых </w:t>
      </w:r>
      <w:r>
        <w:rPr>
          <w:rFonts w:ascii="Times New Roman" w:hAnsi="Times New Roman"/>
          <w:color w:val="auto"/>
          <w:sz w:val="28"/>
          <w:szCs w:val="28"/>
        </w:rPr>
        <w:t xml:space="preserve">в </w:t>
      </w:r>
      <w:r>
        <w:rPr>
          <w:rFonts w:ascii="Times New Roman" w:hAnsi="Times New Roman"/>
          <w:color w:val="auto"/>
          <w:sz w:val="28"/>
          <w:szCs w:val="28"/>
        </w:rPr>
        <w:t xml:space="preserve">20</w:t>
      </w:r>
      <w:r>
        <w:rPr>
          <w:rFonts w:ascii="Times New Roman" w:hAnsi="Times New Roman"/>
          <w:color w:val="auto"/>
          <w:sz w:val="28"/>
          <w:szCs w:val="28"/>
        </w:rPr>
        <w:t xml:space="preserve">22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году удалось </w:t>
      </w:r>
      <w:r>
        <w:rPr>
          <w:rFonts w:ascii="Times New Roman" w:hAnsi="Times New Roman"/>
          <w:color w:val="auto"/>
          <w:sz w:val="28"/>
          <w:szCs w:val="28"/>
        </w:rPr>
        <w:t xml:space="preserve">привлечь наибольшие объемы средств из федерального бюджета, являются следующие: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1. «</w:t>
      </w:r>
      <w:r>
        <w:rPr>
          <w:rFonts w:ascii="Times New Roman" w:hAnsi="Times New Roman"/>
          <w:color w:val="auto"/>
          <w:sz w:val="28"/>
          <w:szCs w:val="28"/>
        </w:rPr>
        <w:t xml:space="preserve">Социальная поддержка в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»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(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1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9,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0 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млрд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руб.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);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2. «Развитие автомобильных дорог регионального, межмуниципального и местного значения в Новосибирской области»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(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16,0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млрд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руб.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);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3. </w:t>
      </w:r>
      <w:r>
        <w:rPr>
          <w:rFonts w:ascii="Times New Roman" w:hAnsi="Times New Roman"/>
          <w:color w:val="auto"/>
          <w:sz w:val="28"/>
          <w:szCs w:val="28"/>
        </w:rPr>
        <w:t xml:space="preserve">«Развитие образования, создание условий для социализации детей и учащейся молодежи в Новосибирской области»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(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6,69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млрд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руб.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)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</w:t>
      </w:r>
      <w:r>
        <w:rPr>
          <w:rFonts w:ascii="Times New Roman" w:hAnsi="Times New Roman"/>
          <w:color w:val="auto"/>
          <w:sz w:val="28"/>
          <w:szCs w:val="28"/>
        </w:rPr>
        <w:t xml:space="preserve">. </w:t>
      </w:r>
      <w:r>
        <w:rPr>
          <w:rFonts w:ascii="Times New Roman" w:hAnsi="Times New Roman"/>
          <w:color w:val="auto"/>
          <w:sz w:val="28"/>
          <w:szCs w:val="28"/>
        </w:rPr>
        <w:t xml:space="preserve">«Развитие здравоохранения Новосибирской области»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(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4,34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млрд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руб.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);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5. «Развитие физической культуры и спорта в Новосибирской области»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(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1,69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млрд рублей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).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На реализацию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5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вышеуказанных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государственных программ </w:t>
      </w:r>
      <w:r>
        <w:rPr>
          <w:rFonts w:ascii="Times New Roman" w:hAnsi="Times New Roman"/>
          <w:color w:val="auto"/>
          <w:sz w:val="28"/>
          <w:szCs w:val="28"/>
        </w:rPr>
        <w:t xml:space="preserve">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за </w:t>
      </w:r>
      <w:r>
        <w:rPr>
          <w:rFonts w:ascii="Times New Roman" w:hAnsi="Times New Roman"/>
          <w:color w:val="auto"/>
          <w:sz w:val="28"/>
          <w:szCs w:val="28"/>
        </w:rPr>
        <w:t xml:space="preserve">отчетный</w:t>
      </w:r>
      <w:r>
        <w:rPr>
          <w:rFonts w:ascii="Times New Roman" w:hAnsi="Times New Roman"/>
          <w:color w:val="auto"/>
          <w:sz w:val="28"/>
          <w:szCs w:val="28"/>
        </w:rPr>
        <w:t xml:space="preserve"> год было получено более </w:t>
      </w:r>
      <w:r>
        <w:rPr>
          <w:rFonts w:ascii="Times New Roman" w:hAnsi="Times New Roman"/>
          <w:color w:val="auto"/>
          <w:sz w:val="28"/>
          <w:szCs w:val="28"/>
        </w:rPr>
        <w:t xml:space="preserve">47,72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</w:t>
      </w:r>
      <w:r>
        <w:rPr>
          <w:rFonts w:ascii="Times New Roman" w:hAnsi="Times New Roman"/>
          <w:color w:val="auto"/>
          <w:sz w:val="28"/>
          <w:szCs w:val="28"/>
        </w:rPr>
        <w:t xml:space="preserve">.</w:t>
      </w:r>
      <w:r>
        <w:rPr>
          <w:rFonts w:ascii="Times New Roman" w:hAnsi="Times New Roman"/>
          <w:color w:val="auto"/>
          <w:sz w:val="28"/>
          <w:szCs w:val="28"/>
        </w:rPr>
        <w:t xml:space="preserve"> из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федерального бюджета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(или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86,31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% от общей суммы средств, поступившей в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отчетном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 году из федерального бюджета на реализацию государственных программ Новосибирской области).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Сведения о кассовом исполнении государственных программ Новосибирской области за счет средств областного и федерального бюджетов приведены в приложении № 2 к Сводному докладу.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По итогам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2022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года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для решения задач государственных программ Новосибирской области привлечено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из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внебюджетных источников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42,44 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млрд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 руб. 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(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для сравнения 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в 2021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году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 –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37,05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 руб., 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в 2020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году –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37,72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рублей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).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М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аксимальные объемы внебюджетных средств были привлечены на реализацию следующих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: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1. «Развитие здравоохранения Новосибирской области»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(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31,7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млрд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руб.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);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2. «Развитие субъектов малого и среднего предпринимательства в Новосибирской области»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(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3,97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млрд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  <w:lang w:val="en-US"/>
        </w:rPr>
        <w:t xml:space="preserve"> 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руб.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);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3. </w:t>
      </w:r>
      <w:r>
        <w:rPr>
          <w:rFonts w:ascii="Times New Roman" w:hAnsi="Times New Roman"/>
          <w:color w:val="auto"/>
          <w:sz w:val="28"/>
          <w:szCs w:val="28"/>
        </w:rPr>
        <w:t xml:space="preserve">«Развитие автомобильных дорог регионального, межмуниципального и местного значения в Новосибирской области»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(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2,45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млрд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руб.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);</w:t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</w:t>
      </w:r>
      <w:r>
        <w:rPr>
          <w:rFonts w:ascii="Times New Roman" w:hAnsi="Times New Roman"/>
          <w:color w:val="auto"/>
          <w:sz w:val="28"/>
          <w:szCs w:val="28"/>
        </w:rPr>
        <w:t xml:space="preserve">. </w:t>
      </w:r>
      <w:r>
        <w:rPr>
          <w:rFonts w:ascii="Times New Roman" w:hAnsi="Times New Roman"/>
          <w:color w:val="auto"/>
          <w:sz w:val="28"/>
          <w:szCs w:val="28"/>
        </w:rPr>
        <w:t xml:space="preserve">«Жилищно-коммунальное хозяйство Новосибирской области»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(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1,38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млрд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рублей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).</w:t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Реализация мероприятий девятнадцати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государственных программ Новосибирской облас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ти осуществлялась в отчетном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году при финансовом участии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местных бюджетов Новосибирской области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на общую сумму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1,24 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млрд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 руб.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(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для сравнения 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в 2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021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году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 – 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0,98 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м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лрд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 руб., 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в 2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020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году – 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1,61 м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лрд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рублей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).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Государственными программами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Новосибирской области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, в реализации мероприятий которых в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20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22 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году наиболее активное финансовое участие приняли местные бюджеты муниципальных образований Новосибирской области, являются следующие: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1. «Развитие автомобильных дорог регионального, межмуниципального и местного значения в Новосибирской области» (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0,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2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млр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д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  <w:lang w:val="en-US"/>
        </w:rPr>
        <w:t xml:space="preserve"> 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руб.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);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2. 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«Повышение безопасности дорожного движения на автомобильных дорогах и обеспечение безопасности населения на транспорте в Новосибирской области»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(0,18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млрд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  <w:lang w:val="en-US"/>
        </w:rPr>
        <w:t xml:space="preserve"> 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руб.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);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/>
          <w:color w:val="auto"/>
          <w:sz w:val="28"/>
          <w:szCs w:val="28"/>
        </w:rPr>
      </w:pPr>
      <w:r>
        <w:rPr>
          <w:rFonts w:ascii="Times New Roman" w:hAnsi="Times New Roman" w:eastAsia="Times New Roman"/>
          <w:color w:val="auto"/>
          <w:sz w:val="28"/>
          <w:szCs w:val="28"/>
        </w:rPr>
        <w:t xml:space="preserve">3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. «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Жилищно-коммунальное хозяйство Новосибирской области» (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0,16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 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млрд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  <w:lang w:val="en-US"/>
        </w:rPr>
        <w:t xml:space="preserve"> 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рублей</w:t>
      </w:r>
      <w:r>
        <w:rPr>
          <w:rFonts w:ascii="Times New Roman" w:hAnsi="Times New Roman" w:eastAsia="Times New Roman"/>
          <w:color w:val="auto"/>
          <w:sz w:val="28"/>
          <w:szCs w:val="28"/>
        </w:rPr>
        <w:t xml:space="preserve">).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Таким образом, в 20</w:t>
      </w:r>
      <w:r>
        <w:rPr>
          <w:rFonts w:ascii="Times New Roman" w:hAnsi="Times New Roman"/>
          <w:color w:val="auto"/>
          <w:sz w:val="28"/>
          <w:szCs w:val="28"/>
        </w:rPr>
        <w:t xml:space="preserve">22</w:t>
      </w:r>
      <w:r>
        <w:rPr>
          <w:rFonts w:ascii="Times New Roman" w:hAnsi="Times New Roman"/>
          <w:color w:val="auto"/>
          <w:sz w:val="28"/>
          <w:szCs w:val="28"/>
        </w:rPr>
        <w:t xml:space="preserve"> году наблюдается</w:t>
      </w:r>
      <w:r>
        <w:rPr>
          <w:rFonts w:ascii="Times New Roman" w:hAnsi="Times New Roman"/>
          <w:color w:val="auto"/>
          <w:sz w:val="28"/>
          <w:szCs w:val="28"/>
        </w:rPr>
        <w:t xml:space="preserve"> значительный</w:t>
      </w:r>
      <w:r>
        <w:rPr>
          <w:rFonts w:ascii="Times New Roman" w:hAnsi="Times New Roman"/>
          <w:color w:val="auto"/>
          <w:sz w:val="28"/>
          <w:szCs w:val="28"/>
        </w:rPr>
        <w:t xml:space="preserve"> рост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объемов финансирования государственных программ Новосибирской области за </w:t>
      </w:r>
      <w:r>
        <w:rPr>
          <w:rFonts w:ascii="Times New Roman" w:hAnsi="Times New Roman"/>
          <w:color w:val="auto"/>
          <w:sz w:val="28"/>
          <w:szCs w:val="28"/>
        </w:rPr>
        <w:t xml:space="preserve">счет средств областного бюджета. Также по сравнению с предыдущим годом возросл</w:t>
      </w:r>
      <w:r>
        <w:rPr>
          <w:rFonts w:ascii="Times New Roman" w:hAnsi="Times New Roman"/>
          <w:color w:val="auto"/>
          <w:sz w:val="28"/>
          <w:szCs w:val="28"/>
        </w:rPr>
        <w:t xml:space="preserve">о финансовое участие в реализации государственных программ местных бюджетов и привлечение внебюджетных средств. Финансирование государственных программ Новосибирской области за счет средств федерального бюджета осталось практически на уровне 2021 года.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br w:type="page" w:clear="all"/>
      </w:r>
      <w:r>
        <w:rPr>
          <w:color w:val="auto"/>
        </w:rPr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. Основные сведения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 предоставленных в рамках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государственных программ Новосибирской области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субсидиях и иных межбюджетных трансфертах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местным бюджетам Новосибирской области</w:t>
      </w:r>
      <w:r>
        <w:rPr>
          <w:color w:val="auto"/>
        </w:rPr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семнадцати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 w:eastAsia="Times New Roman"/>
          <w:color w:val="auto"/>
          <w:sz w:val="28"/>
          <w:szCs w:val="28"/>
          <w:shd w:val="clear" w:color="auto" w:fill="ffffff" w:themeFill="background1"/>
        </w:rPr>
        <w:t xml:space="preserve"> 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отчетном году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предусмотрено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пред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ставление субсидий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и иных межбюджетных трансфертов местным бюджетам Новосибирской области на общую сумму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более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42,2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млрд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руб. (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2021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году –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32,8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руб.,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2020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году –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25,5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рублей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)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Общий объем фактически пред</w:t>
      </w:r>
      <w:r>
        <w:rPr>
          <w:rFonts w:ascii="Times New Roman" w:hAnsi="Times New Roman"/>
          <w:color w:val="auto"/>
          <w:sz w:val="28"/>
          <w:szCs w:val="28"/>
        </w:rPr>
        <w:t xml:space="preserve">о</w:t>
      </w:r>
      <w:r>
        <w:rPr>
          <w:rFonts w:ascii="Times New Roman" w:hAnsi="Times New Roman"/>
          <w:color w:val="auto"/>
          <w:sz w:val="28"/>
          <w:szCs w:val="28"/>
        </w:rPr>
        <w:t xml:space="preserve">ставленных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субсидий и иных межбюджетных трансфертов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местным бюджетам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 составил порядка </w:t>
      </w:r>
      <w:r>
        <w:rPr>
          <w:rFonts w:ascii="Times New Roman" w:hAnsi="Times New Roman"/>
          <w:color w:val="auto"/>
          <w:sz w:val="28"/>
          <w:szCs w:val="28"/>
        </w:rPr>
        <w:t xml:space="preserve">39,6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руб. (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 2021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году – </w:t>
      </w:r>
      <w:r>
        <w:rPr>
          <w:rFonts w:ascii="Times New Roman" w:hAnsi="Times New Roman"/>
          <w:color w:val="auto"/>
          <w:sz w:val="28"/>
          <w:szCs w:val="28"/>
        </w:rPr>
        <w:t xml:space="preserve">30,9</w:t>
      </w:r>
      <w:r>
        <w:rPr>
          <w:rFonts w:ascii="Times New Roman" w:hAnsi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руб., </w:t>
      </w:r>
      <w:r>
        <w:rPr>
          <w:rFonts w:ascii="Times New Roman" w:hAnsi="Times New Roman"/>
          <w:color w:val="auto"/>
          <w:sz w:val="28"/>
          <w:szCs w:val="28"/>
        </w:rPr>
        <w:t xml:space="preserve">в 2020</w:t>
      </w:r>
      <w:r>
        <w:rPr>
          <w:rFonts w:ascii="Times New Roman" w:hAnsi="Times New Roman"/>
          <w:color w:val="auto"/>
          <w:sz w:val="28"/>
          <w:szCs w:val="28"/>
        </w:rPr>
        <w:t xml:space="preserve"> году – </w:t>
      </w:r>
      <w:r>
        <w:rPr>
          <w:rFonts w:ascii="Times New Roman" w:hAnsi="Times New Roman"/>
          <w:color w:val="auto"/>
          <w:sz w:val="28"/>
          <w:szCs w:val="28"/>
        </w:rPr>
        <w:t xml:space="preserve">24,6</w:t>
      </w:r>
      <w:r>
        <w:rPr>
          <w:rFonts w:ascii="Times New Roman" w:hAnsi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</w:t>
      </w:r>
      <w:r>
        <w:rPr>
          <w:rFonts w:ascii="Times New Roman" w:hAnsi="Times New Roman"/>
          <w:color w:val="auto"/>
          <w:sz w:val="28"/>
          <w:szCs w:val="28"/>
        </w:rPr>
        <w:t xml:space="preserve">.</w:t>
      </w:r>
      <w:r>
        <w:rPr>
          <w:rFonts w:ascii="Times New Roman" w:hAnsi="Times New Roman"/>
          <w:color w:val="auto"/>
          <w:sz w:val="28"/>
          <w:szCs w:val="28"/>
        </w:rPr>
        <w:t xml:space="preserve">)</w:t>
      </w:r>
      <w:r>
        <w:rPr>
          <w:rFonts w:ascii="Times New Roman" w:hAnsi="Times New Roman"/>
          <w:color w:val="auto"/>
          <w:sz w:val="28"/>
          <w:szCs w:val="28"/>
        </w:rPr>
        <w:t xml:space="preserve">, что составляет </w:t>
      </w:r>
      <w:r>
        <w:rPr>
          <w:rFonts w:ascii="Times New Roman" w:hAnsi="Times New Roman"/>
          <w:color w:val="auto"/>
          <w:sz w:val="28"/>
          <w:szCs w:val="28"/>
        </w:rPr>
        <w:t xml:space="preserve">9</w:t>
      </w:r>
      <w:r>
        <w:rPr>
          <w:rFonts w:ascii="Times New Roman" w:hAnsi="Times New Roman"/>
          <w:color w:val="auto"/>
          <w:sz w:val="28"/>
          <w:szCs w:val="28"/>
        </w:rPr>
        <w:t xml:space="preserve">3,8</w:t>
      </w:r>
      <w:r>
        <w:rPr>
          <w:rFonts w:ascii="Times New Roman" w:hAnsi="Times New Roman"/>
          <w:color w:val="auto"/>
          <w:sz w:val="28"/>
          <w:szCs w:val="28"/>
        </w:rPr>
        <w:t xml:space="preserve">% </w:t>
      </w:r>
      <w:r>
        <w:rPr>
          <w:rFonts w:ascii="Times New Roman" w:hAnsi="Times New Roman"/>
          <w:color w:val="auto"/>
          <w:sz w:val="28"/>
          <w:szCs w:val="28"/>
        </w:rPr>
        <w:t xml:space="preserve">от предусмотренных </w:t>
      </w:r>
      <w:r>
        <w:rPr>
          <w:rFonts w:ascii="Times New Roman" w:hAnsi="Times New Roman"/>
          <w:color w:val="auto"/>
          <w:sz w:val="28"/>
          <w:szCs w:val="28"/>
        </w:rPr>
        <w:t xml:space="preserve">плановых объемов финансирования.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Таким образом, на долю субсидий и иных межбюджетных трансфертов местным бюджетам Новосибирской области в рамках государственных </w:t>
      </w:r>
      <w:r>
        <w:rPr>
          <w:rFonts w:ascii="Times New Roman" w:hAnsi="Times New Roman"/>
          <w:color w:val="auto"/>
          <w:sz w:val="28"/>
          <w:szCs w:val="28"/>
        </w:rPr>
        <w:t xml:space="preserve">программ Новосибирской области пришлось более </w:t>
      </w:r>
      <w:r>
        <w:rPr>
          <w:rFonts w:ascii="Times New Roman" w:hAnsi="Times New Roman"/>
          <w:color w:val="auto"/>
          <w:sz w:val="28"/>
          <w:szCs w:val="28"/>
        </w:rPr>
        <w:t xml:space="preserve">16,9</w:t>
      </w:r>
      <w:r>
        <w:rPr>
          <w:rFonts w:ascii="Times New Roman" w:hAnsi="Times New Roman"/>
          <w:color w:val="auto"/>
          <w:sz w:val="28"/>
          <w:szCs w:val="28"/>
        </w:rPr>
        <w:t xml:space="preserve">% от общего объема фактического финансирования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государственных программ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за счет средств областного и федерального бюджетов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Лиде</w:t>
      </w:r>
      <w:r>
        <w:rPr>
          <w:rFonts w:ascii="Times New Roman" w:hAnsi="Times New Roman"/>
          <w:color w:val="auto"/>
          <w:sz w:val="28"/>
          <w:szCs w:val="28"/>
        </w:rPr>
        <w:t xml:space="preserve">рами</w:t>
      </w:r>
      <w:r>
        <w:rPr>
          <w:rFonts w:ascii="Times New Roman" w:hAnsi="Times New Roman"/>
          <w:color w:val="auto"/>
          <w:sz w:val="28"/>
          <w:szCs w:val="28"/>
        </w:rPr>
        <w:t xml:space="preserve"> по числу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государственных программ Новосибирской</w:t>
      </w:r>
      <w:r>
        <w:rPr>
          <w:rFonts w:ascii="Times New Roman" w:hAnsi="Times New Roman"/>
          <w:color w:val="auto"/>
          <w:sz w:val="28"/>
          <w:szCs w:val="28"/>
        </w:rPr>
        <w:t xml:space="preserve">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,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реализаци</w:t>
      </w:r>
      <w:r>
        <w:rPr>
          <w:rFonts w:ascii="Times New Roman" w:hAnsi="Times New Roman"/>
          <w:color w:val="auto"/>
          <w:sz w:val="28"/>
          <w:szCs w:val="28"/>
        </w:rPr>
        <w:t xml:space="preserve">я</w:t>
      </w:r>
      <w:r>
        <w:rPr>
          <w:rFonts w:ascii="Times New Roman" w:hAnsi="Times New Roman"/>
          <w:color w:val="auto"/>
          <w:sz w:val="28"/>
          <w:szCs w:val="28"/>
        </w:rPr>
        <w:t xml:space="preserve"> которых осуществлялась на территории муниципальных образований при </w:t>
      </w:r>
      <w:r>
        <w:rPr>
          <w:rFonts w:ascii="Times New Roman" w:hAnsi="Times New Roman"/>
          <w:color w:val="auto"/>
          <w:sz w:val="28"/>
          <w:szCs w:val="28"/>
        </w:rPr>
        <w:t xml:space="preserve">предоставлении субсидий и иных межбюджетных трансфертов местным бюджетам</w:t>
      </w:r>
      <w:r>
        <w:rPr>
          <w:rFonts w:ascii="Times New Roman" w:hAnsi="Times New Roman"/>
          <w:color w:val="auto"/>
          <w:sz w:val="28"/>
          <w:szCs w:val="28"/>
        </w:rPr>
        <w:t xml:space="preserve">,</w:t>
      </w:r>
      <w:r>
        <w:rPr>
          <w:rFonts w:ascii="Times New Roman" w:hAnsi="Times New Roman"/>
          <w:color w:val="auto"/>
          <w:sz w:val="28"/>
          <w:szCs w:val="28"/>
        </w:rPr>
        <w:t xml:space="preserve"> стал</w:t>
      </w:r>
      <w:r>
        <w:rPr>
          <w:rFonts w:ascii="Times New Roman" w:hAnsi="Times New Roman"/>
          <w:color w:val="auto"/>
          <w:sz w:val="28"/>
          <w:szCs w:val="28"/>
        </w:rPr>
        <w:t xml:space="preserve">и</w:t>
      </w:r>
      <w:r>
        <w:rPr>
          <w:rFonts w:ascii="Times New Roman" w:hAnsi="Times New Roman"/>
          <w:color w:val="auto"/>
          <w:sz w:val="28"/>
          <w:szCs w:val="28"/>
        </w:rPr>
        <w:t xml:space="preserve"> Баганский, Карасукский, Краснозерский, Куйбышевский, Купинский, Сузунский </w:t>
      </w:r>
      <w:r>
        <w:rPr>
          <w:rFonts w:ascii="Times New Roman" w:hAnsi="Times New Roman"/>
          <w:color w:val="auto"/>
          <w:sz w:val="28"/>
          <w:szCs w:val="28"/>
        </w:rPr>
        <w:t xml:space="preserve">и </w:t>
      </w:r>
      <w:r>
        <w:rPr>
          <w:rFonts w:ascii="Times New Roman" w:hAnsi="Times New Roman"/>
          <w:color w:val="auto"/>
          <w:sz w:val="28"/>
          <w:szCs w:val="28"/>
        </w:rPr>
        <w:t xml:space="preserve">Черепановский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район</w:t>
      </w:r>
      <w:r>
        <w:rPr>
          <w:rFonts w:ascii="Times New Roman" w:hAnsi="Times New Roman"/>
          <w:color w:val="auto"/>
          <w:sz w:val="28"/>
          <w:szCs w:val="28"/>
        </w:rPr>
        <w:t xml:space="preserve">ы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(</w:t>
      </w:r>
      <w:r>
        <w:rPr>
          <w:rFonts w:ascii="Times New Roman" w:hAnsi="Times New Roman"/>
          <w:color w:val="auto"/>
          <w:sz w:val="28"/>
          <w:szCs w:val="28"/>
        </w:rPr>
        <w:t xml:space="preserve">принял</w:t>
      </w:r>
      <w:r>
        <w:rPr>
          <w:rFonts w:ascii="Times New Roman" w:hAnsi="Times New Roman"/>
          <w:color w:val="auto"/>
          <w:sz w:val="28"/>
          <w:szCs w:val="28"/>
        </w:rPr>
        <w:t xml:space="preserve">и</w:t>
      </w:r>
      <w:r>
        <w:rPr>
          <w:rFonts w:ascii="Times New Roman" w:hAnsi="Times New Roman"/>
          <w:color w:val="auto"/>
          <w:sz w:val="28"/>
          <w:szCs w:val="28"/>
        </w:rPr>
        <w:t xml:space="preserve"> участие в </w:t>
      </w:r>
      <w:r>
        <w:rPr>
          <w:rFonts w:ascii="Times New Roman" w:hAnsi="Times New Roman"/>
          <w:color w:val="auto"/>
          <w:sz w:val="28"/>
          <w:szCs w:val="28"/>
        </w:rPr>
        <w:t xml:space="preserve">16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государственных программах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)</w:t>
      </w:r>
      <w:r>
        <w:rPr>
          <w:rFonts w:ascii="Times New Roman" w:hAnsi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Восемь</w:t>
      </w:r>
      <w:r>
        <w:rPr>
          <w:rFonts w:ascii="Times New Roman" w:hAnsi="Times New Roman"/>
          <w:color w:val="auto"/>
          <w:sz w:val="28"/>
          <w:szCs w:val="28"/>
        </w:rPr>
        <w:t xml:space="preserve"> районов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(</w:t>
      </w:r>
      <w:r>
        <w:rPr>
          <w:rFonts w:ascii="Times New Roman" w:hAnsi="Times New Roman"/>
          <w:color w:val="auto"/>
          <w:sz w:val="28"/>
          <w:szCs w:val="28"/>
        </w:rPr>
        <w:t xml:space="preserve">Искитимский</w:t>
      </w:r>
      <w:r>
        <w:rPr>
          <w:rFonts w:ascii="Times New Roman" w:hAnsi="Times New Roman"/>
          <w:color w:val="auto"/>
          <w:sz w:val="28"/>
          <w:szCs w:val="28"/>
        </w:rPr>
        <w:t xml:space="preserve">, Колыванский, Коченевский, Маслянинский, Новосибирский, Ордынский, Татарский, Чулымский</w:t>
      </w:r>
      <w:r>
        <w:rPr>
          <w:rFonts w:ascii="Times New Roman" w:hAnsi="Times New Roman"/>
          <w:color w:val="auto"/>
          <w:sz w:val="28"/>
          <w:szCs w:val="28"/>
        </w:rPr>
        <w:t xml:space="preserve">) </w:t>
      </w:r>
      <w:r>
        <w:rPr>
          <w:rFonts w:ascii="Times New Roman" w:hAnsi="Times New Roman"/>
          <w:color w:val="auto"/>
          <w:sz w:val="28"/>
          <w:szCs w:val="28"/>
        </w:rPr>
        <w:t xml:space="preserve">приняли участие </w:t>
      </w:r>
      <w:r>
        <w:rPr>
          <w:rFonts w:ascii="Times New Roman" w:hAnsi="Times New Roman"/>
          <w:color w:val="auto"/>
          <w:sz w:val="28"/>
          <w:szCs w:val="28"/>
        </w:rPr>
        <w:t xml:space="preserve">в </w:t>
      </w:r>
      <w:r>
        <w:rPr>
          <w:rFonts w:ascii="Times New Roman" w:hAnsi="Times New Roman"/>
          <w:color w:val="auto"/>
          <w:sz w:val="28"/>
          <w:szCs w:val="28"/>
        </w:rPr>
        <w:t xml:space="preserve">15</w:t>
      </w:r>
      <w:r>
        <w:rPr>
          <w:rFonts w:ascii="Times New Roman" w:hAnsi="Times New Roman"/>
          <w:color w:val="auto"/>
          <w:sz w:val="28"/>
          <w:szCs w:val="28"/>
        </w:rPr>
        <w:t xml:space="preserve">-ти</w:t>
      </w:r>
      <w:r>
        <w:rPr>
          <w:rFonts w:ascii="Times New Roman" w:hAnsi="Times New Roman"/>
          <w:color w:val="auto"/>
          <w:sz w:val="28"/>
          <w:szCs w:val="28"/>
        </w:rPr>
        <w:t xml:space="preserve"> государственных программах Новосибирской области. 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Пять районов (Чановский, Мошковский, Кыштовский, Кочковский, Венгеровский</w:t>
      </w:r>
      <w:r>
        <w:rPr>
          <w:rFonts w:ascii="Times New Roman" w:hAnsi="Times New Roman"/>
          <w:color w:val="auto"/>
          <w:sz w:val="28"/>
          <w:szCs w:val="28"/>
        </w:rPr>
        <w:t xml:space="preserve">)  и г. Бердск </w:t>
      </w:r>
      <w:r>
        <w:rPr>
          <w:rFonts w:ascii="Times New Roman" w:hAnsi="Times New Roman"/>
          <w:color w:val="auto"/>
          <w:sz w:val="28"/>
          <w:szCs w:val="28"/>
        </w:rPr>
        <w:t xml:space="preserve">приняли участие в </w:t>
      </w:r>
      <w:r>
        <w:rPr>
          <w:rFonts w:ascii="Times New Roman" w:hAnsi="Times New Roman"/>
          <w:color w:val="auto"/>
          <w:sz w:val="28"/>
          <w:szCs w:val="28"/>
        </w:rPr>
        <w:t xml:space="preserve">14</w:t>
      </w:r>
      <w:r>
        <w:rPr>
          <w:rFonts w:ascii="Times New Roman" w:hAnsi="Times New Roman"/>
          <w:color w:val="auto"/>
          <w:sz w:val="28"/>
          <w:szCs w:val="28"/>
        </w:rPr>
        <w:t xml:space="preserve">-ти государственных программах Новосибирской области.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Шесть районов (</w:t>
      </w:r>
      <w:r>
        <w:rPr>
          <w:rFonts w:ascii="Times New Roman" w:hAnsi="Times New Roman"/>
          <w:color w:val="auto"/>
          <w:sz w:val="28"/>
          <w:szCs w:val="28"/>
        </w:rPr>
        <w:t xml:space="preserve">Барабинский, Болотнинский</w:t>
      </w:r>
      <w:r>
        <w:rPr>
          <w:rFonts w:ascii="Times New Roman" w:hAnsi="Times New Roman"/>
          <w:color w:val="auto"/>
          <w:sz w:val="28"/>
          <w:szCs w:val="28"/>
        </w:rPr>
        <w:t xml:space="preserve">, Доволенский, Здвинский, Убинский, Усть-Тарский</w:t>
      </w:r>
      <w:r>
        <w:rPr>
          <w:rFonts w:ascii="Times New Roman" w:hAnsi="Times New Roman"/>
          <w:color w:val="auto"/>
          <w:sz w:val="28"/>
          <w:szCs w:val="28"/>
        </w:rPr>
        <w:t xml:space="preserve">) </w:t>
      </w:r>
      <w:r>
        <w:rPr>
          <w:rFonts w:ascii="Times New Roman" w:hAnsi="Times New Roman"/>
          <w:color w:val="auto"/>
          <w:sz w:val="28"/>
          <w:szCs w:val="28"/>
        </w:rPr>
        <w:t xml:space="preserve">приняли участие в </w:t>
      </w:r>
      <w:r>
        <w:rPr>
          <w:rFonts w:ascii="Times New Roman" w:hAnsi="Times New Roman"/>
          <w:color w:val="auto"/>
          <w:sz w:val="28"/>
          <w:szCs w:val="28"/>
        </w:rPr>
        <w:t xml:space="preserve">13</w:t>
      </w:r>
      <w:r>
        <w:rPr>
          <w:rFonts w:ascii="Times New Roman" w:hAnsi="Times New Roman"/>
          <w:color w:val="auto"/>
          <w:sz w:val="28"/>
          <w:szCs w:val="28"/>
        </w:rPr>
        <w:t xml:space="preserve">-ти государственных программах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Два района (</w:t>
      </w:r>
      <w:r>
        <w:rPr>
          <w:rFonts w:ascii="Times New Roman" w:hAnsi="Times New Roman"/>
          <w:color w:val="auto"/>
          <w:sz w:val="28"/>
          <w:szCs w:val="28"/>
        </w:rPr>
        <w:t xml:space="preserve">Каргатский,</w:t>
      </w:r>
      <w:r>
        <w:rPr>
          <w:rFonts w:ascii="Times New Roman" w:hAnsi="Times New Roman"/>
          <w:color w:val="auto"/>
          <w:sz w:val="28"/>
          <w:szCs w:val="28"/>
        </w:rPr>
        <w:t xml:space="preserve"> Северный</w:t>
      </w:r>
      <w:r>
        <w:rPr>
          <w:rFonts w:ascii="Times New Roman" w:hAnsi="Times New Roman"/>
          <w:color w:val="auto"/>
          <w:sz w:val="28"/>
          <w:szCs w:val="28"/>
        </w:rPr>
        <w:t xml:space="preserve">), г. </w:t>
      </w:r>
      <w:r>
        <w:rPr>
          <w:rFonts w:ascii="Times New Roman" w:hAnsi="Times New Roman"/>
          <w:color w:val="auto"/>
          <w:sz w:val="28"/>
          <w:szCs w:val="28"/>
        </w:rPr>
        <w:t xml:space="preserve">Искитим</w:t>
      </w:r>
      <w:r>
        <w:rPr>
          <w:rFonts w:ascii="Times New Roman" w:hAnsi="Times New Roman"/>
          <w:color w:val="auto"/>
          <w:sz w:val="28"/>
          <w:szCs w:val="28"/>
        </w:rPr>
        <w:t xml:space="preserve"> и г. Обь </w:t>
      </w:r>
      <w:r>
        <w:rPr>
          <w:rFonts w:ascii="Times New Roman" w:hAnsi="Times New Roman"/>
          <w:color w:val="auto"/>
          <w:sz w:val="28"/>
          <w:szCs w:val="28"/>
        </w:rPr>
        <w:t xml:space="preserve">приняли участие в </w:t>
      </w:r>
      <w:r>
        <w:rPr>
          <w:rFonts w:ascii="Times New Roman" w:hAnsi="Times New Roman"/>
          <w:color w:val="auto"/>
          <w:sz w:val="28"/>
          <w:szCs w:val="28"/>
        </w:rPr>
        <w:t xml:space="preserve">12</w:t>
      </w:r>
      <w:r>
        <w:rPr>
          <w:rFonts w:ascii="Times New Roman" w:hAnsi="Times New Roman"/>
          <w:color w:val="auto"/>
          <w:sz w:val="28"/>
          <w:szCs w:val="28"/>
        </w:rPr>
        <w:t xml:space="preserve">-ти государственных программах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В наименьшем количестве государственных программ Новосибирс</w:t>
      </w:r>
      <w:r>
        <w:rPr>
          <w:rFonts w:ascii="Times New Roman" w:hAnsi="Times New Roman"/>
          <w:color w:val="auto"/>
          <w:sz w:val="28"/>
          <w:szCs w:val="28"/>
        </w:rPr>
        <w:t xml:space="preserve">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 (10</w:t>
      </w:r>
      <w:r>
        <w:rPr>
          <w:rFonts w:ascii="Times New Roman" w:hAnsi="Times New Roman"/>
          <w:color w:val="auto"/>
          <w:sz w:val="28"/>
          <w:szCs w:val="28"/>
        </w:rPr>
        <w:t xml:space="preserve"> единиц)</w:t>
      </w:r>
      <w:r>
        <w:rPr>
          <w:rFonts w:ascii="Times New Roman" w:hAnsi="Times New Roman"/>
          <w:color w:val="auto"/>
          <w:sz w:val="28"/>
          <w:szCs w:val="28"/>
        </w:rPr>
        <w:t xml:space="preserve"> принял участие р.п. Кольцово</w:t>
      </w:r>
      <w:r>
        <w:rPr>
          <w:rFonts w:ascii="Times New Roman" w:hAnsi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Наибольший о</w:t>
      </w:r>
      <w:r>
        <w:rPr>
          <w:rFonts w:ascii="Times New Roman" w:hAnsi="Times New Roman"/>
          <w:color w:val="auto"/>
          <w:sz w:val="28"/>
          <w:szCs w:val="28"/>
        </w:rPr>
        <w:t xml:space="preserve">бъем средств, направленных в отчетном </w:t>
      </w:r>
      <w:r>
        <w:rPr>
          <w:rFonts w:ascii="Times New Roman" w:hAnsi="Times New Roman"/>
          <w:color w:val="auto"/>
          <w:sz w:val="28"/>
          <w:szCs w:val="28"/>
        </w:rPr>
        <w:t xml:space="preserve">году в виде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субсидий и </w:t>
      </w:r>
      <w:r>
        <w:rPr>
          <w:rFonts w:ascii="Times New Roman" w:hAnsi="Times New Roman"/>
          <w:color w:val="auto"/>
          <w:sz w:val="28"/>
          <w:szCs w:val="28"/>
        </w:rPr>
        <w:t xml:space="preserve">иных межбюджетных трансфертов местным бюджетам Новосибирской области, был предусмотрен в рамках пяти</w:t>
      </w:r>
      <w:r>
        <w:rPr>
          <w:rFonts w:ascii="Times New Roman" w:hAnsi="Times New Roman"/>
          <w:color w:val="auto"/>
          <w:sz w:val="28"/>
          <w:szCs w:val="28"/>
        </w:rPr>
        <w:t xml:space="preserve"> государственных программ Новосибирской области, н</w:t>
      </w:r>
      <w:r>
        <w:rPr>
          <w:rFonts w:ascii="Times New Roman" w:hAnsi="Times New Roman"/>
          <w:color w:val="auto"/>
          <w:sz w:val="28"/>
          <w:szCs w:val="28"/>
        </w:rPr>
        <w:t xml:space="preserve">а долю </w:t>
      </w:r>
      <w:r>
        <w:rPr>
          <w:rFonts w:ascii="Times New Roman" w:hAnsi="Times New Roman"/>
          <w:color w:val="auto"/>
          <w:sz w:val="28"/>
          <w:szCs w:val="28"/>
        </w:rPr>
        <w:t xml:space="preserve">которых </w:t>
      </w:r>
      <w:r>
        <w:rPr>
          <w:rFonts w:ascii="Times New Roman" w:hAnsi="Times New Roman"/>
          <w:color w:val="auto"/>
          <w:sz w:val="28"/>
          <w:szCs w:val="28"/>
        </w:rPr>
        <w:t xml:space="preserve">пришлось более </w:t>
      </w:r>
      <w:r>
        <w:rPr>
          <w:rFonts w:ascii="Times New Roman" w:hAnsi="Times New Roman"/>
          <w:color w:val="auto"/>
          <w:sz w:val="28"/>
          <w:szCs w:val="28"/>
        </w:rPr>
        <w:t xml:space="preserve">35,0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</w:t>
      </w:r>
      <w:r>
        <w:rPr>
          <w:rFonts w:ascii="Times New Roman" w:hAnsi="Times New Roman"/>
          <w:color w:val="auto"/>
          <w:sz w:val="28"/>
          <w:szCs w:val="28"/>
        </w:rPr>
        <w:t xml:space="preserve">. (или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88,4</w:t>
      </w:r>
      <w:r>
        <w:rPr>
          <w:rFonts w:ascii="Times New Roman" w:hAnsi="Times New Roman"/>
          <w:color w:val="auto"/>
          <w:sz w:val="28"/>
          <w:szCs w:val="28"/>
        </w:rPr>
        <w:t xml:space="preserve">% от общего объема фактически пред</w:t>
      </w:r>
      <w:r>
        <w:rPr>
          <w:rFonts w:ascii="Times New Roman" w:hAnsi="Times New Roman"/>
          <w:color w:val="auto"/>
          <w:sz w:val="28"/>
          <w:szCs w:val="28"/>
        </w:rPr>
        <w:t xml:space="preserve">о</w:t>
      </w:r>
      <w:r>
        <w:rPr>
          <w:rFonts w:ascii="Times New Roman" w:hAnsi="Times New Roman"/>
          <w:color w:val="auto"/>
          <w:sz w:val="28"/>
          <w:szCs w:val="28"/>
        </w:rPr>
        <w:t xml:space="preserve">ставленных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субсидий и иных межбюджетных трансфертов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местным бюджетам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):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1. </w:t>
      </w:r>
      <w:r>
        <w:rPr>
          <w:rFonts w:ascii="Times New Roman" w:hAnsi="Times New Roman"/>
          <w:color w:val="auto"/>
          <w:sz w:val="28"/>
          <w:szCs w:val="28"/>
        </w:rPr>
        <w:t xml:space="preserve">«</w:t>
      </w:r>
      <w:r>
        <w:rPr>
          <w:rFonts w:ascii="Times New Roman" w:hAnsi="Times New Roman"/>
          <w:color w:val="auto"/>
          <w:sz w:val="28"/>
          <w:szCs w:val="28"/>
        </w:rPr>
        <w:t xml:space="preserve">Управление финансами в </w:t>
      </w:r>
      <w:r>
        <w:rPr>
          <w:rFonts w:ascii="Times New Roman" w:hAnsi="Times New Roman"/>
          <w:color w:val="auto"/>
          <w:sz w:val="28"/>
          <w:szCs w:val="28"/>
        </w:rPr>
        <w:t xml:space="preserve">Нов</w:t>
      </w:r>
      <w:r>
        <w:rPr>
          <w:rFonts w:ascii="Times New Roman" w:hAnsi="Times New Roman"/>
          <w:color w:val="auto"/>
          <w:sz w:val="28"/>
          <w:szCs w:val="28"/>
        </w:rPr>
        <w:t xml:space="preserve">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»</w:t>
      </w:r>
      <w:r>
        <w:rPr>
          <w:rFonts w:ascii="Times New Roman" w:hAnsi="Times New Roman"/>
          <w:color w:val="auto"/>
          <w:sz w:val="28"/>
          <w:szCs w:val="28"/>
        </w:rPr>
        <w:t xml:space="preserve"> (</w:t>
      </w:r>
      <w:r>
        <w:rPr>
          <w:rFonts w:ascii="Times New Roman" w:hAnsi="Times New Roman"/>
          <w:color w:val="auto"/>
          <w:sz w:val="28"/>
          <w:szCs w:val="28"/>
        </w:rPr>
        <w:t xml:space="preserve">порядка </w:t>
      </w:r>
      <w:r>
        <w:rPr>
          <w:rFonts w:ascii="Times New Roman" w:hAnsi="Times New Roman"/>
          <w:color w:val="auto"/>
          <w:sz w:val="28"/>
          <w:szCs w:val="28"/>
        </w:rPr>
        <w:t xml:space="preserve">14,1</w:t>
      </w:r>
      <w:r>
        <w:rPr>
          <w:rFonts w:ascii="Times New Roman" w:hAnsi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руб.)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на</w:t>
      </w:r>
      <w:r>
        <w:rPr>
          <w:rFonts w:ascii="Times New Roman" w:hAnsi="Times New Roman"/>
          <w:color w:val="auto"/>
          <w:sz w:val="28"/>
          <w:szCs w:val="28"/>
        </w:rPr>
        <w:t xml:space="preserve">:</w:t>
      </w:r>
      <w:r>
        <w:rPr>
          <w:color w:val="auto"/>
        </w:rPr>
      </w:r>
    </w:p>
    <w:p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обеспечение сбалансированности местных бюджетов при решении вопросов местного значения;</w:t>
      </w:r>
      <w:r>
        <w:rPr>
          <w:color w:val="auto"/>
        </w:rPr>
      </w:r>
    </w:p>
    <w:p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софинансирование</w:t>
      </w:r>
      <w:r>
        <w:rPr>
          <w:rFonts w:ascii="Times New Roman" w:hAnsi="Times New Roman"/>
          <w:color w:val="auto"/>
          <w:sz w:val="28"/>
          <w:szCs w:val="28"/>
        </w:rPr>
        <w:t xml:space="preserve"> проектов развития территорий городских и сельских поселений Новосибирской области, основанных на местных инициативах, прошедших конкурсный отбор.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2. «Развитие образования, создание условий для социализации детей и учащейся молодежи в Новосиби</w:t>
      </w:r>
      <w:r>
        <w:rPr>
          <w:rFonts w:ascii="Times New Roman" w:hAnsi="Times New Roman"/>
          <w:color w:val="auto"/>
          <w:sz w:val="28"/>
          <w:szCs w:val="28"/>
        </w:rPr>
        <w:t xml:space="preserve">рской области» (более </w:t>
      </w:r>
      <w:r>
        <w:rPr>
          <w:rFonts w:ascii="Times New Roman" w:hAnsi="Times New Roman"/>
          <w:color w:val="auto"/>
          <w:sz w:val="28"/>
          <w:szCs w:val="28"/>
        </w:rPr>
        <w:t xml:space="preserve">7,48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руб.), в том числе на: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ресурсное обеспечение модернизации об</w:t>
      </w:r>
      <w:r>
        <w:rPr>
          <w:rFonts w:ascii="Times New Roman" w:hAnsi="Times New Roman"/>
          <w:color w:val="auto"/>
          <w:sz w:val="28"/>
          <w:szCs w:val="28"/>
        </w:rPr>
        <w:t xml:space="preserve">разования Новосибирской области;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color w:val="auto"/>
          <w:highlight w:val="none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строительство, приобретение, реконструкцию и ремонт зданий образовательных организаций, и зданий муниципальных образовательных организаций и иных организаций, обеспечивающих функционирование системы об</w:t>
      </w:r>
      <w:r>
        <w:rPr>
          <w:rFonts w:ascii="Times New Roman" w:hAnsi="Times New Roman"/>
          <w:color w:val="auto"/>
          <w:sz w:val="28"/>
          <w:szCs w:val="28"/>
        </w:rPr>
        <w:t xml:space="preserve">разования Новосибирской области;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color w:val="auto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color w:val="auto"/>
          <w:sz w:val="28"/>
          <w:szCs w:val="28"/>
          <w:highlight w:val="none"/>
          <w:lang w:val="en-US"/>
        </w:rPr>
        <w:t xml:space="preserve">;</w:t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выявление и поддержку одаренных детей и талантливой учащейся молодежи в Новосибирской области.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</w:t>
      </w:r>
      <w:r>
        <w:rPr>
          <w:rFonts w:ascii="Times New Roman" w:hAnsi="Times New Roman"/>
          <w:color w:val="auto"/>
          <w:sz w:val="28"/>
          <w:szCs w:val="28"/>
        </w:rPr>
        <w:t xml:space="preserve">. «Жилищно-коммунальное хозяйство Новосибирской области» (более </w:t>
      </w:r>
      <w:r>
        <w:rPr>
          <w:rFonts w:ascii="Times New Roman" w:hAnsi="Times New Roman"/>
          <w:color w:val="auto"/>
          <w:sz w:val="28"/>
          <w:szCs w:val="28"/>
        </w:rPr>
        <w:t xml:space="preserve">6,3</w:t>
      </w:r>
      <w:r>
        <w:rPr>
          <w:rFonts w:ascii="Times New Roman" w:hAnsi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руб.) на:</w:t>
      </w:r>
      <w:r>
        <w:rPr>
          <w:color w:val="auto"/>
        </w:rPr>
      </w:r>
    </w:p>
    <w:p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развитие систем газоснабжения, развитие и реконструкцию систем водоснабжения и водоотведения, повышение уровня надежности систем водо-, теплоснабжения и водоотведения;</w:t>
      </w:r>
      <w:r>
        <w:rPr>
          <w:color w:val="auto"/>
        </w:rPr>
      </w:r>
    </w:p>
    <w:p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обеспечение работы объектов жилищно-коммунального хозяйства Новосибирской области в осенне-зимний период, в том числе в части снабжения населения топливом по розничным предельным максимальным ценам;</w:t>
      </w:r>
      <w:r>
        <w:rPr>
          <w:color w:val="auto"/>
        </w:rPr>
      </w:r>
    </w:p>
    <w:p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обеспечение переселения граждан из помещений, признанных аварийными;</w:t>
      </w:r>
      <w:r>
        <w:rPr>
          <w:color w:val="auto"/>
        </w:rPr>
      </w:r>
    </w:p>
    <w:p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благоустройство территорий населенных пунктов, в том числе поддержку муниципальных программ формирования современной городской среды.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</w:t>
      </w:r>
      <w:r>
        <w:rPr>
          <w:rFonts w:ascii="Times New Roman" w:hAnsi="Times New Roman"/>
          <w:color w:val="auto"/>
          <w:sz w:val="28"/>
          <w:szCs w:val="28"/>
        </w:rPr>
        <w:t xml:space="preserve">. «Развитие автомобильных дорог регионального, межмуниципального и местного значения в Новосибирской области» </w:t>
      </w:r>
      <w:r>
        <w:rPr>
          <w:rFonts w:ascii="Times New Roman" w:hAnsi="Times New Roman"/>
          <w:color w:val="auto"/>
          <w:sz w:val="28"/>
          <w:szCs w:val="28"/>
        </w:rPr>
        <w:t xml:space="preserve">(более </w:t>
      </w:r>
      <w:r>
        <w:rPr>
          <w:rFonts w:ascii="Times New Roman" w:hAnsi="Times New Roman"/>
          <w:color w:val="auto"/>
          <w:sz w:val="28"/>
          <w:szCs w:val="28"/>
        </w:rPr>
        <w:t xml:space="preserve">5,5</w:t>
      </w:r>
      <w:r>
        <w:rPr>
          <w:rFonts w:ascii="Times New Roman" w:hAnsi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руб.) на: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строительство, реконструкцию, капитальный ремонт, ремонт и содержание автодорог местного значения и искусственных сооружений</w:t>
      </w:r>
      <w:r>
        <w:rPr>
          <w:rFonts w:ascii="Times New Roman" w:hAnsi="Times New Roman"/>
          <w:color w:val="auto"/>
          <w:sz w:val="28"/>
          <w:szCs w:val="28"/>
        </w:rPr>
        <w:t xml:space="preserve"> на них.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5. </w:t>
      </w:r>
      <w:r>
        <w:rPr>
          <w:rFonts w:ascii="Times New Roman" w:hAnsi="Times New Roman"/>
          <w:color w:val="auto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Развитие физической культуры и спорта в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(более </w:t>
      </w:r>
      <w:r>
        <w:rPr>
          <w:rFonts w:ascii="Times New Roman" w:hAnsi="Times New Roman"/>
          <w:color w:val="auto"/>
          <w:sz w:val="28"/>
          <w:szCs w:val="28"/>
        </w:rPr>
        <w:t xml:space="preserve">1,6</w:t>
      </w:r>
      <w:r>
        <w:rPr>
          <w:rFonts w:ascii="Times New Roman" w:hAnsi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руб.), в том числе на: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с</w:t>
      </w:r>
      <w:r>
        <w:rPr>
          <w:rFonts w:ascii="Times New Roman" w:hAnsi="Times New Roman"/>
          <w:color w:val="auto"/>
          <w:sz w:val="28"/>
          <w:szCs w:val="28"/>
        </w:rPr>
        <w:t xml:space="preserve">троительство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(в том числе, малобюджетное),</w:t>
      </w:r>
      <w:r>
        <w:rPr>
          <w:rFonts w:ascii="Times New Roman" w:hAnsi="Times New Roman"/>
          <w:color w:val="auto"/>
          <w:sz w:val="28"/>
          <w:szCs w:val="28"/>
        </w:rPr>
        <w:t xml:space="preserve"> реконструкцию и ремонт спортивных объектов на территории Новосибирской области;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обеспечение оборудованием и инвентарем спортивных объектов на территории Новосибирской области;</w:t>
      </w:r>
      <w:r>
        <w:rPr>
          <w:color w:val="auto"/>
        </w:rPr>
      </w:r>
    </w:p>
    <w:p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Федерации.</w:t>
      </w:r>
      <w:r>
        <w:rPr>
          <w:color w:val="auto"/>
        </w:rPr>
      </w:r>
    </w:p>
    <w:p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По </w:t>
      </w:r>
      <w:r>
        <w:rPr>
          <w:rFonts w:ascii="Times New Roman" w:hAnsi="Times New Roman"/>
          <w:color w:val="auto"/>
          <w:sz w:val="28"/>
          <w:szCs w:val="28"/>
        </w:rPr>
        <w:t xml:space="preserve">двенадцати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государственным</w:t>
      </w:r>
      <w:r>
        <w:rPr>
          <w:rFonts w:ascii="Times New Roman" w:hAnsi="Times New Roman"/>
          <w:color w:val="auto"/>
          <w:sz w:val="28"/>
          <w:szCs w:val="28"/>
        </w:rPr>
        <w:t xml:space="preserve"> программ</w:t>
      </w:r>
      <w:r>
        <w:rPr>
          <w:rFonts w:ascii="Times New Roman" w:hAnsi="Times New Roman"/>
          <w:color w:val="auto"/>
          <w:sz w:val="28"/>
          <w:szCs w:val="28"/>
        </w:rPr>
        <w:t xml:space="preserve">ам</w:t>
      </w:r>
      <w:r>
        <w:rPr>
          <w:rFonts w:ascii="Times New Roman" w:hAnsi="Times New Roman"/>
          <w:color w:val="auto"/>
          <w:sz w:val="28"/>
          <w:szCs w:val="28"/>
        </w:rPr>
        <w:t xml:space="preserve">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 объем </w:t>
      </w:r>
      <w:r>
        <w:rPr>
          <w:rFonts w:ascii="Times New Roman" w:hAnsi="Times New Roman"/>
          <w:color w:val="auto"/>
          <w:sz w:val="28"/>
          <w:szCs w:val="28"/>
        </w:rPr>
        <w:t xml:space="preserve">представленных субсидий и иных межбюджетных трансфертов </w:t>
      </w:r>
      <w:r>
        <w:rPr>
          <w:rFonts w:ascii="Times New Roman" w:hAnsi="Times New Roman"/>
          <w:color w:val="auto"/>
          <w:sz w:val="28"/>
          <w:szCs w:val="28"/>
        </w:rPr>
        <w:t xml:space="preserve">местным бюджетам Новосибирской области </w:t>
      </w:r>
      <w:r>
        <w:rPr>
          <w:rFonts w:ascii="Times New Roman" w:hAnsi="Times New Roman"/>
          <w:color w:val="auto"/>
          <w:sz w:val="28"/>
          <w:szCs w:val="28"/>
        </w:rPr>
        <w:t xml:space="preserve">варьируется </w:t>
      </w:r>
      <w:r>
        <w:rPr>
          <w:rFonts w:ascii="Times New Roman" w:hAnsi="Times New Roman"/>
          <w:color w:val="auto"/>
          <w:sz w:val="28"/>
          <w:szCs w:val="28"/>
        </w:rPr>
        <w:t xml:space="preserve">от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29 до </w:t>
      </w:r>
      <w:r>
        <w:rPr>
          <w:rFonts w:ascii="Times New Roman" w:hAnsi="Times New Roman"/>
          <w:color w:val="auto"/>
          <w:sz w:val="28"/>
          <w:szCs w:val="28"/>
        </w:rPr>
        <w:t xml:space="preserve">1 097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млн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ру</w:t>
      </w:r>
      <w:r>
        <w:rPr>
          <w:rFonts w:ascii="Times New Roman" w:hAnsi="Times New Roman"/>
          <w:color w:val="auto"/>
          <w:sz w:val="28"/>
          <w:szCs w:val="28"/>
        </w:rPr>
        <w:t xml:space="preserve">б., </w:t>
      </w:r>
      <w:r>
        <w:rPr>
          <w:rFonts w:ascii="Times New Roman" w:hAnsi="Times New Roman"/>
          <w:color w:val="auto"/>
          <w:sz w:val="28"/>
          <w:szCs w:val="28"/>
        </w:rPr>
        <w:t xml:space="preserve">по </w:t>
      </w:r>
      <w:r>
        <w:rPr>
          <w:rFonts w:ascii="Times New Roman" w:hAnsi="Times New Roman"/>
          <w:color w:val="auto"/>
          <w:sz w:val="28"/>
          <w:szCs w:val="28"/>
        </w:rPr>
        <w:t xml:space="preserve">одной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государственной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– </w:t>
      </w:r>
      <w:r>
        <w:rPr>
          <w:rFonts w:ascii="Times New Roman" w:hAnsi="Times New Roman"/>
          <w:color w:val="auto"/>
          <w:sz w:val="28"/>
          <w:szCs w:val="28"/>
        </w:rPr>
        <w:t xml:space="preserve">менее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10 млн</w:t>
      </w:r>
      <w:r>
        <w:rPr>
          <w:rFonts w:ascii="Times New Roman" w:hAnsi="Times New Roman"/>
          <w:color w:val="auto"/>
          <w:sz w:val="28"/>
          <w:szCs w:val="28"/>
        </w:rPr>
        <w:t xml:space="preserve"> рублей</w:t>
      </w:r>
      <w:r>
        <w:rPr>
          <w:rFonts w:ascii="Times New Roman" w:hAnsi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Анализ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объемов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субсидий и иных межбюджетных трансфертов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местным бюджетам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в разрезе муниципальных образований Новосибирской области, получивших субсидии и иные межбюджетные </w:t>
      </w:r>
      <w:r>
        <w:rPr>
          <w:rFonts w:ascii="Times New Roman" w:hAnsi="Times New Roman"/>
          <w:color w:val="auto"/>
          <w:sz w:val="28"/>
          <w:szCs w:val="28"/>
        </w:rPr>
        <w:t xml:space="preserve">трансферты </w:t>
      </w:r>
      <w:r>
        <w:rPr>
          <w:rFonts w:ascii="Times New Roman" w:hAnsi="Times New Roman"/>
          <w:color w:val="auto"/>
          <w:sz w:val="28"/>
          <w:szCs w:val="28"/>
        </w:rPr>
        <w:t xml:space="preserve">в рамках реализации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в </w:t>
      </w:r>
      <w:r>
        <w:rPr>
          <w:rFonts w:ascii="Times New Roman" w:hAnsi="Times New Roman"/>
          <w:color w:val="auto"/>
          <w:sz w:val="28"/>
          <w:szCs w:val="28"/>
        </w:rPr>
        <w:t xml:space="preserve">отчетном</w:t>
      </w:r>
      <w:r>
        <w:rPr>
          <w:rFonts w:ascii="Times New Roman" w:hAnsi="Times New Roman"/>
          <w:color w:val="auto"/>
          <w:sz w:val="28"/>
          <w:szCs w:val="28"/>
        </w:rPr>
        <w:t xml:space="preserve"> году</w:t>
      </w:r>
      <w:r>
        <w:rPr>
          <w:rFonts w:ascii="Times New Roman" w:hAnsi="Times New Roman"/>
          <w:color w:val="auto"/>
          <w:sz w:val="28"/>
          <w:szCs w:val="28"/>
        </w:rPr>
        <w:t xml:space="preserve">,</w:t>
      </w:r>
      <w:r>
        <w:rPr>
          <w:rFonts w:ascii="Times New Roman" w:hAnsi="Times New Roman"/>
          <w:color w:val="auto"/>
          <w:sz w:val="28"/>
          <w:szCs w:val="28"/>
        </w:rPr>
        <w:t xml:space="preserve"> показал следующее.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 структуре расходов на предоставление субсидий и иных межбюджетных трансфертов местным бюдже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там Новосибирской области около 35,3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%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приходится на субсидии, представляемые в рамках государственной программы Но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восибирской области «Управление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финансами в Новосибирской области» на реализацию мероприятий по обеспечению сбалансированности местных бюджетов.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Наибольший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 объем субсидий и иных межбюджетных трансфертов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местным бюджетам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представлен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город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у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Новосибирск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у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,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 который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состави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л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порядка </w:t>
      </w:r>
      <w:r>
        <w:rPr>
          <w:rFonts w:ascii="Times New Roman" w:hAnsi="Times New Roman"/>
          <w:color w:val="auto"/>
          <w:sz w:val="28"/>
          <w:szCs w:val="28"/>
        </w:rPr>
        <w:t xml:space="preserve">12,3</w:t>
      </w:r>
      <w:r>
        <w:rPr>
          <w:rFonts w:ascii="Times New Roman" w:hAnsi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рублей</w:t>
      </w:r>
      <w:r>
        <w:rPr>
          <w:rFonts w:ascii="Times New Roman" w:hAnsi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Общий объем субсидий и иных межбюджетных трансфертов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местным бюджетам Новосибирской области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, представленных </w:t>
      </w:r>
      <w:r>
        <w:rPr>
          <w:rFonts w:ascii="Times New Roman" w:hAnsi="Times New Roman"/>
          <w:color w:val="auto"/>
          <w:sz w:val="28"/>
          <w:szCs w:val="28"/>
        </w:rPr>
        <w:t xml:space="preserve">муниципальным районам и городским округам</w:t>
      </w:r>
      <w:r>
        <w:rPr>
          <w:rFonts w:ascii="Times New Roman" w:hAnsi="Times New Roman"/>
          <w:color w:val="auto"/>
          <w:sz w:val="28"/>
          <w:szCs w:val="28"/>
        </w:rPr>
        <w:t xml:space="preserve"> за исключением г. Новосибирска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,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составил </w:t>
      </w:r>
      <w:r>
        <w:rPr>
          <w:rFonts w:ascii="Times New Roman" w:hAnsi="Times New Roman"/>
          <w:color w:val="auto"/>
          <w:sz w:val="28"/>
          <w:szCs w:val="28"/>
        </w:rPr>
        <w:t xml:space="preserve">более </w:t>
      </w:r>
      <w:r>
        <w:rPr>
          <w:rFonts w:ascii="Times New Roman" w:hAnsi="Times New Roman"/>
          <w:color w:val="auto"/>
          <w:sz w:val="28"/>
          <w:szCs w:val="28"/>
        </w:rPr>
        <w:t xml:space="preserve">27,3</w:t>
      </w:r>
      <w:r>
        <w:rPr>
          <w:rFonts w:ascii="Times New Roman" w:hAnsi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/>
          <w:color w:val="auto"/>
          <w:sz w:val="28"/>
          <w:szCs w:val="28"/>
        </w:rPr>
        <w:t xml:space="preserve"> рублей.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К муниципальным образованиям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, получивши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м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 более 3% субсидий и иных межбюджетных трансфертов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местным бюджетам Новосибирской области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,</w:t>
      </w:r>
      <w:r>
        <w:rPr>
          <w:color w:val="auto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в общем объеме фактически пред</w:t>
      </w:r>
      <w:r>
        <w:rPr>
          <w:rFonts w:ascii="Times New Roman" w:hAnsi="Times New Roman"/>
          <w:color w:val="auto"/>
          <w:sz w:val="28"/>
          <w:szCs w:val="28"/>
        </w:rPr>
        <w:t xml:space="preserve">о</w:t>
      </w:r>
      <w:r>
        <w:rPr>
          <w:rFonts w:ascii="Times New Roman" w:hAnsi="Times New Roman"/>
          <w:color w:val="auto"/>
          <w:sz w:val="28"/>
          <w:szCs w:val="28"/>
        </w:rPr>
        <w:t xml:space="preserve">ставленных субсидий и иных межбюджетных трансфертов</w:t>
      </w:r>
      <w:r>
        <w:rPr>
          <w:rFonts w:ascii="Times New Roman" w:hAnsi="Times New Roman"/>
          <w:color w:val="auto"/>
          <w:sz w:val="28"/>
          <w:szCs w:val="28"/>
        </w:rPr>
        <w:t xml:space="preserve"> местным бюджетам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 в рамках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 (</w:t>
      </w:r>
      <w:r>
        <w:rPr>
          <w:rFonts w:ascii="Times New Roman" w:hAnsi="Times New Roman"/>
          <w:color w:val="auto"/>
          <w:sz w:val="28"/>
          <w:szCs w:val="28"/>
        </w:rPr>
        <w:t xml:space="preserve">за </w:t>
      </w:r>
      <w:r>
        <w:rPr>
          <w:rFonts w:ascii="Times New Roman" w:hAnsi="Times New Roman"/>
          <w:color w:val="auto"/>
          <w:sz w:val="28"/>
          <w:szCs w:val="28"/>
        </w:rPr>
        <w:t xml:space="preserve">исключением </w:t>
      </w:r>
      <w:r>
        <w:rPr>
          <w:rFonts w:ascii="Times New Roman" w:hAnsi="Times New Roman"/>
          <w:color w:val="auto"/>
          <w:sz w:val="28"/>
          <w:szCs w:val="28"/>
        </w:rPr>
        <w:t xml:space="preserve">объ</w:t>
      </w:r>
      <w:r>
        <w:rPr>
          <w:rFonts w:ascii="Times New Roman" w:hAnsi="Times New Roman"/>
          <w:color w:val="auto"/>
          <w:sz w:val="28"/>
          <w:szCs w:val="28"/>
        </w:rPr>
        <w:t xml:space="preserve">ема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 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субсидий и иных межбюджетных трансфертов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бюджету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город</w:t>
      </w:r>
      <w:r>
        <w:rPr>
          <w:rFonts w:ascii="Times New Roman" w:hAnsi="Times New Roman"/>
          <w:color w:val="auto"/>
          <w:sz w:val="28"/>
          <w:szCs w:val="28"/>
        </w:rPr>
        <w:t xml:space="preserve">а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Новосибирск</w:t>
      </w:r>
      <w:r>
        <w:rPr>
          <w:rFonts w:ascii="Times New Roman" w:hAnsi="Times New Roman"/>
          <w:color w:val="auto"/>
          <w:sz w:val="28"/>
          <w:szCs w:val="28"/>
        </w:rPr>
        <w:t xml:space="preserve">а</w:t>
      </w:r>
      <w:r>
        <w:rPr>
          <w:rFonts w:ascii="Times New Roman" w:hAnsi="Times New Roman"/>
          <w:color w:val="auto"/>
          <w:sz w:val="28"/>
          <w:szCs w:val="28"/>
        </w:rPr>
        <w:t xml:space="preserve">)</w:t>
      </w:r>
      <w:r>
        <w:rPr>
          <w:rFonts w:ascii="Times New Roman" w:hAnsi="Times New Roman"/>
          <w:color w:val="auto"/>
          <w:sz w:val="28"/>
          <w:szCs w:val="28"/>
        </w:rPr>
        <w:t xml:space="preserve">, относятся: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1. </w:t>
      </w:r>
      <w:r>
        <w:rPr>
          <w:rFonts w:ascii="Times New Roman" w:hAnsi="Times New Roman"/>
          <w:color w:val="auto"/>
          <w:sz w:val="28"/>
          <w:szCs w:val="28"/>
        </w:rPr>
        <w:t xml:space="preserve">Новосибирский район</w:t>
      </w:r>
      <w:r>
        <w:rPr>
          <w:rFonts w:ascii="Times New Roman" w:hAnsi="Times New Roman"/>
          <w:color w:val="auto"/>
          <w:sz w:val="28"/>
          <w:szCs w:val="28"/>
        </w:rPr>
        <w:t xml:space="preserve"> – </w:t>
      </w:r>
      <w:r>
        <w:rPr>
          <w:rFonts w:ascii="Times New Roman" w:hAnsi="Times New Roman"/>
          <w:color w:val="auto"/>
          <w:sz w:val="28"/>
          <w:szCs w:val="28"/>
        </w:rPr>
        <w:t xml:space="preserve">1</w:t>
      </w:r>
      <w:r>
        <w:rPr>
          <w:rFonts w:ascii="Times New Roman" w:hAnsi="Times New Roman"/>
          <w:color w:val="auto"/>
          <w:sz w:val="28"/>
          <w:szCs w:val="28"/>
        </w:rPr>
        <w:t xml:space="preserve">,65 </w:t>
      </w:r>
      <w:r>
        <w:rPr>
          <w:rFonts w:ascii="Times New Roman" w:hAnsi="Times New Roman"/>
          <w:color w:val="auto"/>
          <w:sz w:val="28"/>
          <w:szCs w:val="28"/>
        </w:rPr>
        <w:t xml:space="preserve">млрд руб.,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2. </w:t>
      </w:r>
      <w:r>
        <w:rPr>
          <w:rFonts w:ascii="Times New Roman" w:hAnsi="Times New Roman"/>
          <w:color w:val="auto"/>
          <w:sz w:val="28"/>
          <w:szCs w:val="28"/>
        </w:rPr>
        <w:t xml:space="preserve">Карасукский район – </w:t>
      </w:r>
      <w:r>
        <w:rPr>
          <w:rFonts w:ascii="Times New Roman" w:hAnsi="Times New Roman"/>
          <w:color w:val="auto"/>
          <w:sz w:val="28"/>
          <w:szCs w:val="28"/>
        </w:rPr>
        <w:t xml:space="preserve">1</w:t>
      </w:r>
      <w:r>
        <w:rPr>
          <w:rFonts w:ascii="Times New Roman" w:hAnsi="Times New Roman"/>
          <w:color w:val="auto"/>
          <w:sz w:val="28"/>
          <w:szCs w:val="28"/>
        </w:rPr>
        <w:t xml:space="preserve">,49 </w:t>
      </w:r>
      <w:r>
        <w:rPr>
          <w:rFonts w:ascii="Times New Roman" w:hAnsi="Times New Roman"/>
          <w:color w:val="auto"/>
          <w:sz w:val="28"/>
          <w:szCs w:val="28"/>
        </w:rPr>
        <w:t xml:space="preserve">млрд руб.,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  <w:highlight w:val="none"/>
          <w:lang w:val="en-US"/>
        </w:rPr>
        <w:t xml:space="preserve">3</w:t>
      </w:r>
      <w:r>
        <w:rPr>
          <w:rFonts w:ascii="Times New Roman" w:hAnsi="Times New Roman"/>
          <w:color w:val="auto"/>
          <w:sz w:val="28"/>
          <w:szCs w:val="28"/>
          <w:highlight w:val="none"/>
          <w:lang w:val="ru-RU"/>
        </w:rPr>
        <w:t xml:space="preserve">. Татарский район </w:t>
      </w:r>
      <w:r>
        <w:rPr>
          <w:rFonts w:ascii="Times New Roman" w:hAnsi="Times New Roman"/>
          <w:color w:val="auto"/>
          <w:sz w:val="28"/>
          <w:szCs w:val="28"/>
        </w:rPr>
        <w:t xml:space="preserve">–</w:t>
      </w:r>
      <w:r>
        <w:rPr>
          <w:rFonts w:ascii="Times New Roman" w:hAnsi="Times New Roman"/>
          <w:color w:val="auto"/>
          <w:sz w:val="28"/>
          <w:szCs w:val="28"/>
          <w:highlight w:val="none"/>
          <w:lang w:val="ru-RU"/>
        </w:rPr>
        <w:t xml:space="preserve"> 1,22 млрд руб.,</w:t>
      </w:r>
      <w:r>
        <w:rPr>
          <w:rFonts w:ascii="Times New Roman" w:hAnsi="Times New Roman"/>
          <w:color w:val="auto"/>
          <w:sz w:val="28"/>
          <w:szCs w:val="28"/>
          <w:highlight w:val="none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 Маслянинский район</w:t>
      </w:r>
      <w:r>
        <w:rPr>
          <w:rFonts w:ascii="Times New Roman" w:hAnsi="Times New Roman"/>
          <w:color w:val="auto"/>
          <w:sz w:val="28"/>
          <w:szCs w:val="28"/>
        </w:rPr>
        <w:t xml:space="preserve"> – </w:t>
      </w:r>
      <w:r>
        <w:rPr>
          <w:rFonts w:ascii="Times New Roman" w:hAnsi="Times New Roman"/>
          <w:color w:val="auto"/>
          <w:sz w:val="28"/>
          <w:szCs w:val="28"/>
        </w:rPr>
        <w:t xml:space="preserve">1</w:t>
      </w:r>
      <w:r>
        <w:rPr>
          <w:rFonts w:ascii="Times New Roman" w:hAnsi="Times New Roman"/>
          <w:color w:val="auto"/>
          <w:sz w:val="28"/>
          <w:szCs w:val="28"/>
        </w:rPr>
        <w:t xml:space="preserve">,2 </w:t>
      </w:r>
      <w:r>
        <w:rPr>
          <w:rFonts w:ascii="Times New Roman" w:hAnsi="Times New Roman"/>
          <w:color w:val="auto"/>
          <w:sz w:val="28"/>
          <w:szCs w:val="28"/>
        </w:rPr>
        <w:t xml:space="preserve">млрд рублей.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К муниципальным образованиям, получившим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 от 3% до 2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%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субсидий и иных межбюджетных трансфертов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местным бюджетам Новосибирской области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,</w:t>
      </w:r>
      <w:r>
        <w:rPr>
          <w:color w:val="auto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в общем объеме фактически предоставленных субсидий и иных межбюджетных трансфертов местным бюджетам Новосибирской области в рамках государственных программ Новосибирской области (за исключением объема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shd w:val="clear" w:color="auto" w:fill="ffffff" w:themeFill="background1"/>
        </w:rPr>
        <w:t xml:space="preserve"> субсидий и иных межбюджетных трансфертов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бюджету </w:t>
      </w:r>
      <w:r>
        <w:rPr>
          <w:rFonts w:ascii="Times New Roman" w:hAnsi="Times New Roman"/>
          <w:color w:val="auto"/>
          <w:sz w:val="28"/>
          <w:szCs w:val="28"/>
        </w:rPr>
        <w:t xml:space="preserve">города Новосибирска), относятся: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1. </w:t>
      </w:r>
      <w:r>
        <w:rPr>
          <w:rFonts w:ascii="Times New Roman" w:hAnsi="Times New Roman"/>
          <w:color w:val="auto"/>
          <w:sz w:val="28"/>
          <w:szCs w:val="28"/>
        </w:rPr>
        <w:t xml:space="preserve">Ордынский</w:t>
      </w:r>
      <w:r>
        <w:rPr>
          <w:rFonts w:ascii="Times New Roman" w:hAnsi="Times New Roman"/>
          <w:color w:val="auto"/>
          <w:sz w:val="28"/>
          <w:szCs w:val="28"/>
        </w:rPr>
        <w:t xml:space="preserve"> район – 1 162,4 </w:t>
      </w:r>
      <w:r>
        <w:rPr>
          <w:rFonts w:ascii="Times New Roman" w:hAnsi="Times New Roman"/>
          <w:color w:val="auto"/>
          <w:sz w:val="28"/>
          <w:szCs w:val="28"/>
        </w:rPr>
        <w:t xml:space="preserve">млн руб.,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2. </w:t>
      </w:r>
      <w:r>
        <w:rPr>
          <w:rFonts w:ascii="Times New Roman" w:hAnsi="Times New Roman"/>
          <w:color w:val="auto"/>
          <w:sz w:val="28"/>
          <w:szCs w:val="28"/>
        </w:rPr>
        <w:t xml:space="preserve">Сузунский </w:t>
      </w:r>
      <w:r>
        <w:rPr>
          <w:rFonts w:ascii="Times New Roman" w:hAnsi="Times New Roman"/>
          <w:color w:val="auto"/>
          <w:sz w:val="28"/>
          <w:szCs w:val="28"/>
        </w:rPr>
        <w:t xml:space="preserve">район – 1 158,9 </w:t>
      </w:r>
      <w:r>
        <w:rPr>
          <w:rFonts w:ascii="Times New Roman" w:hAnsi="Times New Roman"/>
          <w:color w:val="auto"/>
          <w:sz w:val="28"/>
          <w:szCs w:val="28"/>
        </w:rPr>
        <w:t xml:space="preserve">млн руб.</w:t>
      </w:r>
      <w:r>
        <w:rPr>
          <w:rFonts w:ascii="Times New Roman" w:hAnsi="Times New Roman"/>
          <w:color w:val="auto"/>
          <w:sz w:val="28"/>
          <w:szCs w:val="28"/>
        </w:rPr>
        <w:t xml:space="preserve">,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 Куйбышевский </w:t>
      </w:r>
      <w:r>
        <w:rPr>
          <w:rFonts w:ascii="Times New Roman" w:hAnsi="Times New Roman"/>
          <w:color w:val="auto"/>
          <w:sz w:val="28"/>
          <w:szCs w:val="28"/>
        </w:rPr>
        <w:t xml:space="preserve">район – </w:t>
      </w:r>
      <w:r>
        <w:rPr>
          <w:rFonts w:ascii="Times New Roman" w:hAnsi="Times New Roman"/>
          <w:color w:val="auto"/>
          <w:sz w:val="28"/>
          <w:szCs w:val="28"/>
        </w:rPr>
        <w:t xml:space="preserve">1 074,</w:t>
      </w:r>
      <w:r>
        <w:rPr>
          <w:rFonts w:ascii="Times New Roman" w:hAnsi="Times New Roman"/>
          <w:color w:val="auto"/>
          <w:sz w:val="28"/>
          <w:szCs w:val="28"/>
        </w:rPr>
        <w:t xml:space="preserve">4 </w:t>
      </w:r>
      <w:r>
        <w:rPr>
          <w:rFonts w:ascii="Times New Roman" w:hAnsi="Times New Roman"/>
          <w:color w:val="auto"/>
          <w:sz w:val="28"/>
          <w:szCs w:val="28"/>
        </w:rPr>
        <w:t xml:space="preserve">млн руб.,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4. </w:t>
      </w:r>
      <w:r>
        <w:rPr>
          <w:rFonts w:ascii="Times New Roman" w:hAnsi="Times New Roman"/>
          <w:color w:val="auto"/>
          <w:sz w:val="28"/>
          <w:szCs w:val="28"/>
        </w:rPr>
        <w:t xml:space="preserve">Тогучинский</w:t>
      </w:r>
      <w:r>
        <w:rPr>
          <w:rFonts w:ascii="Times New Roman" w:hAnsi="Times New Roman"/>
          <w:color w:val="auto"/>
          <w:sz w:val="28"/>
          <w:szCs w:val="28"/>
        </w:rPr>
        <w:t xml:space="preserve"> район – 1 018,4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млн руб.,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5. </w:t>
      </w:r>
      <w:r>
        <w:rPr>
          <w:rFonts w:ascii="Times New Roman" w:hAnsi="Times New Roman"/>
          <w:color w:val="auto"/>
          <w:sz w:val="28"/>
          <w:szCs w:val="28"/>
        </w:rPr>
        <w:t xml:space="preserve">Краснозерский</w:t>
      </w:r>
      <w:r>
        <w:rPr>
          <w:rFonts w:ascii="Times New Roman" w:hAnsi="Times New Roman"/>
          <w:color w:val="auto"/>
          <w:sz w:val="28"/>
          <w:szCs w:val="28"/>
        </w:rPr>
        <w:t xml:space="preserve"> район – </w:t>
      </w:r>
      <w:r>
        <w:rPr>
          <w:rFonts w:ascii="Times New Roman" w:hAnsi="Times New Roman"/>
          <w:color w:val="auto"/>
          <w:sz w:val="28"/>
          <w:szCs w:val="28"/>
        </w:rPr>
        <w:t xml:space="preserve">1 001</w:t>
      </w:r>
      <w:r>
        <w:rPr>
          <w:rFonts w:ascii="Times New Roman" w:hAnsi="Times New Roman"/>
          <w:color w:val="auto"/>
          <w:sz w:val="28"/>
          <w:szCs w:val="28"/>
        </w:rPr>
        <w:t xml:space="preserve">,1 </w:t>
      </w:r>
      <w:r>
        <w:rPr>
          <w:rFonts w:ascii="Times New Roman" w:hAnsi="Times New Roman"/>
          <w:color w:val="auto"/>
          <w:sz w:val="28"/>
          <w:szCs w:val="28"/>
        </w:rPr>
        <w:t xml:space="preserve">млн руб.,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6. </w:t>
      </w:r>
      <w:r>
        <w:rPr>
          <w:rFonts w:ascii="Times New Roman" w:hAnsi="Times New Roman"/>
          <w:color w:val="auto"/>
          <w:sz w:val="28"/>
          <w:szCs w:val="28"/>
        </w:rPr>
        <w:t xml:space="preserve">Купинский</w:t>
      </w:r>
      <w:r>
        <w:rPr>
          <w:rFonts w:ascii="Times New Roman" w:hAnsi="Times New Roman"/>
          <w:color w:val="auto"/>
          <w:sz w:val="28"/>
          <w:szCs w:val="28"/>
        </w:rPr>
        <w:t xml:space="preserve"> район – </w:t>
      </w:r>
      <w:r>
        <w:rPr>
          <w:rFonts w:ascii="Times New Roman" w:hAnsi="Times New Roman"/>
          <w:color w:val="auto"/>
          <w:sz w:val="28"/>
          <w:szCs w:val="28"/>
        </w:rPr>
        <w:t xml:space="preserve">964,</w:t>
      </w:r>
      <w:r>
        <w:rPr>
          <w:rFonts w:ascii="Times New Roman" w:hAnsi="Times New Roman"/>
          <w:color w:val="auto"/>
          <w:sz w:val="28"/>
          <w:szCs w:val="28"/>
        </w:rPr>
        <w:t xml:space="preserve">2 </w:t>
      </w:r>
      <w:r>
        <w:rPr>
          <w:rFonts w:ascii="Times New Roman" w:hAnsi="Times New Roman"/>
          <w:color w:val="auto"/>
          <w:sz w:val="28"/>
          <w:szCs w:val="28"/>
        </w:rPr>
        <w:t xml:space="preserve">млн руб.,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7. </w:t>
      </w:r>
      <w:r>
        <w:rPr>
          <w:rFonts w:ascii="Times New Roman" w:hAnsi="Times New Roman"/>
          <w:color w:val="auto"/>
          <w:sz w:val="28"/>
          <w:szCs w:val="28"/>
        </w:rPr>
        <w:t xml:space="preserve">Баганский</w:t>
      </w:r>
      <w:r>
        <w:rPr>
          <w:rFonts w:ascii="Times New Roman" w:hAnsi="Times New Roman"/>
          <w:color w:val="auto"/>
          <w:sz w:val="28"/>
          <w:szCs w:val="28"/>
        </w:rPr>
        <w:t xml:space="preserve"> район – </w:t>
      </w:r>
      <w:r>
        <w:rPr>
          <w:rFonts w:ascii="Times New Roman" w:hAnsi="Times New Roman"/>
          <w:color w:val="auto"/>
          <w:sz w:val="28"/>
          <w:szCs w:val="28"/>
        </w:rPr>
        <w:t xml:space="preserve">953,7 </w:t>
      </w:r>
      <w:r>
        <w:rPr>
          <w:rFonts w:ascii="Times New Roman" w:hAnsi="Times New Roman"/>
          <w:color w:val="auto"/>
          <w:sz w:val="28"/>
          <w:szCs w:val="28"/>
        </w:rPr>
        <w:t xml:space="preserve">млн руб.,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8. Мошковский</w:t>
      </w:r>
      <w:r>
        <w:rPr>
          <w:rFonts w:ascii="Times New Roman" w:hAnsi="Times New Roman"/>
          <w:color w:val="auto"/>
          <w:sz w:val="28"/>
          <w:szCs w:val="28"/>
        </w:rPr>
        <w:t xml:space="preserve"> район – </w:t>
      </w:r>
      <w:r>
        <w:rPr>
          <w:rFonts w:ascii="Times New Roman" w:hAnsi="Times New Roman"/>
          <w:color w:val="auto"/>
          <w:sz w:val="28"/>
          <w:szCs w:val="28"/>
        </w:rPr>
        <w:t xml:space="preserve">914,2 </w:t>
      </w:r>
      <w:r>
        <w:rPr>
          <w:rFonts w:ascii="Times New Roman" w:hAnsi="Times New Roman"/>
          <w:color w:val="auto"/>
          <w:sz w:val="28"/>
          <w:szCs w:val="28"/>
        </w:rPr>
        <w:t xml:space="preserve">млн руб.,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9. </w:t>
      </w:r>
      <w:r>
        <w:rPr>
          <w:rFonts w:ascii="Times New Roman" w:hAnsi="Times New Roman"/>
          <w:color w:val="auto"/>
          <w:sz w:val="28"/>
          <w:szCs w:val="28"/>
        </w:rPr>
        <w:t xml:space="preserve">Коченевский</w:t>
      </w:r>
      <w:r>
        <w:rPr>
          <w:rFonts w:ascii="Times New Roman" w:hAnsi="Times New Roman"/>
          <w:color w:val="auto"/>
          <w:sz w:val="28"/>
          <w:szCs w:val="28"/>
        </w:rPr>
        <w:t xml:space="preserve"> район – 899,4 </w:t>
      </w:r>
      <w:r>
        <w:rPr>
          <w:rFonts w:ascii="Times New Roman" w:hAnsi="Times New Roman"/>
          <w:color w:val="auto"/>
          <w:sz w:val="28"/>
          <w:szCs w:val="28"/>
        </w:rPr>
        <w:t xml:space="preserve">млн руб.,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10. Искитимский</w:t>
      </w:r>
      <w:r>
        <w:rPr>
          <w:rFonts w:ascii="Times New Roman" w:hAnsi="Times New Roman"/>
          <w:color w:val="auto"/>
          <w:sz w:val="28"/>
          <w:szCs w:val="28"/>
        </w:rPr>
        <w:t xml:space="preserve"> район – 894,5 </w:t>
      </w:r>
      <w:r>
        <w:rPr>
          <w:rFonts w:ascii="Times New Roman" w:hAnsi="Times New Roman"/>
          <w:color w:val="auto"/>
          <w:sz w:val="28"/>
          <w:szCs w:val="28"/>
        </w:rPr>
        <w:t xml:space="preserve">млн руб.,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11. Барабинский</w:t>
      </w:r>
      <w:r>
        <w:rPr>
          <w:rFonts w:ascii="Times New Roman" w:hAnsi="Times New Roman"/>
          <w:color w:val="auto"/>
          <w:sz w:val="28"/>
          <w:szCs w:val="28"/>
        </w:rPr>
        <w:t xml:space="preserve"> район – </w:t>
      </w:r>
      <w:r>
        <w:rPr>
          <w:rFonts w:ascii="Times New Roman" w:hAnsi="Times New Roman"/>
          <w:color w:val="auto"/>
          <w:sz w:val="28"/>
          <w:szCs w:val="28"/>
        </w:rPr>
        <w:t xml:space="preserve">873,9 </w:t>
      </w:r>
      <w:r>
        <w:rPr>
          <w:rFonts w:ascii="Times New Roman" w:hAnsi="Times New Roman"/>
          <w:color w:val="auto"/>
          <w:sz w:val="28"/>
          <w:szCs w:val="28"/>
        </w:rPr>
        <w:t xml:space="preserve">млн руб.,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12. </w:t>
      </w:r>
      <w:r>
        <w:rPr>
          <w:rFonts w:ascii="Times New Roman" w:hAnsi="Times New Roman"/>
          <w:color w:val="auto"/>
          <w:sz w:val="28"/>
          <w:szCs w:val="28"/>
        </w:rPr>
        <w:t xml:space="preserve">Черепановский</w:t>
      </w:r>
      <w:r>
        <w:rPr>
          <w:rFonts w:ascii="Times New Roman" w:hAnsi="Times New Roman"/>
          <w:color w:val="auto"/>
          <w:sz w:val="28"/>
          <w:szCs w:val="28"/>
        </w:rPr>
        <w:t xml:space="preserve"> район – 838,7 </w:t>
      </w:r>
      <w:r>
        <w:rPr>
          <w:rFonts w:ascii="Times New Roman" w:hAnsi="Times New Roman"/>
          <w:color w:val="auto"/>
          <w:sz w:val="28"/>
          <w:szCs w:val="28"/>
        </w:rPr>
        <w:t xml:space="preserve">млн руб.,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13. Венгеровский район</w:t>
      </w:r>
      <w:r>
        <w:rPr>
          <w:rFonts w:ascii="Times New Roman" w:hAnsi="Times New Roman"/>
          <w:color w:val="auto"/>
          <w:sz w:val="28"/>
          <w:szCs w:val="28"/>
        </w:rPr>
        <w:t xml:space="preserve"> – 796,7 </w:t>
      </w:r>
      <w:r>
        <w:rPr>
          <w:rFonts w:ascii="Times New Roman" w:hAnsi="Times New Roman"/>
          <w:color w:val="auto"/>
          <w:sz w:val="28"/>
          <w:szCs w:val="28"/>
        </w:rPr>
        <w:t xml:space="preserve">млн рублей.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Наименьшая доля </w:t>
      </w:r>
      <w:r>
        <w:rPr>
          <w:rFonts w:ascii="Times New Roman" w:hAnsi="Times New Roman"/>
          <w:color w:val="auto"/>
          <w:sz w:val="28"/>
          <w:szCs w:val="28"/>
        </w:rPr>
        <w:t xml:space="preserve">(менее </w:t>
      </w:r>
      <w:r>
        <w:rPr>
          <w:rFonts w:ascii="Times New Roman" w:hAnsi="Times New Roman"/>
          <w:color w:val="auto"/>
          <w:sz w:val="28"/>
          <w:szCs w:val="28"/>
        </w:rPr>
        <w:t xml:space="preserve">2,0</w:t>
      </w:r>
      <w:r>
        <w:rPr>
          <w:rFonts w:ascii="Times New Roman" w:hAnsi="Times New Roman"/>
          <w:color w:val="auto"/>
          <w:sz w:val="28"/>
          <w:szCs w:val="28"/>
        </w:rPr>
        <w:t xml:space="preserve">%) </w:t>
      </w:r>
      <w:r>
        <w:rPr>
          <w:rFonts w:ascii="Times New Roman" w:hAnsi="Times New Roman"/>
          <w:color w:val="auto"/>
          <w:sz w:val="28"/>
          <w:szCs w:val="28"/>
        </w:rPr>
        <w:t xml:space="preserve">приходится</w:t>
      </w:r>
      <w:r>
        <w:rPr>
          <w:rFonts w:ascii="Times New Roman" w:hAnsi="Times New Roman"/>
          <w:color w:val="auto"/>
          <w:sz w:val="28"/>
          <w:szCs w:val="28"/>
        </w:rPr>
        <w:t xml:space="preserve"> на: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1. </w:t>
      </w:r>
      <w:r>
        <w:rPr>
          <w:rFonts w:ascii="Times New Roman" w:hAnsi="Times New Roman"/>
          <w:color w:val="auto"/>
          <w:sz w:val="28"/>
          <w:szCs w:val="28"/>
        </w:rPr>
        <w:t xml:space="preserve">Болотнинский</w:t>
      </w:r>
      <w:r>
        <w:rPr>
          <w:rFonts w:ascii="Times New Roman" w:hAnsi="Times New Roman"/>
          <w:color w:val="auto"/>
          <w:sz w:val="28"/>
          <w:szCs w:val="28"/>
        </w:rPr>
        <w:t xml:space="preserve"> район – 738,2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млн руб.,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2. г. Бердск</w:t>
      </w:r>
      <w:r>
        <w:rPr>
          <w:rFonts w:ascii="Times New Roman" w:hAnsi="Times New Roman"/>
          <w:color w:val="auto"/>
          <w:sz w:val="28"/>
          <w:szCs w:val="28"/>
        </w:rPr>
        <w:t xml:space="preserve"> – 735,4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млн руб.,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 г. Обь</w:t>
      </w:r>
      <w:r>
        <w:rPr>
          <w:rFonts w:ascii="Times New Roman" w:hAnsi="Times New Roman"/>
          <w:color w:val="auto"/>
          <w:sz w:val="28"/>
          <w:szCs w:val="28"/>
        </w:rPr>
        <w:t xml:space="preserve"> – 681,2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млн руб.,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4. </w:t>
      </w:r>
      <w:r>
        <w:rPr>
          <w:rFonts w:ascii="Times New Roman" w:hAnsi="Times New Roman"/>
          <w:color w:val="auto"/>
          <w:sz w:val="28"/>
          <w:szCs w:val="28"/>
        </w:rPr>
        <w:t xml:space="preserve">Чановский </w:t>
      </w:r>
      <w:r>
        <w:rPr>
          <w:rFonts w:ascii="Times New Roman" w:hAnsi="Times New Roman"/>
          <w:color w:val="auto"/>
          <w:sz w:val="28"/>
          <w:szCs w:val="28"/>
        </w:rPr>
        <w:t xml:space="preserve">район – </w:t>
      </w:r>
      <w:r>
        <w:rPr>
          <w:rFonts w:ascii="Times New Roman" w:hAnsi="Times New Roman"/>
          <w:color w:val="auto"/>
          <w:sz w:val="28"/>
          <w:szCs w:val="28"/>
        </w:rPr>
        <w:t xml:space="preserve">672,0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млн руб.,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5. </w:t>
      </w:r>
      <w:r>
        <w:rPr>
          <w:rFonts w:ascii="Times New Roman" w:hAnsi="Times New Roman"/>
          <w:color w:val="auto"/>
          <w:sz w:val="28"/>
          <w:szCs w:val="28"/>
        </w:rPr>
        <w:t xml:space="preserve">Каргатский</w:t>
      </w:r>
      <w:r>
        <w:rPr>
          <w:rFonts w:ascii="Times New Roman" w:hAnsi="Times New Roman"/>
          <w:color w:val="auto"/>
          <w:sz w:val="28"/>
          <w:szCs w:val="28"/>
        </w:rPr>
        <w:t xml:space="preserve"> район – 642,6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млн руб.,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6. </w:t>
      </w:r>
      <w:r>
        <w:rPr>
          <w:rFonts w:ascii="Times New Roman" w:hAnsi="Times New Roman"/>
          <w:color w:val="auto"/>
          <w:sz w:val="28"/>
          <w:szCs w:val="28"/>
        </w:rPr>
        <w:t xml:space="preserve">Чистоозерный</w:t>
      </w:r>
      <w:r>
        <w:rPr>
          <w:rFonts w:ascii="Times New Roman" w:hAnsi="Times New Roman"/>
          <w:color w:val="auto"/>
          <w:sz w:val="28"/>
          <w:szCs w:val="28"/>
        </w:rPr>
        <w:t xml:space="preserve"> район</w:t>
      </w:r>
      <w:r>
        <w:rPr>
          <w:rFonts w:ascii="Times New Roman" w:hAnsi="Times New Roman"/>
          <w:color w:val="auto"/>
          <w:sz w:val="28"/>
          <w:szCs w:val="28"/>
        </w:rPr>
        <w:t xml:space="preserve"> – </w:t>
      </w:r>
      <w:r>
        <w:rPr>
          <w:rFonts w:ascii="Times New Roman" w:hAnsi="Times New Roman"/>
          <w:color w:val="auto"/>
          <w:sz w:val="28"/>
          <w:szCs w:val="28"/>
        </w:rPr>
        <w:t xml:space="preserve">551,1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млн руб.,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7. </w:t>
      </w:r>
      <w:r>
        <w:rPr>
          <w:rFonts w:ascii="Times New Roman" w:hAnsi="Times New Roman"/>
          <w:color w:val="auto"/>
          <w:sz w:val="28"/>
          <w:szCs w:val="28"/>
        </w:rPr>
        <w:t xml:space="preserve">Кыштовский</w:t>
      </w:r>
      <w:r>
        <w:rPr>
          <w:rFonts w:ascii="Times New Roman" w:hAnsi="Times New Roman"/>
          <w:color w:val="auto"/>
          <w:sz w:val="28"/>
          <w:szCs w:val="28"/>
        </w:rPr>
        <w:t xml:space="preserve"> район – 550,1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млн руб.,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8. Доволенский район – 535,8 </w:t>
      </w:r>
      <w:r>
        <w:rPr>
          <w:rFonts w:ascii="Times New Roman" w:hAnsi="Times New Roman"/>
          <w:color w:val="auto"/>
          <w:sz w:val="28"/>
          <w:szCs w:val="28"/>
        </w:rPr>
        <w:t xml:space="preserve">млн руб.,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9. </w:t>
      </w:r>
      <w:r>
        <w:rPr>
          <w:rFonts w:ascii="Times New Roman" w:hAnsi="Times New Roman"/>
          <w:color w:val="auto"/>
          <w:sz w:val="28"/>
          <w:szCs w:val="28"/>
        </w:rPr>
        <w:t xml:space="preserve">Чулымский</w:t>
      </w:r>
      <w:r>
        <w:rPr>
          <w:rFonts w:ascii="Times New Roman" w:hAnsi="Times New Roman"/>
          <w:color w:val="auto"/>
          <w:sz w:val="28"/>
          <w:szCs w:val="28"/>
        </w:rPr>
        <w:t xml:space="preserve"> райо</w:t>
      </w:r>
      <w:r>
        <w:rPr>
          <w:rFonts w:ascii="Times New Roman" w:hAnsi="Times New Roman"/>
          <w:color w:val="auto"/>
          <w:sz w:val="28"/>
          <w:szCs w:val="28"/>
        </w:rPr>
        <w:t xml:space="preserve">н – </w:t>
      </w:r>
      <w:r>
        <w:rPr>
          <w:rFonts w:ascii="Times New Roman" w:hAnsi="Times New Roman"/>
          <w:color w:val="auto"/>
          <w:sz w:val="28"/>
          <w:szCs w:val="28"/>
        </w:rPr>
        <w:t xml:space="preserve">502,0</w:t>
      </w:r>
      <w:r>
        <w:rPr>
          <w:rFonts w:ascii="Times New Roman" w:hAnsi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/>
          <w:color w:val="auto"/>
          <w:sz w:val="28"/>
          <w:szCs w:val="28"/>
        </w:rPr>
        <w:t xml:space="preserve">млн руб.,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10. </w:t>
      </w:r>
      <w:r>
        <w:rPr>
          <w:rFonts w:ascii="Times New Roman" w:hAnsi="Times New Roman"/>
          <w:color w:val="auto"/>
          <w:sz w:val="28"/>
          <w:szCs w:val="28"/>
        </w:rPr>
        <w:t xml:space="preserve">г.</w:t>
      </w:r>
      <w:r>
        <w:rPr>
          <w:rFonts w:ascii="Times New Roman" w:hAnsi="Times New Roman"/>
          <w:color w:val="auto"/>
          <w:sz w:val="28"/>
          <w:szCs w:val="28"/>
        </w:rPr>
        <w:t xml:space="preserve"> Искитим</w:t>
      </w:r>
      <w:r>
        <w:rPr>
          <w:rFonts w:ascii="Times New Roman" w:hAnsi="Times New Roman"/>
          <w:color w:val="auto"/>
          <w:sz w:val="28"/>
          <w:szCs w:val="28"/>
        </w:rPr>
        <w:t xml:space="preserve"> – </w:t>
      </w:r>
      <w:r>
        <w:rPr>
          <w:rFonts w:ascii="Times New Roman" w:hAnsi="Times New Roman"/>
          <w:color w:val="auto"/>
          <w:sz w:val="28"/>
          <w:szCs w:val="28"/>
        </w:rPr>
        <w:t xml:space="preserve">482,3</w:t>
      </w:r>
      <w:r>
        <w:rPr>
          <w:rFonts w:ascii="Times New Roman" w:hAnsi="Times New Roman"/>
          <w:color w:val="auto"/>
          <w:sz w:val="28"/>
          <w:szCs w:val="28"/>
        </w:rPr>
        <w:t xml:space="preserve"> млн руб.,</w:t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11. Убинский район </w:t>
      </w:r>
      <w:r>
        <w:rPr>
          <w:rFonts w:ascii="Times New Roman" w:hAnsi="Times New Roman"/>
          <w:color w:val="auto"/>
          <w:sz w:val="28"/>
          <w:szCs w:val="28"/>
        </w:rPr>
        <w:t xml:space="preserve">–</w:t>
      </w:r>
      <w:r>
        <w:rPr>
          <w:rFonts w:ascii="Times New Roman" w:hAnsi="Times New Roman"/>
          <w:color w:val="auto"/>
          <w:sz w:val="28"/>
          <w:szCs w:val="28"/>
        </w:rPr>
        <w:t xml:space="preserve"> 476,1 млн руб.,</w:t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12. Колыванский район </w:t>
      </w:r>
      <w:r>
        <w:rPr>
          <w:rFonts w:ascii="Times New Roman" w:hAnsi="Times New Roman"/>
          <w:color w:val="auto"/>
          <w:sz w:val="28"/>
          <w:szCs w:val="28"/>
        </w:rPr>
        <w:t xml:space="preserve">–</w:t>
      </w:r>
      <w:r>
        <w:rPr>
          <w:rFonts w:ascii="Times New Roman" w:hAnsi="Times New Roman"/>
          <w:color w:val="auto"/>
          <w:sz w:val="28"/>
          <w:szCs w:val="28"/>
        </w:rPr>
        <w:t xml:space="preserve"> 475,1 млн руб.,</w:t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13. Здвинский район </w:t>
      </w:r>
      <w:r>
        <w:rPr>
          <w:rFonts w:ascii="Times New Roman" w:hAnsi="Times New Roman"/>
          <w:color w:val="auto"/>
          <w:sz w:val="28"/>
          <w:szCs w:val="28"/>
        </w:rPr>
        <w:t xml:space="preserve">–</w:t>
      </w:r>
      <w:r>
        <w:rPr>
          <w:rFonts w:ascii="Times New Roman" w:hAnsi="Times New Roman"/>
          <w:color w:val="auto"/>
          <w:sz w:val="28"/>
          <w:szCs w:val="28"/>
        </w:rPr>
        <w:t xml:space="preserve"> 438,0 млн руб.,</w:t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14. Кочковский район </w:t>
      </w:r>
      <w:r>
        <w:rPr>
          <w:rFonts w:ascii="Times New Roman" w:hAnsi="Times New Roman"/>
          <w:color w:val="auto"/>
          <w:sz w:val="28"/>
          <w:szCs w:val="28"/>
        </w:rPr>
        <w:t xml:space="preserve">–</w:t>
      </w:r>
      <w:r>
        <w:rPr>
          <w:rFonts w:ascii="Times New Roman" w:hAnsi="Times New Roman"/>
          <w:color w:val="auto"/>
          <w:sz w:val="28"/>
          <w:szCs w:val="28"/>
        </w:rPr>
        <w:t xml:space="preserve"> 434,0 млн руб.,</w:t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15. Северный район </w:t>
      </w:r>
      <w:r>
        <w:rPr>
          <w:rFonts w:ascii="Times New Roman" w:hAnsi="Times New Roman"/>
          <w:color w:val="auto"/>
          <w:sz w:val="28"/>
          <w:szCs w:val="28"/>
        </w:rPr>
        <w:t xml:space="preserve">–</w:t>
      </w:r>
      <w:r>
        <w:rPr>
          <w:rFonts w:ascii="Times New Roman" w:hAnsi="Times New Roman"/>
          <w:color w:val="auto"/>
          <w:sz w:val="28"/>
          <w:szCs w:val="28"/>
        </w:rPr>
        <w:t xml:space="preserve"> 408,9 млн руб.,</w:t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16. р.п. Кольцово </w:t>
      </w:r>
      <w:r>
        <w:rPr>
          <w:rFonts w:ascii="Times New Roman" w:hAnsi="Times New Roman"/>
          <w:color w:val="auto"/>
          <w:sz w:val="28"/>
          <w:szCs w:val="28"/>
        </w:rPr>
        <w:t xml:space="preserve">–</w:t>
      </w:r>
      <w:r>
        <w:rPr>
          <w:rFonts w:ascii="Times New Roman" w:hAnsi="Times New Roman"/>
          <w:color w:val="auto"/>
          <w:sz w:val="28"/>
          <w:szCs w:val="28"/>
        </w:rPr>
        <w:t xml:space="preserve"> 395,7 млн руб.,</w:t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17. Усть-Таркский район </w:t>
      </w:r>
      <w:r>
        <w:rPr>
          <w:rFonts w:ascii="Times New Roman" w:hAnsi="Times New Roman"/>
          <w:color w:val="auto"/>
          <w:sz w:val="28"/>
          <w:szCs w:val="28"/>
        </w:rPr>
        <w:t xml:space="preserve">–</w:t>
      </w:r>
      <w:r>
        <w:rPr>
          <w:rFonts w:ascii="Times New Roman" w:hAnsi="Times New Roman"/>
          <w:color w:val="auto"/>
          <w:sz w:val="28"/>
          <w:szCs w:val="28"/>
        </w:rPr>
        <w:t xml:space="preserve"> 371,1 млн рублей.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Сведения в разрезе муниципальных образований, на территории которых реализовывались мероприятия государственных программ Новосибирской области за счет пред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ставления субсидий и иных межбюджетных трансфертов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местным бюджетам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приведены в приложении № 3 Сводному докладу.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</w:rPr>
      </w: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</w:rPr>
        <w:t xml:space="preserve">4. Основные сведения о 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</w:rPr>
        <w:t xml:space="preserve">финансировании реализации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</w:rPr>
        <w:t xml:space="preserve"> наказов избирателей депутатам Законодательного Собрания Новосибирской области в рамках государственных программ Новосибирской области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В рамках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15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государственных программ Новосибирской области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в 2022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 году объем бюджетных ассигнований, направленных на реализацию наказов избирателей депутатам Законодательного Собрания Новосибир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ской области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составил порядка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12,0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млрд рублей.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На дол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ю областного бюджета пришлось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62,3%,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федерального бюджета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–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35,4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%, местных бюджетов – 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2,3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 процента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Наибольшие объемы финансирования приходя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тся на 3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государственные программ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ы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Новосибирской области: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1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. «Развитие автомобильных дорог регионального, межмуниципального и местного значен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ия в Новосибирской области» (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3,9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 млрд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 руб.);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2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. «Развитие здравоохранения Новосиб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ирской области» (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3,6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 млрд 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руб.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);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3. «Жилищно-</w:t>
      </w:r>
      <w:r>
        <w:rPr>
          <w:rFonts w:ascii="Times New Roman" w:hAnsi="Times New Roman" w:eastAsia="Times New Roman" w:cs="Calibri Light"/>
          <w:color w:val="auto"/>
          <w:sz w:val="28"/>
          <w:szCs w:val="28"/>
        </w:rPr>
        <w:t xml:space="preserve">коммунальное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 w:cs="Calibri Light"/>
          <w:color w:val="auto"/>
          <w:sz w:val="28"/>
          <w:szCs w:val="28"/>
        </w:rPr>
        <w:t xml:space="preserve">хозяйство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 w:cs="Calibri Light"/>
          <w:color w:val="auto"/>
          <w:sz w:val="28"/>
          <w:szCs w:val="28"/>
        </w:rPr>
        <w:t xml:space="preserve">Новосибирской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 w:cs="Calibri Light"/>
          <w:color w:val="auto"/>
          <w:sz w:val="28"/>
          <w:szCs w:val="28"/>
        </w:rPr>
        <w:t xml:space="preserve">области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» (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1,4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 млрд рублей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).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Сведения о финансировании реализации наказов избирателей депутатам Законодательного Собрания Новосибирской области в рамках государственных программ Новосибирской области приведены в приложении № 4 к Сводному докладу.</w:t>
      </w:r>
      <w:r>
        <w:rPr>
          <w:color w:val="auto"/>
        </w:rPr>
      </w: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</w:rPr>
        <w:br w:type="page" w:clear="all"/>
      </w:r>
      <w:r>
        <w:rPr>
          <w:color w:val="auto"/>
        </w:rPr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. Основные сведения об оценке эффективности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color w:val="auto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Оценка эффектив</w:t>
      </w:r>
      <w:r>
        <w:rPr>
          <w:rFonts w:ascii="Times New Roman" w:hAnsi="Times New Roman"/>
          <w:color w:val="auto"/>
          <w:sz w:val="28"/>
          <w:szCs w:val="28"/>
        </w:rPr>
        <w:t xml:space="preserve">ности реализации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 за </w:t>
      </w:r>
      <w:r>
        <w:rPr>
          <w:rFonts w:ascii="Times New Roman" w:hAnsi="Times New Roman"/>
          <w:color w:val="auto"/>
          <w:sz w:val="28"/>
          <w:szCs w:val="28"/>
        </w:rPr>
        <w:t xml:space="preserve">отчетный</w:t>
      </w:r>
      <w:r>
        <w:rPr>
          <w:rFonts w:ascii="Times New Roman" w:hAnsi="Times New Roman"/>
          <w:color w:val="auto"/>
          <w:sz w:val="28"/>
          <w:szCs w:val="28"/>
        </w:rPr>
        <w:t xml:space="preserve"> год осуществлена на основании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Порядка принятия решений о разработке государственных программ Новосибирской области, а также формирования и реализации указанных программ, утвержденного постановлением Правительства Новосибирской области от 28.03.2014 № 125-п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(далее – Порядок)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>
        <w:rPr>
          <w:rFonts w:ascii="Times New Roman" w:hAnsi="Times New Roman"/>
          <w:color w:val="auto"/>
          <w:sz w:val="28"/>
          <w:szCs w:val="28"/>
        </w:rPr>
        <w:t xml:space="preserve">и </w:t>
      </w:r>
      <w:r>
        <w:rPr>
          <w:rFonts w:ascii="Times New Roman" w:hAnsi="Times New Roman"/>
          <w:color w:val="auto"/>
          <w:sz w:val="28"/>
          <w:szCs w:val="28"/>
        </w:rPr>
        <w:t xml:space="preserve">методических указаний</w:t>
      </w:r>
      <w:r>
        <w:rPr>
          <w:rFonts w:ascii="Times New Roman" w:hAnsi="Times New Roman"/>
          <w:color w:val="auto"/>
          <w:sz w:val="28"/>
          <w:szCs w:val="28"/>
        </w:rPr>
        <w:t xml:space="preserve"> по разработке и реализации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, утвержденных приказом Минэкономразвития НСО от 29.12.2017 № 154.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Эффективность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 оценивается показателем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интегральной оценки эффективности.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По итогам 2022 </w:t>
      </w:r>
      <w:r>
        <w:rPr>
          <w:rFonts w:ascii="Times New Roman" w:hAnsi="Times New Roman"/>
          <w:color w:val="auto"/>
          <w:sz w:val="28"/>
          <w:szCs w:val="28"/>
        </w:rPr>
        <w:t xml:space="preserve">года</w:t>
      </w:r>
      <w:r>
        <w:rPr>
          <w:rFonts w:ascii="Times New Roman" w:hAnsi="Times New Roman"/>
          <w:color w:val="auto"/>
          <w:sz w:val="28"/>
          <w:szCs w:val="28"/>
        </w:rPr>
        <w:t xml:space="preserve"> о</w:t>
      </w:r>
      <w:r>
        <w:rPr>
          <w:rFonts w:ascii="Times New Roman" w:hAnsi="Times New Roman"/>
          <w:color w:val="auto"/>
          <w:sz w:val="28"/>
          <w:szCs w:val="28"/>
        </w:rPr>
        <w:t xml:space="preserve">пределение степени</w:t>
      </w:r>
      <w:r>
        <w:rPr>
          <w:rFonts w:ascii="Times New Roman" w:hAnsi="Times New Roman"/>
          <w:color w:val="auto"/>
          <w:sz w:val="28"/>
          <w:szCs w:val="28"/>
        </w:rPr>
        <w:t xml:space="preserve"> эффективности реализации каждой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государственной</w:t>
      </w:r>
      <w:r>
        <w:rPr>
          <w:rFonts w:ascii="Times New Roman" w:hAnsi="Times New Roman"/>
          <w:color w:val="auto"/>
          <w:sz w:val="28"/>
          <w:szCs w:val="28"/>
        </w:rPr>
        <w:t xml:space="preserve"> программ</w:t>
      </w:r>
      <w:r>
        <w:rPr>
          <w:rFonts w:ascii="Times New Roman" w:hAnsi="Times New Roman"/>
          <w:color w:val="auto"/>
          <w:sz w:val="28"/>
          <w:szCs w:val="28"/>
        </w:rPr>
        <w:t xml:space="preserve">ы</w:t>
      </w:r>
      <w:r>
        <w:rPr>
          <w:rFonts w:ascii="Times New Roman" w:hAnsi="Times New Roman"/>
          <w:color w:val="auto"/>
          <w:sz w:val="28"/>
          <w:szCs w:val="28"/>
        </w:rPr>
        <w:t xml:space="preserve">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осуществляется </w:t>
      </w:r>
      <w:r>
        <w:rPr>
          <w:rFonts w:ascii="Times New Roman" w:hAnsi="Times New Roman"/>
          <w:color w:val="auto"/>
          <w:sz w:val="28"/>
          <w:szCs w:val="28"/>
        </w:rPr>
        <w:t xml:space="preserve">на основании </w:t>
      </w:r>
      <w:r>
        <w:rPr>
          <w:rFonts w:ascii="Times New Roman" w:hAnsi="Times New Roman"/>
          <w:color w:val="auto"/>
          <w:sz w:val="28"/>
          <w:szCs w:val="28"/>
        </w:rPr>
        <w:t xml:space="preserve">следующих</w:t>
      </w:r>
      <w:r>
        <w:rPr>
          <w:rFonts w:ascii="Times New Roman" w:hAnsi="Times New Roman"/>
          <w:color w:val="auto"/>
          <w:sz w:val="28"/>
          <w:szCs w:val="28"/>
        </w:rPr>
        <w:t xml:space="preserve"> критериев и рассчитывается поэтапно</w:t>
      </w:r>
      <w:r>
        <w:rPr>
          <w:rFonts w:ascii="Times New Roman" w:hAnsi="Times New Roman"/>
          <w:color w:val="auto"/>
          <w:sz w:val="28"/>
          <w:szCs w:val="28"/>
        </w:rPr>
        <w:t xml:space="preserve">: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1) определяется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уровень достижения установленных значений целевых индикаторов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(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как отношение фактически достигнутого значения целевого индикатора к его плановому значению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(с учетом базового значения) </w:t>
      </w:r>
      <w:r>
        <w:rPr>
          <w:rFonts w:ascii="Times New Roman" w:hAnsi="Times New Roman"/>
          <w:color w:val="auto"/>
          <w:sz w:val="28"/>
          <w:szCs w:val="28"/>
        </w:rPr>
        <w:t xml:space="preserve">в соотношении с</w:t>
      </w:r>
      <w:r>
        <w:rPr>
          <w:rFonts w:ascii="Times New Roman" w:hAnsi="Times New Roman"/>
          <w:color w:val="auto"/>
          <w:sz w:val="28"/>
          <w:szCs w:val="28"/>
        </w:rPr>
        <w:t xml:space="preserve"> присвоенным</w:t>
      </w:r>
      <w:r>
        <w:rPr>
          <w:rFonts w:ascii="Times New Roman" w:hAnsi="Times New Roman"/>
          <w:color w:val="auto"/>
          <w:sz w:val="28"/>
          <w:szCs w:val="28"/>
        </w:rPr>
        <w:t xml:space="preserve"> весовым</w:t>
      </w:r>
      <w:r>
        <w:rPr>
          <w:rFonts w:ascii="Times New Roman" w:hAnsi="Times New Roman"/>
          <w:color w:val="auto"/>
          <w:sz w:val="28"/>
          <w:szCs w:val="28"/>
        </w:rPr>
        <w:t xml:space="preserve"> коэффициенто</w:t>
      </w:r>
      <w:r>
        <w:rPr>
          <w:rFonts w:ascii="Times New Roman" w:hAnsi="Times New Roman"/>
          <w:color w:val="auto"/>
          <w:sz w:val="28"/>
          <w:szCs w:val="28"/>
        </w:rPr>
        <w:t xml:space="preserve">м</w:t>
      </w:r>
      <w:r>
        <w:rPr>
          <w:rFonts w:ascii="Times New Roman" w:hAnsi="Times New Roman"/>
          <w:color w:val="auto"/>
          <w:sz w:val="28"/>
          <w:szCs w:val="28"/>
        </w:rPr>
        <w:t xml:space="preserve">);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2) определяется уровень результативности </w:t>
      </w:r>
      <w:r>
        <w:rPr>
          <w:rFonts w:ascii="Times New Roman" w:hAnsi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/>
          <w:color w:val="auto"/>
          <w:sz w:val="28"/>
          <w:szCs w:val="28"/>
        </w:rPr>
        <w:t xml:space="preserve"> как сумма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уровней достижения установленных значений всех целевых индикаторов</w:t>
      </w:r>
      <w:r>
        <w:rPr>
          <w:rFonts w:ascii="Times New Roman" w:hAnsi="Times New Roman"/>
          <w:color w:val="auto"/>
          <w:sz w:val="28"/>
          <w:szCs w:val="28"/>
        </w:rPr>
        <w:t xml:space="preserve">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3) рассчитывается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уровень финансового обеспечения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4)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интегральная оценка эффективности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рассчитывается как отношение уровня результативности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к уровню финансового обеспечения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государственных программ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с учетом уровня исполнения мероприятий, привлечения средств федерального бюджета и внебюджетных источников, а также корректируется на коэффициент эффективности управления государственной программой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 случае, если численное значение интегральной оценки эффективности превышает 0,8,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государственная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признается эффективной, находится в диапазоне от 0,5 до 0,8 – недостаточно эффективной, ниже 0,5 –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неэффективной.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По результатам оценки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ка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 и 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2021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году,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реализация всех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33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государственны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программ Новосибирской области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за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2022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год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признан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эффективн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(в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2020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 году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все реализуемые государственные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ы также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были признаны эффективными)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Результаты оценки эффективности государственных программ Новосибирской области приведены в приложении № 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5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к Сводному докладу.</w:t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color w:val="auto"/>
        </w:rPr>
      </w:r>
    </w:p>
    <w:p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________</w:t>
      </w:r>
      <w:r>
        <w:rPr>
          <w:color w:val="auto"/>
        </w:rPr>
      </w:r>
    </w:p>
    <w:sectPr>
      <w:footnotePr/>
      <w:endnotePr/>
      <w:type w:val="nextPage"/>
      <w:pgSz w:w="11906" w:h="16838" w:orient="portrait"/>
      <w:pgMar w:top="851" w:right="851" w:bottom="993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</w:font>
  <w:font w:name="Calibri">
    <w:panose1 w:val="020F0502020204030204"/>
  </w:font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765377823"/>
      <w:docPartObj>
        <w:docPartGallery w:val="Page Numbers (Top of Page)"/>
        <w:docPartUnique w:val="true"/>
      </w:docPartObj>
      <w:rPr/>
    </w:sdtPr>
    <w:sdtContent>
      <w:p>
        <w:pPr>
          <w:pStyle w:val="874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 xml:space="preserve">14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2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2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tabs>
          <w:tab w:val="num" w:pos="720" w:leader="none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tabs>
          <w:tab w:val="num" w:pos="1440" w:leader="none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tabs>
          <w:tab w:val="num" w:pos="2160" w:leader="none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tabs>
          <w:tab w:val="num" w:pos="2880" w:leader="none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tabs>
          <w:tab w:val="num" w:pos="3600" w:leader="none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tabs>
          <w:tab w:val="num" w:pos="4320" w:leader="none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tabs>
          <w:tab w:val="num" w:pos="5040" w:leader="none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tabs>
          <w:tab w:val="num" w:pos="5760" w:leader="none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tabs>
          <w:tab w:val="num" w:pos="6480" w:leader="none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tabs>
          <w:tab w:val="num" w:pos="720" w:leader="none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tabs>
          <w:tab w:val="num" w:pos="1440" w:leader="none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tabs>
          <w:tab w:val="num" w:pos="2160" w:leader="none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tabs>
          <w:tab w:val="num" w:pos="2880" w:leader="none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tabs>
          <w:tab w:val="num" w:pos="3600" w:leader="none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tabs>
          <w:tab w:val="num" w:pos="4320" w:leader="none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tabs>
          <w:tab w:val="num" w:pos="5040" w:leader="none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tabs>
          <w:tab w:val="num" w:pos="5760" w:leader="none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tabs>
          <w:tab w:val="num" w:pos="6480" w:leader="none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1084" w:hanging="375"/>
      </w:pPr>
      <w:rPr>
        <w:rFonts w:hint="default"/>
        <w:b/>
        <w:i w:val="0"/>
      </w:rPr>
    </w:lvl>
    <w:lvl w:ilvl="2">
      <w:start w:val="1"/>
      <w:numFmt w:val="decimal"/>
      <w:isLgl/>
      <w:suff w:val="tab"/>
      <w:lvlText w:val="%1.%2.%3"/>
      <w:lvlJc w:val="left"/>
      <w:pPr>
        <w:ind w:left="1778" w:hanging="720"/>
      </w:pPr>
      <w:rPr>
        <w:rFonts w:hint="default"/>
        <w:b/>
        <w:i w:val="0"/>
      </w:rPr>
    </w:lvl>
    <w:lvl w:ilvl="3">
      <w:start w:val="1"/>
      <w:numFmt w:val="decimal"/>
      <w:isLgl/>
      <w:suff w:val="tab"/>
      <w:lvlText w:val="%1.%2.%3.%4"/>
      <w:lvlJc w:val="left"/>
      <w:pPr>
        <w:ind w:left="2487" w:hanging="1080"/>
      </w:pPr>
      <w:rPr>
        <w:rFonts w:hint="default"/>
        <w:b/>
        <w:i w:val="0"/>
      </w:rPr>
    </w:lvl>
    <w:lvl w:ilvl="4">
      <w:start w:val="1"/>
      <w:numFmt w:val="decimal"/>
      <w:isLgl/>
      <w:suff w:val="tab"/>
      <w:lvlText w:val="%1.%2.%3.%4.%5"/>
      <w:lvlJc w:val="left"/>
      <w:pPr>
        <w:ind w:left="2836" w:hanging="1080"/>
      </w:pPr>
      <w:rPr>
        <w:rFonts w:hint="default"/>
        <w:b/>
        <w:i w:val="0"/>
      </w:rPr>
    </w:lvl>
    <w:lvl w:ilvl="5">
      <w:start w:val="1"/>
      <w:numFmt w:val="decimal"/>
      <w:isLgl/>
      <w:suff w:val="tab"/>
      <w:lvlText w:val="%1.%2.%3.%4.%5.%6"/>
      <w:lvlJc w:val="left"/>
      <w:pPr>
        <w:ind w:left="3545" w:hanging="1440"/>
      </w:pPr>
      <w:rPr>
        <w:rFonts w:hint="default"/>
        <w:b/>
        <w:i w:val="0"/>
      </w:rPr>
    </w:lvl>
    <w:lvl w:ilvl="6">
      <w:start w:val="1"/>
      <w:numFmt w:val="decimal"/>
      <w:isLgl/>
      <w:suff w:val="tab"/>
      <w:lvlText w:val="%1.%2.%3.%4.%5.%6.%7"/>
      <w:lvlJc w:val="left"/>
      <w:pPr>
        <w:ind w:left="3894" w:hanging="1440"/>
      </w:pPr>
      <w:rPr>
        <w:rFonts w:hint="default"/>
        <w:b/>
        <w:i w:val="0"/>
      </w:rPr>
    </w:lvl>
    <w:lvl w:ilvl="7">
      <w:start w:val="1"/>
      <w:numFmt w:val="decimal"/>
      <w:isLgl/>
      <w:suff w:val="tab"/>
      <w:lvlText w:val="%1.%2.%3.%4.%5.%6.%7.%8"/>
      <w:lvlJc w:val="left"/>
      <w:pPr>
        <w:ind w:left="4603" w:hanging="1800"/>
      </w:pPr>
      <w:rPr>
        <w:rFonts w:hint="default"/>
        <w:b/>
        <w:i w:val="0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5312" w:hanging="2160"/>
      </w:pPr>
      <w:rPr>
        <w:rFonts w:hint="default"/>
        <w:b/>
        <w:i w:val="0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2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2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tabs>
          <w:tab w:val="num" w:pos="720" w:leader="none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tabs>
          <w:tab w:val="num" w:pos="1440" w:leader="none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tabs>
          <w:tab w:val="num" w:pos="2160" w:leader="none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tabs>
          <w:tab w:val="num" w:pos="2880" w:leader="none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tabs>
          <w:tab w:val="num" w:pos="3600" w:leader="none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tabs>
          <w:tab w:val="num" w:pos="4320" w:leader="none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tabs>
          <w:tab w:val="num" w:pos="5040" w:leader="none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tabs>
          <w:tab w:val="num" w:pos="5760" w:leader="none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tabs>
          <w:tab w:val="num" w:pos="6480" w:leader="none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tabs>
          <w:tab w:val="num" w:pos="720" w:leader="none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tabs>
          <w:tab w:val="num" w:pos="1440" w:leader="none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tabs>
          <w:tab w:val="num" w:pos="2160" w:leader="none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tabs>
          <w:tab w:val="num" w:pos="2880" w:leader="none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tabs>
          <w:tab w:val="num" w:pos="3600" w:leader="none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tabs>
          <w:tab w:val="num" w:pos="4320" w:leader="none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tabs>
          <w:tab w:val="num" w:pos="5040" w:leader="none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tabs>
          <w:tab w:val="num" w:pos="5760" w:leader="none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tabs>
          <w:tab w:val="num" w:pos="6480" w:leader="none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5"/>
  </w:num>
  <w:num w:numId="2">
    <w:abstractNumId w:val="14"/>
  </w:num>
  <w:num w:numId="3">
    <w:abstractNumId w:val="2"/>
  </w:num>
  <w:num w:numId="4">
    <w:abstractNumId w:val="13"/>
  </w:num>
  <w:num w:numId="5">
    <w:abstractNumId w:val="4"/>
  </w:num>
  <w:num w:numId="6">
    <w:abstractNumId w:val="17"/>
  </w:num>
  <w:num w:numId="7">
    <w:abstractNumId w:val="18"/>
  </w:num>
  <w:num w:numId="8">
    <w:abstractNumId w:val="11"/>
  </w:num>
  <w:num w:numId="9">
    <w:abstractNumId w:val="12"/>
  </w:num>
  <w:num w:numId="10">
    <w:abstractNumId w:val="16"/>
  </w:num>
  <w:num w:numId="11">
    <w:abstractNumId w:val="6"/>
  </w:num>
  <w:num w:numId="12">
    <w:abstractNumId w:val="0"/>
  </w:num>
  <w:num w:numId="13">
    <w:abstractNumId w:val="15"/>
  </w:num>
  <w:num w:numId="14">
    <w:abstractNumId w:val="3"/>
  </w:num>
  <w:num w:numId="15">
    <w:abstractNumId w:val="8"/>
  </w:num>
  <w:num w:numId="16">
    <w:abstractNumId w:val="1"/>
  </w:num>
  <w:num w:numId="17">
    <w:abstractNumId w:val="7"/>
  </w:num>
  <w:num w:numId="18">
    <w:abstractNumId w:val="10"/>
  </w:num>
  <w:num w:numId="19">
    <w:abstractNumId w:val="7"/>
  </w:num>
  <w:num w:numId="20">
    <w:abstractNumId w:val="9"/>
  </w:num>
  <w:num w:numId="21">
    <w:abstractNumId w:val="3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1"/>
        <w:szCs w:val="21"/>
        <w:lang w:val="ru-RU" w:eastAsia="en-US" w:bidi="ar-SA"/>
      </w:rPr>
    </w:rPrDefault>
    <w:pPrDefault>
      <w:pPr>
        <w:spacing w:before="0" w:beforeAutospacing="0" w:after="200" w:afterAutospacing="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7">
    <w:name w:val="Heading 1 Char"/>
    <w:basedOn w:val="860"/>
    <w:link w:val="851"/>
    <w:uiPriority w:val="9"/>
    <w:rPr>
      <w:rFonts w:ascii="Arial" w:hAnsi="Arial" w:eastAsia="Arial" w:cs="Arial"/>
      <w:sz w:val="40"/>
      <w:szCs w:val="40"/>
    </w:rPr>
  </w:style>
  <w:style w:type="character" w:styleId="698">
    <w:name w:val="Heading 2 Char"/>
    <w:basedOn w:val="860"/>
    <w:link w:val="852"/>
    <w:uiPriority w:val="9"/>
    <w:rPr>
      <w:rFonts w:ascii="Arial" w:hAnsi="Arial" w:eastAsia="Arial" w:cs="Arial"/>
      <w:sz w:val="34"/>
    </w:rPr>
  </w:style>
  <w:style w:type="character" w:styleId="699">
    <w:name w:val="Heading 3 Char"/>
    <w:basedOn w:val="860"/>
    <w:link w:val="853"/>
    <w:uiPriority w:val="9"/>
    <w:rPr>
      <w:rFonts w:ascii="Arial" w:hAnsi="Arial" w:eastAsia="Arial" w:cs="Arial"/>
      <w:sz w:val="30"/>
      <w:szCs w:val="30"/>
    </w:rPr>
  </w:style>
  <w:style w:type="character" w:styleId="700">
    <w:name w:val="Heading 4 Char"/>
    <w:basedOn w:val="860"/>
    <w:link w:val="854"/>
    <w:uiPriority w:val="9"/>
    <w:rPr>
      <w:rFonts w:ascii="Arial" w:hAnsi="Arial" w:eastAsia="Arial" w:cs="Arial"/>
      <w:b/>
      <w:bCs/>
      <w:sz w:val="26"/>
      <w:szCs w:val="26"/>
    </w:rPr>
  </w:style>
  <w:style w:type="character" w:styleId="701">
    <w:name w:val="Heading 5 Char"/>
    <w:basedOn w:val="860"/>
    <w:link w:val="855"/>
    <w:uiPriority w:val="9"/>
    <w:rPr>
      <w:rFonts w:ascii="Arial" w:hAnsi="Arial" w:eastAsia="Arial" w:cs="Arial"/>
      <w:b/>
      <w:bCs/>
      <w:sz w:val="24"/>
      <w:szCs w:val="24"/>
    </w:rPr>
  </w:style>
  <w:style w:type="character" w:styleId="702">
    <w:name w:val="Heading 6 Char"/>
    <w:basedOn w:val="860"/>
    <w:link w:val="856"/>
    <w:uiPriority w:val="9"/>
    <w:rPr>
      <w:rFonts w:ascii="Arial" w:hAnsi="Arial" w:eastAsia="Arial" w:cs="Arial"/>
      <w:b/>
      <w:bCs/>
      <w:sz w:val="22"/>
      <w:szCs w:val="22"/>
    </w:rPr>
  </w:style>
  <w:style w:type="character" w:styleId="703">
    <w:name w:val="Heading 7 Char"/>
    <w:basedOn w:val="860"/>
    <w:link w:val="85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4">
    <w:name w:val="Heading 8 Char"/>
    <w:basedOn w:val="860"/>
    <w:link w:val="858"/>
    <w:uiPriority w:val="9"/>
    <w:rPr>
      <w:rFonts w:ascii="Arial" w:hAnsi="Arial" w:eastAsia="Arial" w:cs="Arial"/>
      <w:i/>
      <w:iCs/>
      <w:sz w:val="22"/>
      <w:szCs w:val="22"/>
    </w:rPr>
  </w:style>
  <w:style w:type="character" w:styleId="705">
    <w:name w:val="Heading 9 Char"/>
    <w:basedOn w:val="860"/>
    <w:link w:val="859"/>
    <w:uiPriority w:val="9"/>
    <w:rPr>
      <w:rFonts w:ascii="Arial" w:hAnsi="Arial" w:eastAsia="Arial" w:cs="Arial"/>
      <w:i/>
      <w:iCs/>
      <w:sz w:val="21"/>
      <w:szCs w:val="21"/>
    </w:rPr>
  </w:style>
  <w:style w:type="character" w:styleId="706">
    <w:name w:val="Title Char"/>
    <w:basedOn w:val="860"/>
    <w:link w:val="891"/>
    <w:uiPriority w:val="10"/>
    <w:rPr>
      <w:sz w:val="48"/>
      <w:szCs w:val="48"/>
    </w:rPr>
  </w:style>
  <w:style w:type="character" w:styleId="707">
    <w:name w:val="Subtitle Char"/>
    <w:basedOn w:val="860"/>
    <w:link w:val="893"/>
    <w:uiPriority w:val="11"/>
    <w:rPr>
      <w:sz w:val="24"/>
      <w:szCs w:val="24"/>
    </w:rPr>
  </w:style>
  <w:style w:type="character" w:styleId="708">
    <w:name w:val="Quote Char"/>
    <w:link w:val="897"/>
    <w:uiPriority w:val="29"/>
    <w:rPr>
      <w:i/>
    </w:rPr>
  </w:style>
  <w:style w:type="character" w:styleId="709">
    <w:name w:val="Intense Quote Char"/>
    <w:link w:val="899"/>
    <w:uiPriority w:val="30"/>
    <w:rPr>
      <w:i/>
    </w:rPr>
  </w:style>
  <w:style w:type="character" w:styleId="710">
    <w:name w:val="Header Char"/>
    <w:basedOn w:val="860"/>
    <w:link w:val="874"/>
    <w:uiPriority w:val="99"/>
  </w:style>
  <w:style w:type="character" w:styleId="711">
    <w:name w:val="Footer Char"/>
    <w:basedOn w:val="860"/>
    <w:link w:val="876"/>
    <w:uiPriority w:val="99"/>
  </w:style>
  <w:style w:type="character" w:styleId="712">
    <w:name w:val="Caption Char"/>
    <w:basedOn w:val="907"/>
    <w:link w:val="876"/>
    <w:uiPriority w:val="99"/>
  </w:style>
  <w:style w:type="table" w:styleId="713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9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7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cf0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cf0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8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eef1e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eef1e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9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be8da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be8da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0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dee2e7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dee2e7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1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e4e7dc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e4e7dc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2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5eeea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5eeea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3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4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cf0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cf0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5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eef1e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eef1e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6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be8da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be8da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7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dee2e7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dee2e7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8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e4e7dc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e4e7dc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9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5eeea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5eeea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0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f0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f0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bbcc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eef1e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eef1e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cbd5b2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be8da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be8da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9156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dee2e7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dee2e7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a0acb9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e4e7dc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e4e7dc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7a855d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5eeea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5eeea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84ac9d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48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cf0f3" w:themeFill="accent1" w:themeFillTint="34"/>
    </w:tblPr>
    <w:tblStylePr w:type="band1Horz">
      <w:tcPr>
        <w:shd w:val="clear" w:color="ffffff" w:themeColor="accent1" w:themeTint="75" w:fill="aedde5" w:themeFill="accent1" w:themeFillTint="75"/>
      </w:tcPr>
    </w:tblStylePr>
    <w:tblStylePr w:type="band1Vert">
      <w:tcPr>
        <w:shd w:val="clear" w:color="ffffff" w:themeColor="accent1" w:themeTint="75" w:fill="aedde5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0b4c8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0b4c8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0b4c8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50b4c8" w:themeFill="accent1"/>
      </w:tcPr>
    </w:tblStylePr>
  </w:style>
  <w:style w:type="table" w:styleId="749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eef1e6" w:themeFill="accent2" w:themeFillTint="32"/>
    </w:tblPr>
    <w:tblStylePr w:type="band1Horz">
      <w:tcPr>
        <w:shd w:val="clear" w:color="ffffff" w:themeColor="accent2" w:themeTint="75" w:fill="d7dfc4" w:themeFill="accent2" w:themeFillTint="75"/>
      </w:tcPr>
    </w:tblStylePr>
    <w:tblStylePr w:type="band1Vert">
      <w:tcPr>
        <w:shd w:val="clear" w:color="ffffff" w:themeColor="accent2" w:themeTint="75" w:fill="d7dfc4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a8b97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a8b97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a8b97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a8b97f" w:themeFill="accent2"/>
      </w:tcPr>
    </w:tblStylePr>
  </w:style>
  <w:style w:type="table" w:styleId="750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e8da" w:themeFill="accent3" w:themeFillTint="34"/>
    </w:tblPr>
    <w:tblStylePr w:type="band1Horz">
      <w:tcPr>
        <w:shd w:val="clear" w:color="ffffff" w:themeColor="accent3" w:themeTint="75" w:fill="d2cdaf" w:themeFill="accent3" w:themeFillTint="75"/>
      </w:tcPr>
    </w:tblStylePr>
    <w:tblStylePr w:type="band1Vert">
      <w:tcPr>
        <w:shd w:val="clear" w:color="ffffff" w:themeColor="accent3" w:themeTint="75" w:fill="d2cda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9256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9256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9256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9256" w:themeFill="accent3"/>
      </w:tcPr>
    </w:tblStylePr>
  </w:style>
  <w:style w:type="table" w:styleId="751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dee2e7" w:themeFill="accent4" w:themeFillTint="34"/>
    </w:tblPr>
    <w:tblStylePr w:type="band1Horz">
      <w:tcPr>
        <w:shd w:val="clear" w:color="ffffff" w:themeColor="accent4" w:themeTint="75" w:fill="b7c0ca" w:themeFill="accent4" w:themeFillTint="75"/>
      </w:tcPr>
    </w:tblStylePr>
    <w:tblStylePr w:type="band1Vert">
      <w:tcPr>
        <w:shd w:val="clear" w:color="ffffff" w:themeColor="accent4" w:themeTint="75" w:fill="b7c0c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657689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657689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657689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657689" w:themeFill="accent4"/>
      </w:tcPr>
    </w:tblStylePr>
  </w:style>
  <w:style w:type="table" w:styleId="752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e4e7dc" w:themeFill="accent5" w:themeFillTint="34"/>
    </w:tblPr>
    <w:tblStylePr w:type="band1Horz">
      <w:tcPr>
        <w:shd w:val="clear" w:color="ffffff" w:themeColor="accent5" w:themeTint="75" w:fill="c3c9b2" w:themeFill="accent5" w:themeFillTint="75"/>
      </w:tcPr>
    </w:tblStylePr>
    <w:tblStylePr w:type="band1Vert">
      <w:tcPr>
        <w:shd w:val="clear" w:color="ffffff" w:themeColor="accent5" w:themeTint="75" w:fill="c3c9b2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7a855d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7a855d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7a855d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7a855d" w:themeFill="accent5"/>
      </w:tcPr>
    </w:tblStylePr>
  </w:style>
  <w:style w:type="table" w:styleId="753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5eeea" w:themeFill="accent6" w:themeFillTint="34"/>
    </w:tblPr>
    <w:tblStylePr w:type="band1Horz">
      <w:tcPr>
        <w:shd w:val="clear" w:color="ffffff" w:themeColor="accent6" w:themeTint="75" w:fill="c6d9d2" w:themeFill="accent6" w:themeFillTint="75"/>
      </w:tcPr>
    </w:tblStylePr>
    <w:tblStylePr w:type="band1Vert">
      <w:tcPr>
        <w:shd w:val="clear" w:color="ffffff" w:themeColor="accent6" w:themeTint="75" w:fill="c6d9d2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84ac9d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84ac9d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84ac9d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84ac9d" w:themeFill="accent6"/>
      </w:tcPr>
    </w:tblStylePr>
  </w:style>
  <w:style w:type="table" w:styleId="754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cf0f3" w:themeFill="accent1" w:themeFillTint="34"/>
      </w:tcPr>
    </w:tblStylePr>
    <w:tblStylePr w:type="band1Vert">
      <w:tcPr>
        <w:shd w:val="clear" w:color="ffffff" w:themeColor="accent1" w:themeTint="34" w:fill="dcf0f3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79cae" w:themeColor="accent1" w:themeTint="80" w:themeShade="95"/>
      </w:rPr>
    </w:tblStylePr>
    <w:tblStylePr w:type="firstRow">
      <w:rPr>
        <w:b/>
        <w:color w:val="379cae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79cae" w:themeColor="accent1" w:themeTint="80" w:themeShade="95"/>
      </w:rPr>
    </w:tblStylePr>
    <w:tblStylePr w:type="lastRow">
      <w:rPr>
        <w:b/>
        <w:color w:val="379cae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eef1e6" w:themeFill="accent2" w:themeFillTint="32"/>
      </w:tcPr>
    </w:tblStylePr>
    <w:tblStylePr w:type="band1Vert">
      <w:tcPr>
        <w:shd w:val="clear" w:color="ffffff" w:themeColor="accent2" w:themeTint="32" w:fill="eef1e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819350" w:themeColor="accent2" w:themeTint="97" w:themeShade="95"/>
      </w:rPr>
    </w:tblStylePr>
    <w:tblStylePr w:type="firstRow">
      <w:rPr>
        <w:b/>
        <w:color w:val="819350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819350" w:themeColor="accent2" w:themeTint="97" w:themeShade="95"/>
      </w:rPr>
    </w:tblStylePr>
    <w:tblStylePr w:type="lastRow">
      <w:rPr>
        <w:b/>
        <w:color w:val="819350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be8da" w:themeFill="accent3" w:themeFillTint="34"/>
      </w:tcPr>
    </w:tblStylePr>
    <w:tblStylePr w:type="band1Vert">
      <w:tcPr>
        <w:shd w:val="clear" w:color="ffffff" w:themeColor="accent3" w:themeTint="34" w:fill="ebe8da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a5331" w:themeColor="accent3" w:themeTint="FE" w:themeShade="95"/>
      </w:rPr>
    </w:tblStylePr>
    <w:tblStylePr w:type="firstRow">
      <w:rPr>
        <w:b/>
        <w:color w:val="5a5331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a5331" w:themeColor="accent3" w:themeTint="FE" w:themeShade="95"/>
      </w:rPr>
    </w:tblStylePr>
    <w:tblStylePr w:type="lastRow">
      <w:rPr>
        <w:b/>
        <w:color w:val="5a5331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dee2e7" w:themeFill="accent4" w:themeFillTint="34"/>
      </w:tcPr>
    </w:tblStylePr>
    <w:tblStylePr w:type="band1Vert">
      <w:tcPr>
        <w:shd w:val="clear" w:color="ffffff" w:themeColor="accent4" w:themeTint="34" w:fill="dee2e7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556474" w:themeColor="accent4" w:themeTint="9A" w:themeShade="95"/>
      </w:rPr>
    </w:tblStylePr>
    <w:tblStylePr w:type="firstRow">
      <w:rPr>
        <w:b/>
        <w:color w:val="556474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556474" w:themeColor="accent4" w:themeTint="9A" w:themeShade="95"/>
      </w:rPr>
    </w:tblStylePr>
    <w:tblStylePr w:type="lastRow">
      <w:rPr>
        <w:b/>
        <w:color w:val="556474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e4e7dc" w:themeFill="accent5" w:themeFillTint="34"/>
      </w:tcPr>
    </w:tblStylePr>
    <w:tblStylePr w:type="band1Vert">
      <w:tcPr>
        <w:shd w:val="clear" w:color="ffffff" w:themeColor="accent5" w:themeTint="34" w:fill="e4e7dc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474d36" w:themeColor="accent5" w:themeShade="95"/>
      </w:rPr>
    </w:tblStylePr>
    <w:tblStylePr w:type="firstRow">
      <w:rPr>
        <w:b/>
        <w:color w:val="474d36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74d36" w:themeColor="accent5" w:themeShade="95"/>
      </w:rPr>
    </w:tblStylePr>
    <w:tblStylePr w:type="lastRow">
      <w:rPr>
        <w:b/>
        <w:color w:val="474d36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5eeea" w:themeFill="accent6" w:themeFillTint="34"/>
      </w:tcPr>
    </w:tblStylePr>
    <w:tblStylePr w:type="band1Vert">
      <w:tcPr>
        <w:shd w:val="clear" w:color="ffffff" w:themeColor="accent6" w:themeTint="34" w:fill="e5eeea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474d36" w:themeColor="accent5" w:themeShade="95"/>
      </w:rPr>
    </w:tblStylePr>
    <w:tblStylePr w:type="firstRow">
      <w:rPr>
        <w:b/>
        <w:color w:val="474d36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74d36" w:themeColor="accent5" w:themeShade="95"/>
      </w:rPr>
    </w:tblStylePr>
    <w:tblStylePr w:type="lastRow">
      <w:rPr>
        <w:b/>
        <w:color w:val="474d36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2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79cae" w:themeColor="accent1" w:themeTint="80" w:themeShade="95"/>
        <w:sz w:val="22"/>
      </w:rPr>
      <w:tcPr>
        <w:shd w:val="clear" w:color="ffffff" w:themeColor="accent1" w:themeTint="34" w:fill="dcf0f3" w:themeFill="accent1" w:themeFillTint="34"/>
      </w:tcPr>
    </w:tblStylePr>
    <w:tblStylePr w:type="band1Vert">
      <w:tcPr>
        <w:shd w:val="clear" w:color="ffffff" w:themeColor="accent1" w:themeTint="34" w:fill="dcf0f3" w:themeFill="accent1" w:themeFillTint="34"/>
      </w:tcPr>
    </w:tblStylePr>
    <w:tblStylePr w:type="band2Horz">
      <w:rPr>
        <w:rFonts w:ascii="Arial" w:hAnsi="Arial"/>
        <w:color w:val="379cae" w:themeColor="accent1" w:themeTint="80" w:themeShade="95"/>
        <w:sz w:val="22"/>
      </w:rPr>
    </w:tblStylePr>
    <w:tblStylePr w:type="firstCol">
      <w:rPr>
        <w:rFonts w:ascii="Arial" w:hAnsi="Arial"/>
        <w:i/>
        <w:color w:val="379cae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79cae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79cae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79cae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3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819350" w:themeColor="accent2" w:themeTint="97" w:themeShade="95"/>
        <w:sz w:val="22"/>
      </w:rPr>
      <w:tcPr>
        <w:shd w:val="clear" w:color="ffffff" w:themeColor="accent2" w:themeTint="32" w:fill="eef1e6" w:themeFill="accent2" w:themeFillTint="32"/>
      </w:tcPr>
    </w:tblStylePr>
    <w:tblStylePr w:type="band1Vert">
      <w:tcPr>
        <w:shd w:val="clear" w:color="ffffff" w:themeColor="accent2" w:themeTint="32" w:fill="eef1e6" w:themeFill="accent2" w:themeFillTint="32"/>
      </w:tcPr>
    </w:tblStylePr>
    <w:tblStylePr w:type="band2Horz">
      <w:rPr>
        <w:rFonts w:ascii="Arial" w:hAnsi="Arial"/>
        <w:color w:val="819350" w:themeColor="accent2" w:themeTint="97" w:themeShade="95"/>
        <w:sz w:val="22"/>
      </w:rPr>
    </w:tblStylePr>
    <w:tblStylePr w:type="firstCol">
      <w:rPr>
        <w:rFonts w:ascii="Arial" w:hAnsi="Arial"/>
        <w:i/>
        <w:color w:val="819350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819350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819350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819350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4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a5331" w:themeColor="accent3" w:themeTint="FE" w:themeShade="95"/>
        <w:sz w:val="22"/>
      </w:rPr>
      <w:tcPr>
        <w:shd w:val="clear" w:color="ffffff" w:themeColor="accent3" w:themeTint="34" w:fill="ebe8da" w:themeFill="accent3" w:themeFillTint="34"/>
      </w:tcPr>
    </w:tblStylePr>
    <w:tblStylePr w:type="band1Vert">
      <w:tcPr>
        <w:shd w:val="clear" w:color="ffffff" w:themeColor="accent3" w:themeTint="34" w:fill="ebe8da" w:themeFill="accent3" w:themeFillTint="34"/>
      </w:tcPr>
    </w:tblStylePr>
    <w:tblStylePr w:type="band2Horz">
      <w:rPr>
        <w:rFonts w:ascii="Arial" w:hAnsi="Arial"/>
        <w:color w:val="5a5331" w:themeColor="accent3" w:themeTint="FE" w:themeShade="95"/>
        <w:sz w:val="22"/>
      </w:rPr>
    </w:tblStylePr>
    <w:tblStylePr w:type="firstCol">
      <w:rPr>
        <w:rFonts w:ascii="Arial" w:hAnsi="Arial"/>
        <w:i/>
        <w:color w:val="5a5331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a5331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a5331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a5331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5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556474" w:themeColor="accent4" w:themeTint="9A" w:themeShade="95"/>
        <w:sz w:val="22"/>
      </w:rPr>
      <w:tcPr>
        <w:shd w:val="clear" w:color="ffffff" w:themeColor="accent4" w:themeTint="34" w:fill="dee2e7" w:themeFill="accent4" w:themeFillTint="34"/>
      </w:tcPr>
    </w:tblStylePr>
    <w:tblStylePr w:type="band1Vert">
      <w:tcPr>
        <w:shd w:val="clear" w:color="ffffff" w:themeColor="accent4" w:themeTint="34" w:fill="dee2e7" w:themeFill="accent4" w:themeFillTint="34"/>
      </w:tcPr>
    </w:tblStylePr>
    <w:tblStylePr w:type="band2Horz">
      <w:rPr>
        <w:rFonts w:ascii="Arial" w:hAnsi="Arial"/>
        <w:color w:val="556474" w:themeColor="accent4" w:themeTint="9A" w:themeShade="95"/>
        <w:sz w:val="22"/>
      </w:rPr>
    </w:tblStylePr>
    <w:tblStylePr w:type="firstCol">
      <w:rPr>
        <w:rFonts w:ascii="Arial" w:hAnsi="Arial"/>
        <w:i/>
        <w:color w:val="556474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556474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56474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56474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6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74d36" w:themeColor="accent5" w:themeShade="95"/>
        <w:sz w:val="22"/>
      </w:rPr>
      <w:tcPr>
        <w:shd w:val="clear" w:color="ffffff" w:themeColor="accent5" w:themeTint="34" w:fill="e4e7dc" w:themeFill="accent5" w:themeFillTint="34"/>
      </w:tcPr>
    </w:tblStylePr>
    <w:tblStylePr w:type="band1Vert">
      <w:tcPr>
        <w:shd w:val="clear" w:color="ffffff" w:themeColor="accent5" w:themeTint="34" w:fill="e4e7dc" w:themeFill="accent5" w:themeFillTint="34"/>
      </w:tcPr>
    </w:tblStylePr>
    <w:tblStylePr w:type="band2Horz">
      <w:rPr>
        <w:rFonts w:ascii="Arial" w:hAnsi="Arial"/>
        <w:color w:val="474d36" w:themeColor="accent5" w:themeShade="95"/>
        <w:sz w:val="22"/>
      </w:rPr>
    </w:tblStylePr>
    <w:tblStylePr w:type="firstCol">
      <w:rPr>
        <w:rFonts w:ascii="Arial" w:hAnsi="Arial"/>
        <w:i/>
        <w:color w:val="474d36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474d36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74d36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74d36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7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76a5c" w:themeColor="accent6" w:themeShade="95"/>
        <w:sz w:val="22"/>
      </w:rPr>
      <w:tcPr>
        <w:shd w:val="clear" w:color="ffffff" w:themeColor="accent6" w:themeTint="34" w:fill="e5eeea" w:themeFill="accent6" w:themeFillTint="34"/>
      </w:tcPr>
    </w:tblStylePr>
    <w:tblStylePr w:type="band1Vert">
      <w:tcPr>
        <w:shd w:val="clear" w:color="ffffff" w:themeColor="accent6" w:themeTint="34" w:fill="e5eeea" w:themeFill="accent6" w:themeFillTint="34"/>
      </w:tcPr>
    </w:tblStylePr>
    <w:tblStylePr w:type="band2Horz">
      <w:rPr>
        <w:rFonts w:ascii="Arial" w:hAnsi="Arial"/>
        <w:color w:val="476a5c" w:themeColor="accent6" w:themeShade="95"/>
        <w:sz w:val="22"/>
      </w:rPr>
    </w:tblStylePr>
    <w:tblStylePr w:type="firstCol">
      <w:rPr>
        <w:rFonts w:ascii="Arial" w:hAnsi="Arial"/>
        <w:i/>
        <w:color w:val="476a5c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476a5c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76a5c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76a5c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8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2ecf1" w:themeFill="accent1" w:themeFillTint="40"/>
      </w:tcPr>
    </w:tblStylePr>
    <w:tblStylePr w:type="band1Vert">
      <w:tcPr>
        <w:shd w:val="clear" w:color="ffffff" w:themeColor="accent1" w:themeTint="40" w:fill="d2ecf1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9edde" w:themeFill="accent2" w:themeFillTint="40"/>
      </w:tcPr>
    </w:tblStylePr>
    <w:tblStylePr w:type="band1Vert">
      <w:tcPr>
        <w:shd w:val="clear" w:color="ffffff" w:themeColor="accent2" w:themeTint="40" w:fill="e9edde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3d3" w:themeFill="accent3" w:themeFillTint="40"/>
      </w:tcPr>
    </w:tblStylePr>
    <w:tblStylePr w:type="band1Vert">
      <w:tcPr>
        <w:shd w:val="clear" w:color="ffffff" w:themeColor="accent3" w:themeTint="40" w:fill="e6e3d3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7dce2" w:themeFill="accent4" w:themeFillTint="40"/>
      </w:tcPr>
    </w:tblStylePr>
    <w:tblStylePr w:type="band1Vert">
      <w:tcPr>
        <w:shd w:val="clear" w:color="ffffff" w:themeColor="accent4" w:themeTint="40" w:fill="d7dce2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de1d4" w:themeFill="accent5" w:themeFillTint="40"/>
      </w:tcPr>
    </w:tblStylePr>
    <w:tblStylePr w:type="band1Vert">
      <w:tcPr>
        <w:shd w:val="clear" w:color="ffffff" w:themeColor="accent5" w:themeTint="40" w:fill="dde1d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e0e9e6" w:themeFill="accent6" w:themeFillTint="40"/>
      </w:tcPr>
    </w:tblStylePr>
    <w:tblStylePr w:type="band1Vert">
      <w:tcPr>
        <w:shd w:val="clear" w:color="ffffff" w:themeColor="accent6" w:themeTint="40" w:fill="e0e9e6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2ecf1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2ecf1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9edde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9edde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3d3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3d3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7dce2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7dce2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de1d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de1d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e0e9e6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e0e9e6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0b4c8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cbd5b2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5be98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a0acb9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afb899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b6cdc4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2ecf1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2ecf1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0b4c8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9edde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9edde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a8b97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3d3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3d3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9256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7dce2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7dce2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657689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de1d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de1d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7a855d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e0e9e6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e0e9e6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84ac9d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0b4c8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0b4c8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50b4c8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0b4c8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50b4c8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cbd5b2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cbd5b2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cbd5b2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cbd5b2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cbd5b2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5be98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5be98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5be98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5be98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5be98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a0acb9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a0acb9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a0acb9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a0acb9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a0acb9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afb899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afb899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afb899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afb899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afb899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b6cdc4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b6cdc4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b6cdc4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b6cdc4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b6cdc4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2ecf1" w:themeFill="accent1" w:themeFillTint="40"/>
      </w:tcPr>
    </w:tblStylePr>
    <w:tblStylePr w:type="band1Vert">
      <w:tcPr>
        <w:shd w:val="clear" w:color="ffffff" w:themeColor="accent1" w:themeTint="40" w:fill="d2ecf1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76f7c" w:themeColor="accent1" w:themeShade="95"/>
      </w:rPr>
    </w:tblStylePr>
    <w:tblStylePr w:type="firstRow">
      <w:rPr>
        <w:b/>
        <w:color w:val="276f7c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76f7c" w:themeColor="accent1" w:themeShade="95"/>
      </w:rPr>
    </w:tblStylePr>
    <w:tblStylePr w:type="lastRow">
      <w:rPr>
        <w:b/>
        <w:color w:val="276f7c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9edde" w:themeFill="accent2" w:themeFillTint="40"/>
      </w:tcPr>
    </w:tblStylePr>
    <w:tblStylePr w:type="band1Vert">
      <w:tcPr>
        <w:shd w:val="clear" w:color="ffffff" w:themeColor="accent2" w:themeTint="40" w:fill="e9edde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819350" w:themeColor="accent2" w:themeTint="97" w:themeShade="95"/>
      </w:rPr>
    </w:tblStylePr>
    <w:tblStylePr w:type="firstRow">
      <w:rPr>
        <w:b/>
        <w:color w:val="819350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819350" w:themeColor="accent2" w:themeTint="97" w:themeShade="95"/>
      </w:rPr>
    </w:tblStylePr>
    <w:tblStylePr w:type="lastRow">
      <w:rPr>
        <w:b/>
        <w:color w:val="819350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3d3" w:themeFill="accent3" w:themeFillTint="40"/>
      </w:tcPr>
    </w:tblStylePr>
    <w:tblStylePr w:type="band1Vert">
      <w:tcPr>
        <w:shd w:val="clear" w:color="ffffff" w:themeColor="accent3" w:themeTint="40" w:fill="e6e3d3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827849" w:themeColor="accent3" w:themeTint="98" w:themeShade="95"/>
      </w:rPr>
    </w:tblStylePr>
    <w:tblStylePr w:type="firstRow">
      <w:rPr>
        <w:b/>
        <w:color w:val="827849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827849" w:themeColor="accent3" w:themeTint="98" w:themeShade="95"/>
      </w:rPr>
    </w:tblStylePr>
    <w:tblStylePr w:type="lastRow">
      <w:rPr>
        <w:b/>
        <w:color w:val="827849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7dce2" w:themeFill="accent4" w:themeFillTint="40"/>
      </w:tcPr>
    </w:tblStylePr>
    <w:tblStylePr w:type="band1Vert">
      <w:tcPr>
        <w:shd w:val="clear" w:color="ffffff" w:themeColor="accent4" w:themeTint="40" w:fill="d7dce2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556474" w:themeColor="accent4" w:themeTint="9A" w:themeShade="95"/>
      </w:rPr>
    </w:tblStylePr>
    <w:tblStylePr w:type="firstRow">
      <w:rPr>
        <w:b/>
        <w:color w:val="556474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556474" w:themeColor="accent4" w:themeTint="9A" w:themeShade="95"/>
      </w:rPr>
    </w:tblStylePr>
    <w:tblStylePr w:type="lastRow">
      <w:rPr>
        <w:b/>
        <w:color w:val="556474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de1d4" w:themeFill="accent5" w:themeFillTint="40"/>
      </w:tcPr>
    </w:tblStylePr>
    <w:tblStylePr w:type="band1Vert">
      <w:tcPr>
        <w:shd w:val="clear" w:color="ffffff" w:themeColor="accent5" w:themeTint="40" w:fill="dde1d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697350" w:themeColor="accent5" w:themeTint="9A" w:themeShade="95"/>
      </w:rPr>
    </w:tblStylePr>
    <w:tblStylePr w:type="firstRow">
      <w:rPr>
        <w:b/>
        <w:color w:val="69735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697350" w:themeColor="accent5" w:themeTint="9A" w:themeShade="95"/>
      </w:rPr>
    </w:tblStylePr>
    <w:tblStylePr w:type="lastRow">
      <w:rPr>
        <w:b/>
        <w:color w:val="69735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e0e9e6" w:themeFill="accent6" w:themeFillTint="40"/>
      </w:tcPr>
    </w:tblStylePr>
    <w:tblStylePr w:type="band1Vert">
      <w:tcPr>
        <w:shd w:val="clear" w:color="ffffff" w:themeColor="accent6" w:themeTint="40" w:fill="e0e9e6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c8574" w:themeColor="accent6" w:themeTint="98" w:themeShade="95"/>
      </w:rPr>
    </w:tblStylePr>
    <w:tblStylePr w:type="firstRow">
      <w:rPr>
        <w:b/>
        <w:color w:val="5c8574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c8574" w:themeColor="accent6" w:themeTint="98" w:themeShade="95"/>
      </w:rPr>
    </w:tblStylePr>
    <w:tblStylePr w:type="lastRow">
      <w:rPr>
        <w:b/>
        <w:color w:val="5c8574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76f7c" w:themeColor="accent1" w:themeShade="95"/>
        <w:sz w:val="22"/>
      </w:rPr>
      <w:tcPr>
        <w:shd w:val="clear" w:color="ffffff" w:themeColor="accent1" w:themeTint="40" w:fill="d2ecf1" w:themeFill="accent1" w:themeFillTint="40"/>
      </w:tcPr>
    </w:tblStylePr>
    <w:tblStylePr w:type="band1Vert">
      <w:tcPr>
        <w:shd w:val="clear" w:color="ffffff" w:themeColor="accent1" w:themeTint="40" w:fill="d2ecf1" w:themeFill="accent1" w:themeFillTint="40"/>
      </w:tcPr>
    </w:tblStylePr>
    <w:tblStylePr w:type="band2Horz">
      <w:rPr>
        <w:rFonts w:ascii="Arial" w:hAnsi="Arial"/>
        <w:color w:val="276f7c" w:themeColor="accent1" w:themeShade="95"/>
        <w:sz w:val="22"/>
      </w:rPr>
    </w:tblStylePr>
    <w:tblStylePr w:type="firstCol">
      <w:rPr>
        <w:rFonts w:ascii="Arial" w:hAnsi="Arial"/>
        <w:i/>
        <w:color w:val="276f7c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76f7c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76f7c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76f7c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76f7c" w:themeColor="accent1" w:themeShade="95"/>
        <w:sz w:val="22"/>
      </w:rPr>
    </w:tblStylePr>
  </w:style>
  <w:style w:type="table" w:styleId="812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819350" w:themeColor="accent2" w:themeTint="97" w:themeShade="95"/>
        <w:sz w:val="22"/>
      </w:rPr>
      <w:tcPr>
        <w:shd w:val="clear" w:color="ffffff" w:themeColor="accent2" w:themeTint="40" w:fill="e9edde" w:themeFill="accent2" w:themeFillTint="40"/>
      </w:tcPr>
    </w:tblStylePr>
    <w:tblStylePr w:type="band1Vert">
      <w:tcPr>
        <w:shd w:val="clear" w:color="ffffff" w:themeColor="accent2" w:themeTint="40" w:fill="e9edde" w:themeFill="accent2" w:themeFillTint="40"/>
      </w:tcPr>
    </w:tblStylePr>
    <w:tblStylePr w:type="band2Horz">
      <w:rPr>
        <w:rFonts w:ascii="Arial" w:hAnsi="Arial"/>
        <w:color w:val="819350" w:themeColor="accent2" w:themeTint="97" w:themeShade="95"/>
        <w:sz w:val="22"/>
      </w:rPr>
    </w:tblStylePr>
    <w:tblStylePr w:type="firstCol">
      <w:rPr>
        <w:rFonts w:ascii="Arial" w:hAnsi="Arial"/>
        <w:i/>
        <w:color w:val="819350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819350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819350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819350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819350" w:themeColor="accent2" w:themeTint="97" w:themeShade="95"/>
        <w:sz w:val="22"/>
      </w:rPr>
    </w:tblStylePr>
  </w:style>
  <w:style w:type="table" w:styleId="813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827849" w:themeColor="accent3" w:themeTint="98" w:themeShade="95"/>
        <w:sz w:val="22"/>
      </w:rPr>
      <w:tcPr>
        <w:shd w:val="clear" w:color="ffffff" w:themeColor="accent3" w:themeTint="40" w:fill="e6e3d3" w:themeFill="accent3" w:themeFillTint="40"/>
      </w:tcPr>
    </w:tblStylePr>
    <w:tblStylePr w:type="band1Vert">
      <w:tcPr>
        <w:shd w:val="clear" w:color="ffffff" w:themeColor="accent3" w:themeTint="40" w:fill="e6e3d3" w:themeFill="accent3" w:themeFillTint="40"/>
      </w:tcPr>
    </w:tblStylePr>
    <w:tblStylePr w:type="band2Horz">
      <w:rPr>
        <w:rFonts w:ascii="Arial" w:hAnsi="Arial"/>
        <w:color w:val="827849" w:themeColor="accent3" w:themeTint="98" w:themeShade="95"/>
        <w:sz w:val="22"/>
      </w:rPr>
    </w:tblStylePr>
    <w:tblStylePr w:type="firstCol">
      <w:rPr>
        <w:rFonts w:ascii="Arial" w:hAnsi="Arial"/>
        <w:i/>
        <w:color w:val="827849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827849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827849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827849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827849" w:themeColor="accent3" w:themeTint="98" w:themeShade="95"/>
        <w:sz w:val="22"/>
      </w:rPr>
    </w:tblStylePr>
  </w:style>
  <w:style w:type="table" w:styleId="814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556474" w:themeColor="accent4" w:themeTint="9A" w:themeShade="95"/>
        <w:sz w:val="22"/>
      </w:rPr>
      <w:tcPr>
        <w:shd w:val="clear" w:color="ffffff" w:themeColor="accent4" w:themeTint="40" w:fill="d7dce2" w:themeFill="accent4" w:themeFillTint="40"/>
      </w:tcPr>
    </w:tblStylePr>
    <w:tblStylePr w:type="band1Vert">
      <w:tcPr>
        <w:shd w:val="clear" w:color="ffffff" w:themeColor="accent4" w:themeTint="40" w:fill="d7dce2" w:themeFill="accent4" w:themeFillTint="40"/>
      </w:tcPr>
    </w:tblStylePr>
    <w:tblStylePr w:type="band2Horz">
      <w:rPr>
        <w:rFonts w:ascii="Arial" w:hAnsi="Arial"/>
        <w:color w:val="556474" w:themeColor="accent4" w:themeTint="9A" w:themeShade="95"/>
        <w:sz w:val="22"/>
      </w:rPr>
    </w:tblStylePr>
    <w:tblStylePr w:type="firstCol">
      <w:rPr>
        <w:rFonts w:ascii="Arial" w:hAnsi="Arial"/>
        <w:i/>
        <w:color w:val="556474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556474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56474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556474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556474" w:themeColor="accent4" w:themeTint="9A" w:themeShade="95"/>
        <w:sz w:val="22"/>
      </w:rPr>
    </w:tblStylePr>
  </w:style>
  <w:style w:type="table" w:styleId="815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697350" w:themeColor="accent5" w:themeTint="9A" w:themeShade="95"/>
        <w:sz w:val="22"/>
      </w:rPr>
      <w:tcPr>
        <w:shd w:val="clear" w:color="ffffff" w:themeColor="accent5" w:themeTint="40" w:fill="dde1d4" w:themeFill="accent5" w:themeFillTint="40"/>
      </w:tcPr>
    </w:tblStylePr>
    <w:tblStylePr w:type="band1Vert">
      <w:tcPr>
        <w:shd w:val="clear" w:color="ffffff" w:themeColor="accent5" w:themeTint="40" w:fill="dde1d4" w:themeFill="accent5" w:themeFillTint="40"/>
      </w:tcPr>
    </w:tblStylePr>
    <w:tblStylePr w:type="band2Horz">
      <w:rPr>
        <w:rFonts w:ascii="Arial" w:hAnsi="Arial"/>
        <w:color w:val="697350" w:themeColor="accent5" w:themeTint="9A" w:themeShade="95"/>
        <w:sz w:val="22"/>
      </w:rPr>
    </w:tblStylePr>
    <w:tblStylePr w:type="firstCol">
      <w:rPr>
        <w:rFonts w:ascii="Arial" w:hAnsi="Arial"/>
        <w:i/>
        <w:color w:val="69735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9735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9735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9735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97350" w:themeColor="accent5" w:themeTint="9A" w:themeShade="95"/>
        <w:sz w:val="22"/>
      </w:rPr>
    </w:tblStylePr>
  </w:style>
  <w:style w:type="table" w:styleId="816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c8574" w:themeColor="accent6" w:themeTint="98" w:themeShade="95"/>
        <w:sz w:val="22"/>
      </w:rPr>
      <w:tcPr>
        <w:shd w:val="clear" w:color="ffffff" w:themeColor="accent6" w:themeTint="40" w:fill="e0e9e6" w:themeFill="accent6" w:themeFillTint="40"/>
      </w:tcPr>
    </w:tblStylePr>
    <w:tblStylePr w:type="band1Vert">
      <w:tcPr>
        <w:shd w:val="clear" w:color="ffffff" w:themeColor="accent6" w:themeTint="40" w:fill="e0e9e6" w:themeFill="accent6" w:themeFillTint="40"/>
      </w:tcPr>
    </w:tblStylePr>
    <w:tblStylePr w:type="band2Horz">
      <w:rPr>
        <w:rFonts w:ascii="Arial" w:hAnsi="Arial"/>
        <w:color w:val="5c8574" w:themeColor="accent6" w:themeTint="98" w:themeShade="95"/>
        <w:sz w:val="22"/>
      </w:rPr>
    </w:tblStylePr>
    <w:tblStylePr w:type="firstCol">
      <w:rPr>
        <w:rFonts w:ascii="Arial" w:hAnsi="Arial"/>
        <w:i/>
        <w:color w:val="5c8574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5c8574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8574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5c8574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5c8574" w:themeColor="accent6" w:themeTint="98" w:themeShade="95"/>
        <w:sz w:val="22"/>
      </w:rPr>
    </w:tblStylePr>
  </w:style>
  <w:style w:type="table" w:styleId="817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8e8ed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8e8ed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bbcc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bbcc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bbcc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bbcc" w:themeFill="accent1" w:themeFillTint="EA"/>
      </w:tcPr>
    </w:tblStylePr>
  </w:style>
  <w:style w:type="table" w:styleId="819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eef1e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eef1e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cbd5b2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cbd5b2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cbd5b2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cbd5b2" w:themeFill="accent2" w:themeFillTint="97"/>
      </w:tcPr>
    </w:tblStylePr>
  </w:style>
  <w:style w:type="table" w:styleId="820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be8da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be8da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9156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9156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9156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9156" w:themeFill="accent3" w:themeFillTint="FE"/>
      </w:tcPr>
    </w:tblStylePr>
  </w:style>
  <w:style w:type="table" w:styleId="821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dee2e7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dee2e7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a0acb9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a0acb9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a0acb9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a0acb9" w:themeFill="accent4" w:themeFillTint="9A"/>
      </w:tcPr>
    </w:tblStylePr>
  </w:style>
  <w:style w:type="table" w:styleId="822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e4e7dc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e4e7dc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7a855d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7a855d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7a855d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7a855d" w:themeFill="accent5"/>
      </w:tcPr>
    </w:tblStylePr>
  </w:style>
  <w:style w:type="table" w:styleId="823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5eeea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5eeea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84ac9d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84ac9d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84ac9d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84ac9d" w:themeFill="accent6"/>
      </w:tcPr>
    </w:tblStylePr>
  </w:style>
  <w:style w:type="table" w:styleId="824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8e8ed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8e8ed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bbcc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bbcc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bbcc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bbcc" w:themeFill="accent1" w:themeFillTint="EA"/>
      </w:tcPr>
    </w:tblStylePr>
  </w:style>
  <w:style w:type="table" w:styleId="826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eef1e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eef1e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cbd5b2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cbd5b2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cbd5b2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cbd5b2" w:themeFill="accent2" w:themeFillTint="97"/>
      </w:tcPr>
    </w:tblStylePr>
  </w:style>
  <w:style w:type="table" w:styleId="827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be8da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be8da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9156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9156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9156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9156" w:themeFill="accent3" w:themeFillTint="FE"/>
      </w:tcPr>
    </w:tblStylePr>
  </w:style>
  <w:style w:type="table" w:styleId="828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dee2e7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dee2e7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a0acb9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a0acb9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a0acb9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a0acb9" w:themeFill="accent4" w:themeFillTint="9A"/>
      </w:tcPr>
    </w:tblStylePr>
  </w:style>
  <w:style w:type="table" w:styleId="829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e4e7dc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e4e7dc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7a855d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7a855d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7a855d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7a855d" w:themeFill="accent5"/>
      </w:tcPr>
    </w:tblStylePr>
  </w:style>
  <w:style w:type="table" w:styleId="830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5eeea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5eeea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84ac9d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84ac9d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84ac9d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84ac9d" w:themeFill="accent6"/>
      </w:tcPr>
    </w:tblStylePr>
  </w:style>
  <w:style w:type="table" w:styleId="831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Footnote Text Char"/>
    <w:link w:val="871"/>
    <w:uiPriority w:val="99"/>
    <w:rPr>
      <w:sz w:val="18"/>
    </w:rPr>
  </w:style>
  <w:style w:type="character" w:styleId="839">
    <w:name w:val="Endnote Text Char"/>
    <w:link w:val="867"/>
    <w:uiPriority w:val="99"/>
    <w:rPr>
      <w:sz w:val="20"/>
    </w:rPr>
  </w:style>
  <w:style w:type="paragraph" w:styleId="840">
    <w:name w:val="toc 1"/>
    <w:basedOn w:val="850"/>
    <w:next w:val="850"/>
    <w:uiPriority w:val="39"/>
    <w:unhideWhenUsed/>
    <w:pPr>
      <w:spacing w:after="57"/>
      <w:ind w:left="0" w:right="0" w:firstLine="0"/>
    </w:pPr>
  </w:style>
  <w:style w:type="paragraph" w:styleId="841">
    <w:name w:val="toc 2"/>
    <w:basedOn w:val="850"/>
    <w:next w:val="850"/>
    <w:uiPriority w:val="39"/>
    <w:unhideWhenUsed/>
    <w:pPr>
      <w:spacing w:after="57"/>
      <w:ind w:left="283" w:right="0" w:firstLine="0"/>
    </w:pPr>
  </w:style>
  <w:style w:type="paragraph" w:styleId="842">
    <w:name w:val="toc 3"/>
    <w:basedOn w:val="850"/>
    <w:next w:val="850"/>
    <w:uiPriority w:val="39"/>
    <w:unhideWhenUsed/>
    <w:pPr>
      <w:spacing w:after="57"/>
      <w:ind w:left="567" w:right="0" w:firstLine="0"/>
    </w:pPr>
  </w:style>
  <w:style w:type="paragraph" w:styleId="843">
    <w:name w:val="toc 4"/>
    <w:basedOn w:val="850"/>
    <w:next w:val="850"/>
    <w:uiPriority w:val="39"/>
    <w:unhideWhenUsed/>
    <w:pPr>
      <w:spacing w:after="57"/>
      <w:ind w:left="850" w:right="0" w:firstLine="0"/>
    </w:pPr>
  </w:style>
  <w:style w:type="paragraph" w:styleId="844">
    <w:name w:val="toc 5"/>
    <w:basedOn w:val="850"/>
    <w:next w:val="850"/>
    <w:uiPriority w:val="39"/>
    <w:unhideWhenUsed/>
    <w:pPr>
      <w:spacing w:after="57"/>
      <w:ind w:left="1134" w:right="0" w:firstLine="0"/>
    </w:pPr>
  </w:style>
  <w:style w:type="paragraph" w:styleId="845">
    <w:name w:val="toc 6"/>
    <w:basedOn w:val="850"/>
    <w:next w:val="850"/>
    <w:uiPriority w:val="39"/>
    <w:unhideWhenUsed/>
    <w:pPr>
      <w:spacing w:after="57"/>
      <w:ind w:left="1417" w:right="0" w:firstLine="0"/>
    </w:pPr>
  </w:style>
  <w:style w:type="paragraph" w:styleId="846">
    <w:name w:val="toc 7"/>
    <w:basedOn w:val="850"/>
    <w:next w:val="850"/>
    <w:uiPriority w:val="39"/>
    <w:unhideWhenUsed/>
    <w:pPr>
      <w:spacing w:after="57"/>
      <w:ind w:left="1701" w:right="0" w:firstLine="0"/>
    </w:pPr>
  </w:style>
  <w:style w:type="paragraph" w:styleId="847">
    <w:name w:val="toc 8"/>
    <w:basedOn w:val="850"/>
    <w:next w:val="850"/>
    <w:uiPriority w:val="39"/>
    <w:unhideWhenUsed/>
    <w:pPr>
      <w:spacing w:after="57"/>
      <w:ind w:left="1984" w:right="0" w:firstLine="0"/>
    </w:pPr>
  </w:style>
  <w:style w:type="paragraph" w:styleId="848">
    <w:name w:val="toc 9"/>
    <w:basedOn w:val="850"/>
    <w:next w:val="850"/>
    <w:uiPriority w:val="39"/>
    <w:unhideWhenUsed/>
    <w:pPr>
      <w:spacing w:after="57"/>
      <w:ind w:left="2268" w:right="0" w:firstLine="0"/>
    </w:pPr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</w:style>
  <w:style w:type="paragraph" w:styleId="851">
    <w:name w:val="Heading 1"/>
    <w:basedOn w:val="850"/>
    <w:next w:val="850"/>
    <w:link w:val="882"/>
    <w:uiPriority w:val="9"/>
    <w:qFormat/>
    <w:pPr>
      <w:keepNext/>
      <w:keepLines/>
      <w:spacing w:before="360" w:after="40" w:line="240" w:lineRule="auto"/>
      <w:outlineLvl w:val="0"/>
    </w:pPr>
    <w:rPr>
      <w:rFonts w:asciiTheme="majorHAnsi" w:hAnsiTheme="majorHAnsi" w:eastAsiaTheme="majorEastAsia" w:cstheme="majorBidi"/>
      <w:color w:val="5b8777" w:themeColor="accent6" w:themeShade="BF"/>
      <w:sz w:val="40"/>
      <w:szCs w:val="40"/>
    </w:rPr>
  </w:style>
  <w:style w:type="paragraph" w:styleId="852">
    <w:name w:val="Heading 2"/>
    <w:basedOn w:val="850"/>
    <w:next w:val="850"/>
    <w:link w:val="883"/>
    <w:uiPriority w:val="9"/>
    <w:semiHidden/>
    <w:unhideWhenUsed/>
    <w:qFormat/>
    <w:pPr>
      <w:keepNext/>
      <w:keepLines/>
      <w:spacing w:before="80" w:after="0" w:line="240" w:lineRule="auto"/>
      <w:outlineLvl w:val="1"/>
    </w:pPr>
    <w:rPr>
      <w:rFonts w:asciiTheme="majorHAnsi" w:hAnsiTheme="majorHAnsi" w:eastAsiaTheme="majorEastAsia" w:cstheme="majorBidi"/>
      <w:color w:val="5b8777" w:themeColor="accent6" w:themeShade="BF"/>
      <w:sz w:val="28"/>
      <w:szCs w:val="28"/>
    </w:rPr>
  </w:style>
  <w:style w:type="paragraph" w:styleId="853">
    <w:name w:val="Heading 3"/>
    <w:basedOn w:val="850"/>
    <w:next w:val="850"/>
    <w:link w:val="884"/>
    <w:uiPriority w:val="9"/>
    <w:semiHidden/>
    <w:unhideWhenUsed/>
    <w:qFormat/>
    <w:pPr>
      <w:keepNext/>
      <w:keepLines/>
      <w:spacing w:before="80" w:after="0" w:line="240" w:lineRule="auto"/>
      <w:outlineLvl w:val="2"/>
    </w:pPr>
    <w:rPr>
      <w:rFonts w:asciiTheme="majorHAnsi" w:hAnsiTheme="majorHAnsi" w:eastAsiaTheme="majorEastAsia" w:cstheme="majorBidi"/>
      <w:color w:val="5b8777" w:themeColor="accent6" w:themeShade="BF"/>
      <w:sz w:val="24"/>
      <w:szCs w:val="24"/>
    </w:rPr>
  </w:style>
  <w:style w:type="paragraph" w:styleId="854">
    <w:name w:val="Heading 4"/>
    <w:basedOn w:val="850"/>
    <w:next w:val="850"/>
    <w:link w:val="885"/>
    <w:uiPriority w:val="9"/>
    <w:semiHidden/>
    <w:unhideWhenUsed/>
    <w:qFormat/>
    <w:pPr>
      <w:keepNext/>
      <w:keepLines/>
      <w:spacing w:before="80" w:after="0"/>
      <w:outlineLvl w:val="3"/>
    </w:pPr>
    <w:rPr>
      <w:rFonts w:asciiTheme="majorHAnsi" w:hAnsiTheme="majorHAnsi" w:eastAsiaTheme="majorEastAsia" w:cstheme="majorBidi"/>
      <w:color w:val="84ac9d" w:themeColor="accent6"/>
      <w:sz w:val="22"/>
      <w:szCs w:val="22"/>
    </w:rPr>
  </w:style>
  <w:style w:type="paragraph" w:styleId="855">
    <w:name w:val="Heading 5"/>
    <w:basedOn w:val="850"/>
    <w:next w:val="850"/>
    <w:link w:val="886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i/>
      <w:iCs/>
      <w:color w:val="84ac9d" w:themeColor="accent6"/>
      <w:sz w:val="22"/>
      <w:szCs w:val="22"/>
    </w:rPr>
  </w:style>
  <w:style w:type="paragraph" w:styleId="856">
    <w:name w:val="Heading 6"/>
    <w:basedOn w:val="850"/>
    <w:next w:val="850"/>
    <w:link w:val="887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color w:val="84ac9d" w:themeColor="accent6"/>
    </w:rPr>
  </w:style>
  <w:style w:type="paragraph" w:styleId="857">
    <w:name w:val="Heading 7"/>
    <w:basedOn w:val="850"/>
    <w:next w:val="850"/>
    <w:link w:val="888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b/>
      <w:bCs/>
      <w:color w:val="84ac9d" w:themeColor="accent6"/>
    </w:rPr>
  </w:style>
  <w:style w:type="paragraph" w:styleId="858">
    <w:name w:val="Heading 8"/>
    <w:basedOn w:val="850"/>
    <w:next w:val="850"/>
    <w:link w:val="889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b/>
      <w:bCs/>
      <w:i/>
      <w:iCs/>
      <w:color w:val="84ac9d" w:themeColor="accent6"/>
      <w:sz w:val="20"/>
      <w:szCs w:val="20"/>
    </w:rPr>
  </w:style>
  <w:style w:type="paragraph" w:styleId="859">
    <w:name w:val="Heading 9"/>
    <w:basedOn w:val="850"/>
    <w:next w:val="850"/>
    <w:link w:val="8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i/>
      <w:iCs/>
      <w:color w:val="84ac9d" w:themeColor="accent6"/>
      <w:sz w:val="20"/>
      <w:szCs w:val="20"/>
    </w:rPr>
  </w:style>
  <w:style w:type="character" w:styleId="860" w:default="1">
    <w:name w:val="Default Paragraph Font"/>
    <w:uiPriority w:val="1"/>
    <w:semiHidden/>
    <w:unhideWhenUsed/>
  </w:style>
  <w:style w:type="table" w:styleId="8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2" w:default="1">
    <w:name w:val="No List"/>
    <w:uiPriority w:val="99"/>
    <w:semiHidden/>
    <w:unhideWhenUsed/>
  </w:style>
  <w:style w:type="paragraph" w:styleId="863">
    <w:name w:val="List Paragraph"/>
    <w:basedOn w:val="850"/>
    <w:uiPriority w:val="34"/>
    <w:qFormat/>
    <w:pPr>
      <w:ind w:left="720"/>
      <w:contextualSpacing/>
    </w:pPr>
  </w:style>
  <w:style w:type="paragraph" w:styleId="864">
    <w:name w:val="Balloon Text"/>
    <w:basedOn w:val="850"/>
    <w:link w:val="86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5" w:customStyle="1">
    <w:name w:val="Текст выноски Знак"/>
    <w:basedOn w:val="860"/>
    <w:link w:val="864"/>
    <w:uiPriority w:val="99"/>
    <w:semiHidden/>
    <w:rPr>
      <w:rFonts w:ascii="Tahoma" w:hAnsi="Tahoma" w:cs="Tahoma"/>
      <w:sz w:val="16"/>
      <w:szCs w:val="16"/>
    </w:rPr>
  </w:style>
  <w:style w:type="table" w:styleId="866">
    <w:name w:val="Table Grid"/>
    <w:basedOn w:val="86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7">
    <w:name w:val="endnote text"/>
    <w:basedOn w:val="850"/>
    <w:link w:val="868"/>
    <w:uiPriority w:val="99"/>
    <w:unhideWhenUsed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styleId="868" w:customStyle="1">
    <w:name w:val="Текст концевой сноски Знак"/>
    <w:basedOn w:val="860"/>
    <w:link w:val="867"/>
    <w:uiPriority w:val="99"/>
    <w:rPr>
      <w:rFonts w:ascii="Times New Roman" w:hAnsi="Times New Roman" w:cs="Times New Roman"/>
      <w:sz w:val="20"/>
      <w:szCs w:val="20"/>
    </w:rPr>
  </w:style>
  <w:style w:type="character" w:styleId="869">
    <w:name w:val="endnote reference"/>
    <w:basedOn w:val="860"/>
    <w:uiPriority w:val="99"/>
    <w:semiHidden/>
    <w:unhideWhenUsed/>
    <w:rPr>
      <w:vertAlign w:val="superscript"/>
    </w:rPr>
  </w:style>
  <w:style w:type="paragraph" w:styleId="870" w:customStyle="1">
    <w:name w:val="ConsPlusCell"/>
    <w:pPr>
      <w:widowControl w:val="off"/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paragraph" w:styleId="871">
    <w:name w:val="footnote text"/>
    <w:basedOn w:val="850"/>
    <w:link w:val="87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872" w:customStyle="1">
    <w:name w:val="Текст сноски Знак"/>
    <w:basedOn w:val="860"/>
    <w:link w:val="871"/>
    <w:uiPriority w:val="99"/>
    <w:semiHidden/>
    <w:rPr>
      <w:sz w:val="20"/>
      <w:szCs w:val="20"/>
    </w:rPr>
  </w:style>
  <w:style w:type="character" w:styleId="873">
    <w:name w:val="footnote reference"/>
    <w:basedOn w:val="860"/>
    <w:uiPriority w:val="99"/>
    <w:semiHidden/>
    <w:unhideWhenUsed/>
    <w:rPr>
      <w:vertAlign w:val="superscript"/>
    </w:rPr>
  </w:style>
  <w:style w:type="paragraph" w:styleId="874">
    <w:name w:val="Header"/>
    <w:basedOn w:val="850"/>
    <w:link w:val="875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875" w:customStyle="1">
    <w:name w:val="Верхний колонтитул Знак"/>
    <w:basedOn w:val="860"/>
    <w:link w:val="874"/>
    <w:uiPriority w:val="99"/>
  </w:style>
  <w:style w:type="paragraph" w:styleId="876">
    <w:name w:val="Footer"/>
    <w:basedOn w:val="850"/>
    <w:link w:val="877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877" w:customStyle="1">
    <w:name w:val="Нижний колонтитул Знак"/>
    <w:basedOn w:val="860"/>
    <w:link w:val="876"/>
    <w:uiPriority w:val="99"/>
  </w:style>
  <w:style w:type="paragraph" w:styleId="878">
    <w:name w:val="Normal (Web)"/>
    <w:basedOn w:val="850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79">
    <w:name w:val="Strong"/>
    <w:basedOn w:val="860"/>
    <w:uiPriority w:val="22"/>
    <w:qFormat/>
    <w:rPr>
      <w:b/>
      <w:bCs/>
    </w:rPr>
  </w:style>
  <w:style w:type="character" w:styleId="880">
    <w:name w:val="Hyperlink"/>
    <w:basedOn w:val="860"/>
    <w:uiPriority w:val="99"/>
    <w:semiHidden/>
    <w:unhideWhenUsed/>
    <w:rPr>
      <w:color w:val="0000ff"/>
      <w:u w:val="single"/>
    </w:rPr>
  </w:style>
  <w:style w:type="paragraph" w:styleId="881" w:customStyle="1">
    <w:name w:val="ConsPlusNormal"/>
    <w:pPr>
      <w:spacing w:after="0" w:line="240" w:lineRule="auto"/>
    </w:pPr>
    <w:rPr>
      <w:rFonts w:ascii="Times New Roman" w:hAnsi="Times New Roman" w:cs="Times New Roman"/>
      <w:sz w:val="16"/>
      <w:szCs w:val="16"/>
    </w:rPr>
  </w:style>
  <w:style w:type="character" w:styleId="882" w:customStyle="1">
    <w:name w:val="Заголовок 1 Знак"/>
    <w:basedOn w:val="860"/>
    <w:link w:val="851"/>
    <w:uiPriority w:val="9"/>
    <w:rPr>
      <w:rFonts w:asciiTheme="majorHAnsi" w:hAnsiTheme="majorHAnsi" w:eastAsiaTheme="majorEastAsia" w:cstheme="majorBidi"/>
      <w:color w:val="5b8777" w:themeColor="accent6" w:themeShade="BF"/>
      <w:sz w:val="40"/>
      <w:szCs w:val="40"/>
    </w:rPr>
  </w:style>
  <w:style w:type="character" w:styleId="883" w:customStyle="1">
    <w:name w:val="Заголовок 2 Знак"/>
    <w:basedOn w:val="860"/>
    <w:link w:val="852"/>
    <w:uiPriority w:val="9"/>
    <w:semiHidden/>
    <w:rPr>
      <w:rFonts w:asciiTheme="majorHAnsi" w:hAnsiTheme="majorHAnsi" w:eastAsiaTheme="majorEastAsia" w:cstheme="majorBidi"/>
      <w:color w:val="5b8777" w:themeColor="accent6" w:themeShade="BF"/>
      <w:sz w:val="28"/>
      <w:szCs w:val="28"/>
    </w:rPr>
  </w:style>
  <w:style w:type="character" w:styleId="884" w:customStyle="1">
    <w:name w:val="Заголовок 3 Знак"/>
    <w:basedOn w:val="860"/>
    <w:link w:val="853"/>
    <w:uiPriority w:val="9"/>
    <w:semiHidden/>
    <w:rPr>
      <w:rFonts w:asciiTheme="majorHAnsi" w:hAnsiTheme="majorHAnsi" w:eastAsiaTheme="majorEastAsia" w:cstheme="majorBidi"/>
      <w:color w:val="5b8777" w:themeColor="accent6" w:themeShade="BF"/>
      <w:sz w:val="24"/>
      <w:szCs w:val="24"/>
    </w:rPr>
  </w:style>
  <w:style w:type="character" w:styleId="885" w:customStyle="1">
    <w:name w:val="Заголовок 4 Знак"/>
    <w:basedOn w:val="860"/>
    <w:link w:val="854"/>
    <w:uiPriority w:val="9"/>
    <w:semiHidden/>
    <w:rPr>
      <w:rFonts w:asciiTheme="majorHAnsi" w:hAnsiTheme="majorHAnsi" w:eastAsiaTheme="majorEastAsia" w:cstheme="majorBidi"/>
      <w:color w:val="84ac9d" w:themeColor="accent6"/>
      <w:sz w:val="22"/>
      <w:szCs w:val="22"/>
    </w:rPr>
  </w:style>
  <w:style w:type="character" w:styleId="886" w:customStyle="1">
    <w:name w:val="Заголовок 5 Знак"/>
    <w:basedOn w:val="860"/>
    <w:link w:val="855"/>
    <w:uiPriority w:val="9"/>
    <w:semiHidden/>
    <w:rPr>
      <w:rFonts w:asciiTheme="majorHAnsi" w:hAnsiTheme="majorHAnsi" w:eastAsiaTheme="majorEastAsia" w:cstheme="majorBidi"/>
      <w:i/>
      <w:iCs/>
      <w:color w:val="84ac9d" w:themeColor="accent6"/>
      <w:sz w:val="22"/>
      <w:szCs w:val="22"/>
    </w:rPr>
  </w:style>
  <w:style w:type="character" w:styleId="887" w:customStyle="1">
    <w:name w:val="Заголовок 6 Знак"/>
    <w:basedOn w:val="860"/>
    <w:link w:val="856"/>
    <w:uiPriority w:val="9"/>
    <w:semiHidden/>
    <w:rPr>
      <w:rFonts w:asciiTheme="majorHAnsi" w:hAnsiTheme="majorHAnsi" w:eastAsiaTheme="majorEastAsia" w:cstheme="majorBidi"/>
      <w:color w:val="84ac9d" w:themeColor="accent6"/>
    </w:rPr>
  </w:style>
  <w:style w:type="character" w:styleId="888" w:customStyle="1">
    <w:name w:val="Заголовок 7 Знак"/>
    <w:basedOn w:val="860"/>
    <w:link w:val="857"/>
    <w:uiPriority w:val="9"/>
    <w:semiHidden/>
    <w:rPr>
      <w:rFonts w:asciiTheme="majorHAnsi" w:hAnsiTheme="majorHAnsi" w:eastAsiaTheme="majorEastAsia" w:cstheme="majorBidi"/>
      <w:b/>
      <w:bCs/>
      <w:color w:val="84ac9d" w:themeColor="accent6"/>
    </w:rPr>
  </w:style>
  <w:style w:type="character" w:styleId="889" w:customStyle="1">
    <w:name w:val="Заголовок 8 Знак"/>
    <w:basedOn w:val="860"/>
    <w:link w:val="858"/>
    <w:uiPriority w:val="9"/>
    <w:semiHidden/>
    <w:rPr>
      <w:rFonts w:asciiTheme="majorHAnsi" w:hAnsiTheme="majorHAnsi" w:eastAsiaTheme="majorEastAsia" w:cstheme="majorBidi"/>
      <w:b/>
      <w:bCs/>
      <w:i/>
      <w:iCs/>
      <w:color w:val="84ac9d" w:themeColor="accent6"/>
      <w:sz w:val="20"/>
      <w:szCs w:val="20"/>
    </w:rPr>
  </w:style>
  <w:style w:type="character" w:styleId="890" w:customStyle="1">
    <w:name w:val="Заголовок 9 Знак"/>
    <w:basedOn w:val="860"/>
    <w:link w:val="859"/>
    <w:uiPriority w:val="9"/>
    <w:semiHidden/>
    <w:rPr>
      <w:rFonts w:asciiTheme="majorHAnsi" w:hAnsiTheme="majorHAnsi" w:eastAsiaTheme="majorEastAsia" w:cstheme="majorBidi"/>
      <w:i/>
      <w:iCs/>
      <w:color w:val="84ac9d" w:themeColor="accent6"/>
      <w:sz w:val="20"/>
      <w:szCs w:val="20"/>
    </w:rPr>
  </w:style>
  <w:style w:type="paragraph" w:styleId="891">
    <w:name w:val="Title"/>
    <w:basedOn w:val="850"/>
    <w:next w:val="850"/>
    <w:link w:val="892"/>
    <w:uiPriority w:val="10"/>
    <w:qFormat/>
    <w:pPr>
      <w:spacing w:after="0" w:line="240" w:lineRule="auto"/>
      <w:contextualSpacing/>
    </w:pPr>
    <w:rPr>
      <w:rFonts w:asciiTheme="majorHAnsi" w:hAnsiTheme="majorHAnsi" w:eastAsiaTheme="majorEastAsia" w:cstheme="majorBidi"/>
      <w:color w:val="262626" w:themeColor="text1" w:themeTint="D9"/>
      <w:spacing w:val="-15"/>
      <w:sz w:val="96"/>
      <w:szCs w:val="96"/>
    </w:rPr>
  </w:style>
  <w:style w:type="character" w:styleId="892" w:customStyle="1">
    <w:name w:val="Заголовок Знак"/>
    <w:basedOn w:val="860"/>
    <w:link w:val="891"/>
    <w:uiPriority w:val="10"/>
    <w:rPr>
      <w:rFonts w:asciiTheme="majorHAnsi" w:hAnsiTheme="majorHAnsi" w:eastAsiaTheme="majorEastAsia" w:cstheme="majorBidi"/>
      <w:color w:val="262626" w:themeColor="text1" w:themeTint="D9"/>
      <w:spacing w:val="-15"/>
      <w:sz w:val="96"/>
      <w:szCs w:val="96"/>
    </w:rPr>
  </w:style>
  <w:style w:type="paragraph" w:styleId="893">
    <w:name w:val="Subtitle"/>
    <w:basedOn w:val="850"/>
    <w:next w:val="850"/>
    <w:link w:val="894"/>
    <w:uiPriority w:val="11"/>
    <w:qFormat/>
    <w:pPr>
      <w:numPr>
        <w:ilvl w:val="1"/>
      </w:numPr>
      <w:spacing w:line="240" w:lineRule="auto"/>
    </w:pPr>
    <w:rPr>
      <w:rFonts w:asciiTheme="majorHAnsi" w:hAnsiTheme="majorHAnsi" w:eastAsiaTheme="majorEastAsia" w:cstheme="majorBidi"/>
      <w:sz w:val="30"/>
      <w:szCs w:val="30"/>
    </w:rPr>
  </w:style>
  <w:style w:type="character" w:styleId="894" w:customStyle="1">
    <w:name w:val="Подзаголовок Знак"/>
    <w:basedOn w:val="860"/>
    <w:link w:val="893"/>
    <w:uiPriority w:val="11"/>
    <w:rPr>
      <w:rFonts w:asciiTheme="majorHAnsi" w:hAnsiTheme="majorHAnsi" w:eastAsiaTheme="majorEastAsia" w:cstheme="majorBidi"/>
      <w:sz w:val="30"/>
      <w:szCs w:val="30"/>
    </w:rPr>
  </w:style>
  <w:style w:type="character" w:styleId="895">
    <w:name w:val="Emphasis"/>
    <w:basedOn w:val="860"/>
    <w:uiPriority w:val="20"/>
    <w:qFormat/>
    <w:rPr>
      <w:i/>
      <w:iCs/>
      <w:color w:val="84ac9d" w:themeColor="accent6"/>
    </w:rPr>
  </w:style>
  <w:style w:type="paragraph" w:styleId="896">
    <w:name w:val="No Spacing"/>
    <w:link w:val="908"/>
    <w:uiPriority w:val="1"/>
    <w:qFormat/>
    <w:pPr>
      <w:spacing w:after="0" w:line="240" w:lineRule="auto"/>
    </w:pPr>
  </w:style>
  <w:style w:type="paragraph" w:styleId="897">
    <w:name w:val="Quote"/>
    <w:basedOn w:val="850"/>
    <w:next w:val="850"/>
    <w:link w:val="898"/>
    <w:uiPriority w:val="29"/>
    <w:qFormat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styleId="898" w:customStyle="1">
    <w:name w:val="Цитата 2 Знак"/>
    <w:basedOn w:val="860"/>
    <w:link w:val="897"/>
    <w:uiPriority w:val="29"/>
    <w:rPr>
      <w:i/>
      <w:iCs/>
      <w:color w:val="262626" w:themeColor="text1" w:themeTint="D9"/>
    </w:rPr>
  </w:style>
  <w:style w:type="paragraph" w:styleId="899">
    <w:name w:val="Intense Quote"/>
    <w:basedOn w:val="850"/>
    <w:next w:val="850"/>
    <w:link w:val="900"/>
    <w:uiPriority w:val="30"/>
    <w:qFormat/>
    <w:pPr>
      <w:spacing w:before="160" w:after="160" w:line="264" w:lineRule="auto"/>
      <w:ind w:left="720" w:right="720"/>
      <w:jc w:val="center"/>
    </w:pPr>
    <w:rPr>
      <w:rFonts w:asciiTheme="majorHAnsi" w:hAnsiTheme="majorHAnsi" w:eastAsiaTheme="majorEastAsia" w:cstheme="majorBidi"/>
      <w:i/>
      <w:iCs/>
      <w:color w:val="84ac9d" w:themeColor="accent6"/>
      <w:sz w:val="32"/>
      <w:szCs w:val="32"/>
    </w:rPr>
  </w:style>
  <w:style w:type="character" w:styleId="900" w:customStyle="1">
    <w:name w:val="Выделенная цитата Знак"/>
    <w:basedOn w:val="860"/>
    <w:link w:val="899"/>
    <w:uiPriority w:val="30"/>
    <w:rPr>
      <w:rFonts w:asciiTheme="majorHAnsi" w:hAnsiTheme="majorHAnsi" w:eastAsiaTheme="majorEastAsia" w:cstheme="majorBidi"/>
      <w:i/>
      <w:iCs/>
      <w:color w:val="84ac9d" w:themeColor="accent6"/>
      <w:sz w:val="32"/>
      <w:szCs w:val="32"/>
    </w:rPr>
  </w:style>
  <w:style w:type="character" w:styleId="901">
    <w:name w:val="Subtle Emphasis"/>
    <w:basedOn w:val="860"/>
    <w:uiPriority w:val="19"/>
    <w:qFormat/>
    <w:rPr>
      <w:i/>
      <w:iCs/>
    </w:rPr>
  </w:style>
  <w:style w:type="character" w:styleId="902">
    <w:name w:val="Intense Emphasis"/>
    <w:basedOn w:val="860"/>
    <w:uiPriority w:val="21"/>
    <w:qFormat/>
    <w:rPr>
      <w:b/>
      <w:bCs/>
      <w:i/>
      <w:iCs/>
    </w:rPr>
  </w:style>
  <w:style w:type="character" w:styleId="903">
    <w:name w:val="Subtle Reference"/>
    <w:basedOn w:val="860"/>
    <w:uiPriority w:val="31"/>
    <w:qFormat/>
    <w:rPr>
      <w:smallCaps/>
      <w:color w:val="595959" w:themeColor="text1" w:themeTint="A6"/>
    </w:rPr>
  </w:style>
  <w:style w:type="character" w:styleId="904">
    <w:name w:val="Intense Reference"/>
    <w:basedOn w:val="860"/>
    <w:uiPriority w:val="32"/>
    <w:qFormat/>
    <w:rPr>
      <w:b/>
      <w:bCs/>
      <w:smallCaps/>
      <w:color w:val="84ac9d" w:themeColor="accent6"/>
    </w:rPr>
  </w:style>
  <w:style w:type="character" w:styleId="905">
    <w:name w:val="Book Title"/>
    <w:basedOn w:val="860"/>
    <w:uiPriority w:val="33"/>
    <w:qFormat/>
    <w:rPr>
      <w:b/>
      <w:bCs/>
      <w:caps w:val="0"/>
      <w:smallCaps/>
      <w:spacing w:val="7"/>
      <w:sz w:val="21"/>
      <w:szCs w:val="21"/>
    </w:rPr>
  </w:style>
  <w:style w:type="paragraph" w:styleId="906">
    <w:name w:val="TOC Heading"/>
    <w:basedOn w:val="851"/>
    <w:next w:val="850"/>
    <w:uiPriority w:val="39"/>
    <w:semiHidden/>
    <w:unhideWhenUsed/>
    <w:qFormat/>
    <w:pPr>
      <w:outlineLvl w:val="9"/>
    </w:pPr>
  </w:style>
  <w:style w:type="paragraph" w:styleId="907">
    <w:name w:val="Caption"/>
    <w:basedOn w:val="850"/>
    <w:next w:val="850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</w:rPr>
  </w:style>
  <w:style w:type="character" w:styleId="908" w:customStyle="1">
    <w:name w:val="Без интервала Знак"/>
    <w:basedOn w:val="860"/>
    <w:link w:val="896"/>
    <w:uiPriority w:val="1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Relationship Id="rId12" Type="http://schemas.openxmlformats.org/officeDocument/2006/relationships/hyperlink" Target="consultantplus://offline/ref=EC5945C6B0781D76EBA86BC2EB6231DDF1014A7D9AABB2A2F7D58F5DF62580E245B7BE073409A0D050086272FDB850125AWFZFE" TargetMode="External"/><Relationship Id="rId13" Type="http://schemas.openxmlformats.org/officeDocument/2006/relationships/hyperlink" Target="consultantplus://offline/ref=F138A9027943A7E28E926A6B20D5C40EB37F6CEE4C8B2637B5E700E8A5E327C6C0B402DFA8CFAE874215D7v6t4I" TargetMode="External"/><Relationship Id="rId14" Type="http://schemas.openxmlformats.org/officeDocument/2006/relationships/hyperlink" Target="consultantplus://offline/ref=9EDAB431560C24676FC932679F46FB803B4240004FF3BB0FAAD3EC8A68164645E8C78D4F4414v4u6I" TargetMode="External"/><Relationship Id="rId15" Type="http://schemas.openxmlformats.org/officeDocument/2006/relationships/hyperlink" Target="consultantplus://offline/ref=24F809B073C361D7E9EB5214C4D3633207CAA36C21D294D6E1A9D16D0508812E554A080A04C2C1B72B4CA2a8xBI" TargetMode="External"/><Relationship Id="rId16" Type="http://schemas.openxmlformats.org/officeDocument/2006/relationships/hyperlink" Target="consultantplus://offline/ref=343086F5AFB7850C03E8ABFD7D35CA1626E55086A48FBD139E5616A1ACFA1A4AD1CF6AC0B7BBFD02B4CB0EjBw4I" TargetMode="External"/><Relationship Id="rId17" Type="http://schemas.openxmlformats.org/officeDocument/2006/relationships/hyperlink" Target="consultantplus://offline/ref=DF3795668EDF6430079F3D4A43B192C2B81A0260C182735E6723D65E8FDF69B180ED70CC7C6A201B38E8FAMEB0J" TargetMode="External"/><Relationship Id="rId18" Type="http://schemas.openxmlformats.org/officeDocument/2006/relationships/hyperlink" Target="consultantplus://offline/ref=C66ABBF43D4204B390B0B3A79281E1268AE22C31E9715ADB37D5DC265445AA77203F27987B453E394606E816C540F2B1D0B3E0D108DFCCDC825E7A6Bv8jEI" TargetMode="External"/><Relationship Id="rId19" Type="http://schemas.openxmlformats.org/officeDocument/2006/relationships/hyperlink" Target="consultantplus://offline/ref=C66ABBF43D4204B390B0B3A79281E1268AE22C31E9715ADB37D5DC265445AA77203F27987B453E394607E01EC440F2B1D0B3E0D108DFCCDC825E7A6Bv8jEI" TargetMode="External"/><Relationship Id="rId20" Type="http://schemas.openxmlformats.org/officeDocument/2006/relationships/hyperlink" Target="consultantplus://offline/ref=A91884BCBF75B25410D190D7EAD2660584F18F6E1D465A2DF337E97207617F202469235E221AB5084F96A1o8GFJ" TargetMode="External"/><Relationship Id="rId21" Type="http://schemas.openxmlformats.org/officeDocument/2006/relationships/hyperlink" Target="consultantplus://offline/ref=A91884BCBF75B25410D190D7EAD2660584F18F6E1D465D2AF537E97207617F202469235E221AoBG6J" TargetMode="External"/><Relationship Id="rId22" Type="http://schemas.openxmlformats.org/officeDocument/2006/relationships/hyperlink" Target="consultantplus://offline/ref=7E41102F00E363CD6FC989EBD1A5590E82ED763139E4C3CF5CEB7E81C06F91A7CBE24C74BE63u2M2J" TargetMode="External"/><Relationship Id="rId23" Type="http://schemas.openxmlformats.org/officeDocument/2006/relationships/hyperlink" Target="consultantplus://offline/ref=F690E0A253022947F945350E4CC858AE5B9804898D6B8A08BD9217A8EBECCD567AB1DC04081C200CF6CE69ZAg8I" TargetMode="External"/><Relationship Id="rId24" Type="http://schemas.openxmlformats.org/officeDocument/2006/relationships/hyperlink" Target="consultantplus://offline/ref=F690E0A253022947F945350E4CC858AE5B9804898D6B8103B49217A8EBECCD567AB1DC04081C200CF6CE6DZAgFI" TargetMode="External"/><Relationship Id="rId25" Type="http://schemas.openxmlformats.org/officeDocument/2006/relationships/hyperlink" Target="consultantplus://offline/ref=7E41102F00E363CD6FC989EBD1A5590E82ED763136E1CEC159EB7E81C06F91A7CBE24C74BE63214161A074uCM2J" TargetMode="External"/><Relationship Id="rId26" Type="http://schemas.openxmlformats.org/officeDocument/2006/relationships/hyperlink" Target="consultantplus://offline/ref=3572A7EC13E1055CB63D68017BDC98E1863B6DDAA3C814493FAF77B9B9B72B35DC125AE9C7842A92D3FEE8Z728I" TargetMode="External"/><Relationship Id="rId27" Type="http://schemas.openxmlformats.org/officeDocument/2006/relationships/hyperlink" Target="consultantplus://offline/ref=D1160BB16CB8E1D1E08263EE28B6047E7BF5E86076ED9925973D4D8E6AFD7049697C6B74FD095010D2A71076o0I" TargetMode="External"/><Relationship Id="rId28" Type="http://schemas.openxmlformats.org/officeDocument/2006/relationships/hyperlink" Target="consultantplus://offline/ref=D1160BB16CB8E1D1E08263EE28B6047E7BF5E86079E59826903D4D8E6AFD7049697C6B74FD095010D2AF1276oEI" TargetMode="External"/><Relationship Id="rId29" Type="http://schemas.openxmlformats.org/officeDocument/2006/relationships/hyperlink" Target="consultantplus://offline/ref=BDC1A32C9513503744860B2EC7372DA2BF1072C6953F556388E81531161CC9C50BCB7F1BC20F99965D46BBhEtCJ" TargetMode="External"/><Relationship Id="rId30" Type="http://schemas.openxmlformats.org/officeDocument/2006/relationships/hyperlink" Target="consultantplus://offline/ref=D8DF53566EFBD959430FB9531209F23879B35919398C64E0F82BCA9FB91CCEAFA4650E2B3A07FA2AD8A256x057J" TargetMode="External"/><Relationship Id="rId31" Type="http://schemas.openxmlformats.org/officeDocument/2006/relationships/hyperlink" Target="consultantplus://offline/ref=D8DF53566EFBD959430FB9531209F23879B3591939836DE6FE2BCA9FB91CCEAFA4650E2B3A07FA2AD8A257x05DJ" TargetMode="External"/><Relationship Id="rId32" Type="http://schemas.openxmlformats.org/officeDocument/2006/relationships/hyperlink" Target="consultantplus://offline/ref=D8DF53566EFBD959430FB9531209F23879B35919368664E6F02BCA9FB91CCEAFA4650E2B3A07FA2AD9A25Dx057J" TargetMode="External"/><Relationship Id="rId33" Type="http://schemas.openxmlformats.org/officeDocument/2006/relationships/hyperlink" Target="consultantplus://offline/ref=0B1CD921EABF88409445B914F57FB6FAB8AFFCCD4CC6074AC1F2D07E2B5BD821141F617B107664D756218E70T0K" TargetMode="External"/><Relationship Id="rId34" Type="http://schemas.openxmlformats.org/officeDocument/2006/relationships/hyperlink" Target="consultantplus://offline/ref=0B1CD921EABF88409445B914F57FB6FAB8AFFCCD4CC60544C3F2D07E2B5BD821141F617B107664D757208870T7K" TargetMode="External"/><Relationship Id="rId35" Type="http://schemas.openxmlformats.org/officeDocument/2006/relationships/hyperlink" Target="consultantplus://offline/ref=8CCE2E5DBF49AA49CD1FD781303A15904DCED258055076FF9C0601BA738A0E71F69B0F033C13B43ABF02F5V4eAK" TargetMode="External"/><Relationship Id="rId36" Type="http://schemas.openxmlformats.org/officeDocument/2006/relationships/hyperlink" Target="consultantplus://offline/ref=8CCE2E5DBF49AA49CD1FD781303A15904DCED25805517EF89A0601BA738A0E71F69B0F033C13VBe7K" TargetMode="External"/><Relationship Id="rId37" Type="http://schemas.openxmlformats.org/officeDocument/2006/relationships/hyperlink" Target="consultantplus://offline/ref=D5B7395E2162F6E40748D477C600E66F0668F07616863554AEAC7AE3CAF2ED2DECBDAC4CCB4D44A3EF2FFF4E0B1708D13EBA4B91245B12CEC1C1F619b4h4I" TargetMode="External"/><Relationship Id="rId38" Type="http://schemas.openxmlformats.org/officeDocument/2006/relationships/hyperlink" Target="consultantplus://offline/ref=D5B7395E2162F6E40748D477C600E66F0668F07616863554AEAC7AE3CAF2ED2DECBDAC4CCB4D44A3EF2FFE4E001708D13EBA4B91245B12CEC1C1F619b4h4I" TargetMode="External"/><Relationship Id="rId39" Type="http://schemas.openxmlformats.org/officeDocument/2006/relationships/hyperlink" Target="consultantplus://offline/ref=8CCE2E5DBF49AA49CD1FD781303A15904DCED25805517CFE940601BA738A0E71F69B0F033C13B43ABF0AF0V4eA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Метрополия">
  <a:themeElements>
    <a:clrScheme name="Метрополия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Метрополия">
      <a:majorFont>
        <a:latin typeface="Calibri Light"/>
        <a:ea typeface="Arial"/>
        <a:cs typeface="Arial"/>
      </a:majorFont>
      <a:minorFont>
        <a:latin typeface="Calibri Light"/>
        <a:ea typeface="Arial"/>
        <a:cs typeface="Arial"/>
      </a:minorFont>
    </a:fontScheme>
    <a:fmtScheme name="Метрополия">
      <a:fillStyleLst>
        <a:solidFill>
          <a:schemeClr val="phClr"/>
        </a:solidFill>
        <a:gradFill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23251-EF21-451D-987D-89C23F329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mineconom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Жучкова Эльвира Александровна</dc:creator>
  <cp:keywords/>
  <dc:description/>
  <cp:revision>119</cp:revision>
  <dcterms:created xsi:type="dcterms:W3CDTF">2020-05-15T01:30:00Z</dcterms:created>
  <dcterms:modified xsi:type="dcterms:W3CDTF">2023-06-23T09:30:01Z</dcterms:modified>
  <cp:category/>
</cp:coreProperties>
</file>