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A9" w:rsidRPr="00B32AA9" w:rsidRDefault="00B32AA9" w:rsidP="00B32A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32AA9" w:rsidRPr="00B32AA9" w:rsidRDefault="00B32AA9" w:rsidP="00B3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2A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ПРОТОКОЛ </w:t>
      </w:r>
    </w:p>
    <w:p w:rsidR="00112E99" w:rsidRPr="00B32AA9" w:rsidRDefault="00AB4925" w:rsidP="0011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9B0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аседания балансовой комиссии по оценке деятельности Государственного автономного учреждения Новосибирской области «Многофункциональный центр  организации государственных и муниципальных услуг Новосибирской области»</w:t>
      </w:r>
      <w:r w:rsidR="0011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МФЦ)</w:t>
      </w:r>
    </w:p>
    <w:p w:rsidR="00B32AA9" w:rsidRPr="00B32AA9" w:rsidRDefault="00B32AA9" w:rsidP="00B3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AA9" w:rsidRPr="00C4588A" w:rsidRDefault="009B067C" w:rsidP="00B32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7169F" w:rsidRPr="007F4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E7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рта</w:t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E7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="00B32AA9" w:rsidRPr="00B3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№</w:t>
      </w:r>
      <w:r w:rsidR="00B32AA9" w:rsidRPr="00B32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32AA9" w:rsidRPr="0050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б/н</w:t>
      </w:r>
    </w:p>
    <w:p w:rsidR="00B32AA9" w:rsidRPr="00B32AA9" w:rsidRDefault="00B32AA9" w:rsidP="00B32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2AA9" w:rsidRPr="00B32AA9" w:rsidRDefault="00B32AA9" w:rsidP="00B32AA9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bookmarkStart w:id="1" w:name="OLE_LINK1"/>
      <w:bookmarkStart w:id="2" w:name="OLE_LINK2"/>
      <w:r w:rsidRPr="00B3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AA9" w:rsidRPr="00B32AA9" w:rsidRDefault="00B32AA9" w:rsidP="00B32AA9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B32AA9" w:rsidRPr="00B32AA9" w:rsidTr="009B2639">
        <w:tc>
          <w:tcPr>
            <w:tcW w:w="3828" w:type="dxa"/>
          </w:tcPr>
          <w:p w:rsidR="00B32AA9" w:rsidRPr="00B32AA9" w:rsidRDefault="00B32AA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Молчанова </w:t>
            </w:r>
          </w:p>
        </w:tc>
        <w:tc>
          <w:tcPr>
            <w:tcW w:w="5812" w:type="dxa"/>
          </w:tcPr>
          <w:p w:rsidR="00B32AA9" w:rsidRPr="00B32AA9" w:rsidRDefault="00B32AA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</w:t>
            </w:r>
            <w:r w:rsidR="00A8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 Председателя  Правительства </w:t>
            </w:r>
            <w:r w:rsidRPr="00B3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 экономического развития Новосибирской области</w:t>
            </w:r>
          </w:p>
        </w:tc>
      </w:tr>
      <w:tr w:rsidR="00B32AA9" w:rsidRPr="00B32AA9" w:rsidTr="009B2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32AA9" w:rsidRDefault="009B067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  <w:r w:rsidR="00B32AA9" w:rsidRPr="00B3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F6E8C" w:rsidRPr="00B32AA9" w:rsidRDefault="00E7169F" w:rsidP="00BF6E8C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Москвина</w:t>
            </w:r>
            <w:r w:rsidR="009B0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F6E8C" w:rsidRDefault="00BF6E8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AA9" w:rsidRPr="00B32AA9" w:rsidRDefault="00E7169F" w:rsidP="00E7169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9B067C" w:rsidRPr="009B0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совершенствования государственного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правовой работы </w:t>
            </w:r>
            <w:r w:rsidR="009B067C" w:rsidRPr="009B0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Минэкономразвития НСО</w:t>
            </w:r>
          </w:p>
        </w:tc>
      </w:tr>
      <w:tr w:rsidR="00B32AA9" w:rsidRPr="00B32AA9" w:rsidTr="009B2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169F" w:rsidRDefault="00E7169F" w:rsidP="009B067C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2AA9" w:rsidRPr="009B067C" w:rsidRDefault="009B067C" w:rsidP="009B067C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балансовой комиссии</w:t>
            </w:r>
            <w:r w:rsidR="009B2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B0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74F4" w:rsidRDefault="00B574F4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AA9" w:rsidRPr="00B32AA9" w:rsidRDefault="00B32AA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AA9" w:rsidRPr="00B32AA9" w:rsidTr="009B2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В.Б. Шовтак </w:t>
            </w: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AA9" w:rsidRDefault="009B067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 Тукмачева </w:t>
            </w:r>
          </w:p>
          <w:p w:rsidR="009B067C" w:rsidRDefault="009B067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Гумарова</w:t>
            </w: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67C" w:rsidRPr="00B32AA9" w:rsidRDefault="009B067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 Вяжевич</w:t>
            </w:r>
          </w:p>
          <w:p w:rsidR="00B32AA9" w:rsidRDefault="00B32AA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67C" w:rsidRDefault="009B067C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67C" w:rsidRPr="00B32AA9" w:rsidRDefault="009B067C" w:rsidP="00E7169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E7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 Новосибирской области</w:t>
            </w: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AA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бюджетного планирования, учета и отчетности – главный бухгалтер министерства экономического развития Новосибирской области, заместитель председателя комиссии</w:t>
            </w:r>
          </w:p>
          <w:p w:rsidR="00E7169F" w:rsidRPr="00B32AA9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69F" w:rsidRDefault="00E7169F" w:rsidP="00E7169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бюджетной политики в сфере государственного управления министерства финансов и налоговой политики Новосибирской области</w:t>
            </w:r>
          </w:p>
          <w:p w:rsidR="00E7169F" w:rsidRDefault="00E7169F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AA9" w:rsidRDefault="009B2639" w:rsidP="00B32AA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управления имуществом департамента имущества и земельных отношений Новосибирской области</w:t>
            </w:r>
          </w:p>
          <w:p w:rsidR="00D5564E" w:rsidRDefault="00D5564E" w:rsidP="009B263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39" w:rsidRPr="00B32AA9" w:rsidRDefault="009B2639" w:rsidP="009B2639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bookmarkEnd w:id="2"/>
    <w:p w:rsidR="009B067C" w:rsidRDefault="009B067C" w:rsidP="009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Приглашённые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69F" w:rsidRDefault="00E7169F" w:rsidP="00112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9F" w:rsidRDefault="009B067C" w:rsidP="00E7169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11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Галимова             </w:t>
      </w:r>
      <w:r w:rsidR="009B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12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ГАУ НСО «МФЦ»</w:t>
      </w:r>
    </w:p>
    <w:p w:rsidR="00E7169F" w:rsidRDefault="00E7169F" w:rsidP="00E71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Сагина                                   </w:t>
      </w:r>
      <w:r w:rsidRP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- начальник </w:t>
      </w:r>
    </w:p>
    <w:p w:rsidR="00E7169F" w:rsidRDefault="00E7169F" w:rsidP="00E71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совершенствования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E7169F" w:rsidRDefault="00E7169F" w:rsidP="00E71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Минэкономразвития НСО</w:t>
      </w:r>
    </w:p>
    <w:p w:rsidR="009B067C" w:rsidRDefault="009B067C" w:rsidP="00B3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A9" w:rsidRPr="00B32AA9" w:rsidRDefault="00B32AA9" w:rsidP="00B3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B32AA9" w:rsidRPr="00B32AA9" w:rsidRDefault="00B32AA9" w:rsidP="00B32AA9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AA9" w:rsidRPr="00E7169F" w:rsidRDefault="008A7941" w:rsidP="00E7169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 w:rsidR="00E7169F" w:rsidRP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деятельности  ГАУ НСО «МФЦ» за 2015 год.</w:t>
      </w:r>
    </w:p>
    <w:p w:rsidR="00E7169F" w:rsidRPr="00E7169F" w:rsidRDefault="00E7169F" w:rsidP="00E7169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поручений, данных на балансовой комиссии 16.04.2015</w:t>
      </w:r>
    </w:p>
    <w:p w:rsidR="00B32AA9" w:rsidRPr="00B32AA9" w:rsidRDefault="00B32AA9" w:rsidP="00B32AA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A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32AA9" w:rsidRPr="00B32AA9" w:rsidRDefault="00B32AA9" w:rsidP="00B32AA9">
      <w:pPr>
        <w:tabs>
          <w:tab w:val="left" w:pos="2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eastAsia="ru-RU"/>
        </w:rPr>
      </w:pPr>
      <w:r w:rsidRPr="00B32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F78E7" w:rsidRPr="004D721A" w:rsidRDefault="00136837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2F78E7"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повестки дня </w:t>
      </w:r>
    </w:p>
    <w:p w:rsidR="001D05CB" w:rsidRDefault="00050A8E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78E7" w:rsidRP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ГАУ НСО «МФЦ» -</w:t>
      </w:r>
      <w:r w:rsidR="002F78E7" w:rsidRP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И.С.</w:t>
      </w:r>
      <w:r w:rsidR="002F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88A" w:rsidRPr="00C458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 прилагается)</w:t>
      </w:r>
      <w:r w:rsidR="00E71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5CB" w:rsidRDefault="001D05CB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ВЫСТУПИЛИ:</w:t>
      </w:r>
    </w:p>
    <w:p w:rsidR="001D05CB" w:rsidRPr="001D05CB" w:rsidRDefault="001D05CB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Молчанова О.В.: </w:t>
      </w:r>
      <w:r w:rsidRPr="001D0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выбиралась организация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 по  реконструкции теплового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узла, когда будут закончены работы? В договоре по оказанию услуг зафиксирована ли обязанность организации поставить на коммерческий </w:t>
      </w:r>
      <w:r w:rsidR="00B845DF" w:rsidRPr="00B845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B8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5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05CB" w:rsidRDefault="001D05CB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CB" w:rsidRDefault="001D05CB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определения подрядчика был проведен запрос котировок</w:t>
      </w:r>
      <w:r w:rsidR="009C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должны быть закончены 31.03.2016. По  условиям договора  в отношении постановки на коммерческий учет уточню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доложу.</w:t>
      </w:r>
      <w:r w:rsidR="009C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отметить, что данная организация занимается постановкой на ком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мерческий учет и, в том числе, </w:t>
      </w:r>
      <w:r w:rsidR="009C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 электронных приборов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</w:t>
      </w:r>
    </w:p>
    <w:p w:rsidR="00CA4BE9" w:rsidRDefault="00CA4BE9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2" w:rsidRDefault="00790610" w:rsidP="00136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Молчанова О.В.:</w:t>
      </w:r>
      <w:r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4E2"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CA4BE9"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затраты на 1 кв. м по всем помещениям МФЦ, находящимся в областной собственности, в аренде или безвозмездном пользовании с возмещением затрат,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учесть и </w:t>
      </w:r>
      <w:r w:rsidR="00CA4BE9"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какие котельные: угольные, газовые, мазутные.</w:t>
      </w:r>
    </w:p>
    <w:p w:rsidR="00CA4BE9" w:rsidRDefault="00E7169F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32AA9" w:rsidRPr="004D721A" w:rsidRDefault="001D05CB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C4588A"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 вопросу повестки дня.</w:t>
      </w:r>
    </w:p>
    <w:p w:rsidR="00E7169F" w:rsidRPr="004D721A" w:rsidRDefault="001D05CB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Экономический анализ по вопросу приобретения торговых автоматов и информацию по стоимости платных услуг в учреждении и аналогичных услуг на рынке.</w:t>
      </w:r>
    </w:p>
    <w:p w:rsidR="00CA4BE9" w:rsidRDefault="00CA4BE9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лученный 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сда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пло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щадей МФЦ на пл. Труда – 9 кв.м.</w:t>
      </w:r>
      <w:r w:rsidR="0047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вендинговое оборудование составил 164 358 рублей. При переходе на продажу горячих напитков за счет собственного торгового оборудования расходы составят 1 018 662 рублей, из них разовые  затраты на приобретение торгового оборудования 272 000 рублей, ежегодные </w:t>
      </w:r>
      <w:r w:rsidR="00473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и содержание– 746 198 рублей, </w:t>
      </w:r>
      <w:r w:rsidR="0047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– 312 000 рублей. Таким образом, убыток </w:t>
      </w:r>
      <w:r w:rsidR="0047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DC2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434 198 рублей.</w:t>
      </w:r>
      <w:r w:rsidR="0047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Хорошая прибыль у сетей, имеющих от 50-100 автоматов. </w:t>
      </w:r>
    </w:p>
    <w:p w:rsidR="001D05CB" w:rsidRDefault="00473512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Эта деятельность для МФЦ  не выгодна.</w:t>
      </w:r>
    </w:p>
    <w:p w:rsidR="00473512" w:rsidRDefault="00473512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приобретению торгового оборудования для продажи канцтоваров  проект пока не снимаем. Расчёты ведем, дополнительно необходимо рассчитать затраты на инкассацию.</w:t>
      </w:r>
    </w:p>
    <w:p w:rsidR="001D05CB" w:rsidRDefault="001D05CB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CB" w:rsidRDefault="00473512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1D05CB"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1D05CB" w:rsidRPr="004D721A">
        <w:rPr>
          <w:i/>
        </w:rPr>
        <w:t> </w:t>
      </w:r>
      <w:r w:rsidR="001D05CB"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видов деятельности, включенных в устав</w:t>
      </w:r>
      <w:r w:rsidR="001F52DE"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МФЦ</w:t>
      </w:r>
      <w:r w:rsidR="001D05CB"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внесение в него изменений по исключению не осуществляемых видов деятельности</w:t>
      </w:r>
      <w:r w:rsidR="001D05CB" w:rsidRPr="001D0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2DE" w:rsidRDefault="00473512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</w:t>
      </w:r>
      <w:r w:rsidR="001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видов деятельности проведен. Из Устава МФЦ во 2 квартале 2016 года будут исключены следующие виды деятельности: предоставление редакторских услуг и услуг по переводу, издательская и полиграфическая деятельность, осуществление строительства, реконструкции и капитального ремонта объектов недвижимости для размещения МФЦ. </w:t>
      </w:r>
    </w:p>
    <w:p w:rsidR="001D05CB" w:rsidRDefault="001D05CB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CB" w:rsidRPr="004D721A" w:rsidRDefault="001D05CB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2.3. Анализ по жалобам потребителей услуг.</w:t>
      </w:r>
    </w:p>
    <w:p w:rsidR="001F52DE" w:rsidRPr="001F52DE" w:rsidRDefault="001F52DE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стало меньше или больше?</w:t>
      </w:r>
    </w:p>
    <w:p w:rsidR="001F52DE" w:rsidRDefault="001F52DE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CB" w:rsidRDefault="001F52DE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Федоров И.С.: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D29E7" w:rsidRPr="00ED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ED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прошлым годом не проведено.</w:t>
      </w:r>
      <w:r w:rsidR="00ED29E7" w:rsidRPr="00ED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жалоб </w:t>
      </w:r>
      <w:r w:rsidR="00ED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 год </w:t>
      </w:r>
      <w:r w:rsidR="00DE0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</w:t>
      </w:r>
      <w:r w:rsidR="00ED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филиалах – 170. Основная часть жалоб </w:t>
      </w:r>
      <w:r w:rsidR="00DE0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зафиксирована в филиале «Новосибирский» (пл. Труда, д.1) – 65 и в филиале «Зыряновский» (ул. Зыряновская, д.63) – 76. Жалобы, обращения и заявления граждан распределяются следующим образом:</w:t>
      </w:r>
    </w:p>
    <w:p w:rsidR="00DE03CB" w:rsidRDefault="00DE03CB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графику  работы отдела пособий  и социальных выплат или филиалов – 15%;</w:t>
      </w:r>
    </w:p>
    <w:p w:rsidR="00DE03CB" w:rsidRDefault="00DE03CB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длительному времени ожидания в очереди – 40%;</w:t>
      </w:r>
    </w:p>
    <w:p w:rsidR="00DE03CB" w:rsidRDefault="00DE03CB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качеству информирования – 5%</w:t>
      </w:r>
    </w:p>
    <w:p w:rsidR="00DE03CB" w:rsidRDefault="00DE03CB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работе администраторов, сотрудников прием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документов – 35%</w:t>
      </w:r>
    </w:p>
    <w:p w:rsidR="00DE03CB" w:rsidRDefault="00DE03CB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</w:t>
      </w:r>
      <w:r w:rsidR="00B84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5DF" w:rsidRDefault="00B845DF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жалобы рассмотрены, признаны обоснованными, по ним проведена работа. С сотрудниками проводится дополнительное обучение, кроме того, к сотрудникам </w:t>
      </w:r>
      <w:r w:rsidR="00A6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допустивших нарушение должностных инструкций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дисциплинарные взыскания. В настоящее время выстраивается новая система работы с  обращениями граждан:  проводится аудит должностных инструкций, в электронную очередь встроен блок</w:t>
      </w:r>
      <w:r w:rsidR="00A6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обращениям граждан, подготовлен  новый регламент по работе с жалобами. Все обращения распределяются для подготовки ответа, заносятся в программу в течение 2 дней, ведется контроль исполнения.  Также в программу ведено поле «Благодарность».</w:t>
      </w:r>
    </w:p>
    <w:p w:rsidR="00A628FA" w:rsidRDefault="00A628FA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8FA" w:rsidRDefault="00A628FA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Шовтак В.Б.: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очень высокая удовлетворённость населения  качеством и доступностью предоставления услуг – 95%</w:t>
      </w:r>
      <w:r w:rsid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этом</w:t>
      </w:r>
      <w:r w:rsid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 населения не удовлетворены качеством предоставления услуг. </w:t>
      </w:r>
      <w:r w:rsidRP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ли анализ причин </w:t>
      </w:r>
      <w:r w:rsidR="00B442AA" w:rsidRP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неудовлетворенности </w:t>
      </w:r>
      <w:r w:rsidRP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42AA" w:rsidRPr="00B44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решения?</w:t>
      </w:r>
    </w:p>
    <w:p w:rsidR="00B442AA" w:rsidRDefault="00B442AA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EA" w:rsidRDefault="00B442AA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разные, разбираем каждую жалобу, по итогам делаем работу над ошибками. Резко возросло недовольство граждан на работу  контакт-центра, так как увеличилось время ожидания  ответа на звонок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ближайшее время в рамках ФОТа необходимо провести перераспределение ставок и </w:t>
      </w:r>
      <w:r w:rsidR="003554EA" w:rsidRP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штатную численность контакт-центра. Люди привыкли, не выходя из дома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информацию о графике работы, о пакете документов и т.д.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 очень много.</w:t>
      </w:r>
      <w:r w:rsid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4EA" w:rsidRPr="00B442AA" w:rsidRDefault="003554EA" w:rsidP="001F5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5CB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Молчанова О.В.: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уже обсуждали</w:t>
      </w:r>
      <w:r w:rsidR="00D540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сделать,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активнее пользовалось сайтом МФЦ в сети Интернет. Что в этом направлении сделано или телефонный звонок остается наиболее востребованны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способом получения информации?</w:t>
      </w:r>
    </w:p>
    <w:p w:rsidR="003554EA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086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посещений сайта МФЦ постоянно растет, проводим постоянную работу по улучшению сайта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сайте невозможно разместить всю </w:t>
      </w:r>
      <w:r w:rsidR="00D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исчерпывающую </w:t>
      </w:r>
      <w:r w:rsidRPr="003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D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востребована среди молодежи группа МФЦ  «ВКонтакте» Работники контакт-центра помимо ответов на звонки ежедневно отвечают на вопросы в «ВКонтакте». </w:t>
      </w:r>
    </w:p>
    <w:p w:rsidR="00D54086" w:rsidRDefault="00D54086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086" w:rsidRDefault="00D54086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Шовтак В.Б.: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телефонный звонок остается более удобным  способом получения информации, так как  надо потратить время на поиск сайта и нужной информации на нем. Когда телефон известен, проще позвонить и узнать всю необходимую информацию.</w:t>
      </w:r>
    </w:p>
    <w:p w:rsidR="003554EA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10" w:rsidRPr="00790610" w:rsidRDefault="00790610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Москвина О.В.: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жалоб могу сказать следующее. Сейчас проводит</w:t>
      </w:r>
      <w:r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унив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ерсализация специалистов приема-</w:t>
      </w:r>
      <w:r w:rsidRPr="0079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 необходимо доработать</w:t>
      </w:r>
      <w:r w:rsidR="003C30E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низкая скорость передачи данных, недостаточно подсказок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в МФЦ. Дирекция МФЦ до 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03.2015 собирает предложения от филиалов и предоставляет их разработ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 АИС «ЦПГУ» для доработки.</w:t>
      </w:r>
    </w:p>
    <w:p w:rsidR="00790610" w:rsidRDefault="00790610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EA" w:rsidRDefault="007816E3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О.В.</w:t>
      </w:r>
      <w:r w:rsidR="003C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0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61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внешнего мо</w:t>
      </w:r>
      <w:r w:rsidR="003C30E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9061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торинга 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61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ачества </w:t>
      </w:r>
      <w:r w:rsidR="003C30E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у</w:t>
      </w:r>
      <w:r w:rsidR="00790610" w:rsidRP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 МФЦ 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 Обь, в Мошковском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Тогучинском 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C3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г. Новосибирске (филиал «Железнодорожный»),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ниже показатели качества по сравнению с другими филиалами. 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нализировались ли  причины сложившейся ситуации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721A" w:rsidRDefault="004D721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1A" w:rsidRPr="003C30E0" w:rsidRDefault="004D721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Тогучинском районе – кадровая проблема. В настоящее время  над решением этой проблемы работает руководитель отдела персонала и отдел правого обеспечения. </w:t>
      </w:r>
    </w:p>
    <w:p w:rsidR="003554EA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EA" w:rsidRDefault="004D721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Молчанова О.В.: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руководителей филиалов установлены показатели эффективности?</w:t>
      </w:r>
    </w:p>
    <w:p w:rsidR="004D721A" w:rsidRDefault="004D721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EA" w:rsidRDefault="004D721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Москвина О.В.: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мотивации есть, показатели установлены. Но необходимо её усовершенствовать. 28.03.2016 проводим совещание с дирекцией МФЦ по разработке новой системы мотивации направленной на результат. </w:t>
      </w:r>
    </w:p>
    <w:p w:rsidR="003554EA" w:rsidRPr="003554EA" w:rsidRDefault="003554EA" w:rsidP="00E7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1A" w:rsidRDefault="004D721A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1A" w:rsidRDefault="000D739D" w:rsidP="000D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Необходимо информировать население города Новосибирска о новых открывшихся  филиалах 1 раз в квартал в средствах массовой информации, особенно областных, в районах размещать информацию в местных газетах.  Люди просто не знают об открытии новы</w:t>
      </w:r>
      <w:r w:rsidR="00CA5E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о режиме работы, о перечне  предоставляемых услуг.</w:t>
      </w:r>
    </w:p>
    <w:p w:rsidR="00CA5E42" w:rsidRDefault="00CA5E42" w:rsidP="00CA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42" w:rsidRDefault="00CA5E42" w:rsidP="00CA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Шовтак В.Б.: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Советском районе запланировано проведение пресс-тура в филиале МФЦ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пресса проинформировала жителей в своих изданиях.</w:t>
      </w:r>
    </w:p>
    <w:p w:rsidR="00CA5E42" w:rsidRPr="00CA5E42" w:rsidRDefault="00CA5E42" w:rsidP="00CA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42" w:rsidRPr="00CA5E42" w:rsidRDefault="00CA5E42" w:rsidP="00CA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распределяется государственное задание между филиалами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тслеживаем выполнение государственного задания именно в количественных  параметрах</w:t>
      </w:r>
      <w:r w:rsid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их этого должны определять и все остальные показатели. </w:t>
      </w:r>
    </w:p>
    <w:p w:rsidR="00CA5E42" w:rsidRDefault="00CA5E42" w:rsidP="00CA5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439" w:rsidRPr="00D90439" w:rsidRDefault="00D90439" w:rsidP="00D9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Москвина О.В.: 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 филиалов нет плана для выполнения государственного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задание доводится до дирекции МФЦ. На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28.03.2016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дирекцией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буд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обсуждать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9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439" w:rsidRDefault="00D90439" w:rsidP="00D9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439" w:rsidRPr="00D90439" w:rsidRDefault="00D90439" w:rsidP="00D9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О.В.: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5B4E5E" w:rsidRP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каждый филиал, по количеству окон, нагрузке, по количеству обращений заявителей. Необходимо понять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E5E" w:rsidRP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работает напряжено, а кто нет. Исходя из эт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</w:t>
      </w:r>
      <w:r w:rsidR="005B4E5E" w:rsidRP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5B4E5E" w:rsidRP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формироваться заработная плата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стимулирующая надбавка, в том числе и остальных сотрудников филиалов. В месячный срок необходимо проработать этот вопрос. </w:t>
      </w:r>
    </w:p>
    <w:p w:rsidR="00850BD1" w:rsidRDefault="000964C1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отчета с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сотрудников МФЦ за 2015 выросла 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0,9%. Каждый год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 Шмидт (министр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занятости и трудовых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направляет информацию о превышении заработной платы  руководителей МФЦ над заработной платой сотрудников МФЦ более чем в 5 раз. 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заработной платы 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МФЦ 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уменьшать этот </w:t>
      </w:r>
      <w:r w:rsidR="005B4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разрыв.</w:t>
      </w:r>
      <w:r w:rsidR="008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может быть доход от платных услуг. По отчету количество потребителей  платных услуг в 2015 году увеличилось на 65%, хотя сумма дохода небольшая.</w:t>
      </w:r>
    </w:p>
    <w:p w:rsidR="000964C1" w:rsidRDefault="000964C1" w:rsidP="00096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BD1" w:rsidRDefault="00850BD1" w:rsidP="0009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 И.С.: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меры по увеличения доходов от платных услуг. Например,</w:t>
      </w:r>
      <w:r w:rsidR="000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</w:t>
      </w:r>
      <w:r w:rsidR="000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услуг по предоставлению населению полисов обязательного медицинского страхования: проводится интеграция АИС «ЦПГУ» с программой компании «РОСНО»- единственная компания, согласившаяся на предоставление услуг по страхованию на базе МФЦ.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ФОМС не выражает заинтересованности  в таком сотрудничестве. </w:t>
      </w:r>
    </w:p>
    <w:p w:rsidR="000964C1" w:rsidRDefault="000964C1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C4" w:rsidRDefault="000964C1" w:rsidP="0009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Молчанова О.В.: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подготовить  письмо на О.И. Иванинского (мин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 здравоохранения НСО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показать пользу такого сотрудничества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привести примеры из опыта других субъектов РФ.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письма направить  Ягнюковой Е.В.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ТФОМС). Необходимо о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судить с ними этот непростой вопрос. </w:t>
      </w:r>
      <w:r w:rsidR="00805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увеличению дохода от платных услуг нужно продолжать, так как это один из источников дохода МФЦ.</w:t>
      </w:r>
    </w:p>
    <w:p w:rsidR="00850BD1" w:rsidRDefault="00805CC4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прошу Вас по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аналитику по 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закупочным процедурам, проведённым МФЦ в 2015 году по сравнению с 2014 годом.</w:t>
      </w:r>
    </w:p>
    <w:p w:rsidR="00351062" w:rsidRDefault="00351062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A9" w:rsidRDefault="00B32AA9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B32A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439" w:rsidRPr="00B32AA9" w:rsidRDefault="00D90439" w:rsidP="00B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A9" w:rsidRDefault="00B32AA9" w:rsidP="0033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работу ГАУ НСО «МФЦ»</w:t>
      </w:r>
      <w:r w:rsidR="00D5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</w:t>
      </w:r>
      <w:r w:rsidR="002F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 </w:t>
      </w:r>
    </w:p>
    <w:p w:rsidR="00B10023" w:rsidRPr="00B10023" w:rsidRDefault="00B10023" w:rsidP="00B100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членов комиссии</w:t>
      </w: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023" w:rsidRPr="00B10023" w:rsidRDefault="00B10023" w:rsidP="00B100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023" w:rsidRDefault="00B10023" w:rsidP="00B100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«Воздержался»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10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62" w:rsidRPr="003B2F22" w:rsidRDefault="00351062" w:rsidP="003510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Поблагодарить руководство МФЦ за проделанную работу по созданию 22 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 МФЦ  и 8 ТОСП в 2015 году.</w:t>
      </w:r>
    </w:p>
    <w:p w:rsidR="00805CC4" w:rsidRPr="003B2F22" w:rsidRDefault="00351062" w:rsidP="003510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30491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332D2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НСО «МФЦ» п</w:t>
      </w:r>
      <w:r w:rsidR="00341069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анализ </w:t>
      </w:r>
      <w:r w:rsidR="00805CC4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30491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</w:t>
      </w:r>
      <w:r w:rsidR="00805CC4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91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 МФЦ до 20.04.2016.</w:t>
      </w:r>
    </w:p>
    <w:p w:rsidR="00330491" w:rsidRPr="003B2F22" w:rsidRDefault="00351062" w:rsidP="003510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0491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ГАУ НСО «МФЦ» принять меры по снижению жалоб населения на  сотрудников МФЦ.</w:t>
      </w:r>
    </w:p>
    <w:p w:rsidR="008332D2" w:rsidRPr="00330491" w:rsidRDefault="00351062" w:rsidP="003510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0491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925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32D2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«МФЦ» </w:t>
      </w:r>
      <w:r w:rsidR="00805CC4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отдел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05CC4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государственного управления </w:t>
      </w:r>
      <w:r w:rsidR="008332D2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805CC4"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нагрузку филиалов в зависимости от численности  населения, от обращений заявителей и 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выполнению государственного задания для филиалов МФЦ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20.04.2016.</w:t>
      </w:r>
    </w:p>
    <w:p w:rsidR="00330491" w:rsidRDefault="00351062" w:rsidP="0033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Руководителю филиала МФЦ «Родники»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информированию  населения Калининского района об открытии  филиала </w:t>
      </w:r>
      <w:r w:rsid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увеличению  количества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20.04.2016.</w:t>
      </w:r>
    </w:p>
    <w:p w:rsidR="00330491" w:rsidRDefault="003B2F22" w:rsidP="003510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30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НСО «МФЦ» совместно с 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государственного управления подготовить письмо в Минздрав НСО о рассмотрении возможности </w:t>
      </w:r>
      <w:r w:rsidR="007F4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полисов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3B2F22" w:rsidRDefault="003B2F22" w:rsidP="003510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П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аналит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ическую записку </w:t>
      </w:r>
      <w:r w:rsidRPr="003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закупочным процедурам, проведённым МФЦ в 2015 году по сравнению с 2014 годом.</w:t>
      </w:r>
    </w:p>
    <w:p w:rsidR="00BC4662" w:rsidRPr="00B32AA9" w:rsidRDefault="00BC4662" w:rsidP="00FC33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7"/>
        <w:gridCol w:w="3401"/>
      </w:tblGrid>
      <w:tr w:rsidR="009866A4" w:rsidRPr="00B32AA9" w:rsidTr="00B574F4">
        <w:tc>
          <w:tcPr>
            <w:tcW w:w="4395" w:type="dxa"/>
          </w:tcPr>
          <w:p w:rsidR="00B10023" w:rsidRDefault="00B10023" w:rsidP="009866A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6A4" w:rsidRPr="00B32AA9" w:rsidRDefault="00AB4925" w:rsidP="009866A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комиссии</w:t>
            </w:r>
          </w:p>
          <w:p w:rsidR="00AB4925" w:rsidRDefault="00AB4925" w:rsidP="004D721A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925" w:rsidRPr="00B32AA9" w:rsidRDefault="00AB4925" w:rsidP="004D721A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127" w:type="dxa"/>
          </w:tcPr>
          <w:p w:rsidR="009866A4" w:rsidRPr="00B32AA9" w:rsidRDefault="009866A4" w:rsidP="004D721A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B10023" w:rsidRDefault="00B10023" w:rsidP="009866A4">
            <w:pPr>
              <w:tabs>
                <w:tab w:val="left" w:pos="2268"/>
              </w:tabs>
              <w:ind w:left="-534" w:firstLine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6A4" w:rsidRDefault="00D5564E" w:rsidP="009866A4">
            <w:pPr>
              <w:tabs>
                <w:tab w:val="left" w:pos="2268"/>
              </w:tabs>
              <w:ind w:left="-534" w:firstLine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AB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Молчанова</w:t>
            </w:r>
          </w:p>
          <w:p w:rsidR="009866A4" w:rsidRDefault="009866A4" w:rsidP="009866A4">
            <w:pPr>
              <w:tabs>
                <w:tab w:val="left" w:pos="2268"/>
              </w:tabs>
              <w:ind w:left="-534" w:firstLine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6A4" w:rsidRPr="00B32AA9" w:rsidRDefault="003B2F22" w:rsidP="003B2F22">
            <w:pPr>
              <w:tabs>
                <w:tab w:val="left" w:pos="31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О.В. Москвина </w:t>
            </w:r>
          </w:p>
        </w:tc>
      </w:tr>
    </w:tbl>
    <w:p w:rsidR="00DA3CC9" w:rsidRPr="007912D2" w:rsidRDefault="00DA3CC9" w:rsidP="00D55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CC9" w:rsidRPr="007912D2" w:rsidSect="003554EA">
      <w:headerReference w:type="even" r:id="rId8"/>
      <w:headerReference w:type="default" r:id="rId9"/>
      <w:pgSz w:w="11905" w:h="16837"/>
      <w:pgMar w:top="1134" w:right="567" w:bottom="1134" w:left="1418" w:header="720" w:footer="720" w:gutter="0"/>
      <w:cols w:space="708"/>
      <w:titlePg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72" w:rsidRDefault="00140C72">
      <w:pPr>
        <w:spacing w:after="0" w:line="240" w:lineRule="auto"/>
      </w:pPr>
      <w:r>
        <w:separator/>
      </w:r>
    </w:p>
  </w:endnote>
  <w:endnote w:type="continuationSeparator" w:id="0">
    <w:p w:rsidR="00140C72" w:rsidRDefault="0014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72" w:rsidRDefault="00140C72">
      <w:pPr>
        <w:spacing w:after="0" w:line="240" w:lineRule="auto"/>
      </w:pPr>
      <w:r>
        <w:separator/>
      </w:r>
    </w:p>
  </w:footnote>
  <w:footnote w:type="continuationSeparator" w:id="0">
    <w:p w:rsidR="00140C72" w:rsidRDefault="0014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1A" w:rsidRDefault="004D721A" w:rsidP="004D7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21A" w:rsidRDefault="004D7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1A" w:rsidRDefault="004D721A" w:rsidP="004D7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98C">
      <w:rPr>
        <w:rStyle w:val="a5"/>
        <w:noProof/>
      </w:rPr>
      <w:t>2</w:t>
    </w:r>
    <w:r>
      <w:rPr>
        <w:rStyle w:val="a5"/>
      </w:rPr>
      <w:fldChar w:fldCharType="end"/>
    </w:r>
  </w:p>
  <w:p w:rsidR="004D721A" w:rsidRDefault="004D7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949"/>
    <w:multiLevelType w:val="hybridMultilevel"/>
    <w:tmpl w:val="1706969C"/>
    <w:lvl w:ilvl="0" w:tplc="4D4CD3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536777C"/>
    <w:multiLevelType w:val="hybridMultilevel"/>
    <w:tmpl w:val="6B62FB8A"/>
    <w:lvl w:ilvl="0" w:tplc="CEA65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A9"/>
    <w:rsid w:val="00046216"/>
    <w:rsid w:val="00050A8E"/>
    <w:rsid w:val="000964C1"/>
    <w:rsid w:val="000D739D"/>
    <w:rsid w:val="00111820"/>
    <w:rsid w:val="00112E99"/>
    <w:rsid w:val="001162A9"/>
    <w:rsid w:val="0013452B"/>
    <w:rsid w:val="00136837"/>
    <w:rsid w:val="00140C72"/>
    <w:rsid w:val="001960A8"/>
    <w:rsid w:val="001C1D2F"/>
    <w:rsid w:val="001D05CB"/>
    <w:rsid w:val="001F52DE"/>
    <w:rsid w:val="00203974"/>
    <w:rsid w:val="00242617"/>
    <w:rsid w:val="00264A53"/>
    <w:rsid w:val="002D7C1A"/>
    <w:rsid w:val="002F78E7"/>
    <w:rsid w:val="003159B1"/>
    <w:rsid w:val="00330491"/>
    <w:rsid w:val="0033049A"/>
    <w:rsid w:val="00341069"/>
    <w:rsid w:val="003418BF"/>
    <w:rsid w:val="00343257"/>
    <w:rsid w:val="00351062"/>
    <w:rsid w:val="003554EA"/>
    <w:rsid w:val="00372C59"/>
    <w:rsid w:val="003B2F22"/>
    <w:rsid w:val="003C30E0"/>
    <w:rsid w:val="003C482D"/>
    <w:rsid w:val="003E70CA"/>
    <w:rsid w:val="003F48D3"/>
    <w:rsid w:val="00473512"/>
    <w:rsid w:val="004D721A"/>
    <w:rsid w:val="00502FAB"/>
    <w:rsid w:val="0054073B"/>
    <w:rsid w:val="00553AD0"/>
    <w:rsid w:val="005A2AF0"/>
    <w:rsid w:val="005B4E5E"/>
    <w:rsid w:val="005D4406"/>
    <w:rsid w:val="005E10F0"/>
    <w:rsid w:val="005E3744"/>
    <w:rsid w:val="00627DE7"/>
    <w:rsid w:val="006625BC"/>
    <w:rsid w:val="00693169"/>
    <w:rsid w:val="00696329"/>
    <w:rsid w:val="006A2B11"/>
    <w:rsid w:val="006D7E64"/>
    <w:rsid w:val="006E6CA4"/>
    <w:rsid w:val="007217A3"/>
    <w:rsid w:val="007816E3"/>
    <w:rsid w:val="00790610"/>
    <w:rsid w:val="007912D2"/>
    <w:rsid w:val="007A3EF5"/>
    <w:rsid w:val="007A7F7B"/>
    <w:rsid w:val="007C3372"/>
    <w:rsid w:val="007D123B"/>
    <w:rsid w:val="007D5595"/>
    <w:rsid w:val="007F221E"/>
    <w:rsid w:val="007F48A6"/>
    <w:rsid w:val="00805CC4"/>
    <w:rsid w:val="008332D2"/>
    <w:rsid w:val="00850BD1"/>
    <w:rsid w:val="00856FEE"/>
    <w:rsid w:val="008A7941"/>
    <w:rsid w:val="00914030"/>
    <w:rsid w:val="009855AA"/>
    <w:rsid w:val="009866A4"/>
    <w:rsid w:val="009B067C"/>
    <w:rsid w:val="009B2639"/>
    <w:rsid w:val="009B4FEF"/>
    <w:rsid w:val="009C24E2"/>
    <w:rsid w:val="00A1698C"/>
    <w:rsid w:val="00A2636B"/>
    <w:rsid w:val="00A628FA"/>
    <w:rsid w:val="00A804CA"/>
    <w:rsid w:val="00AA7183"/>
    <w:rsid w:val="00AB4925"/>
    <w:rsid w:val="00AF4E5E"/>
    <w:rsid w:val="00AF54EF"/>
    <w:rsid w:val="00B10023"/>
    <w:rsid w:val="00B32AA9"/>
    <w:rsid w:val="00B442AA"/>
    <w:rsid w:val="00B574F4"/>
    <w:rsid w:val="00B845DF"/>
    <w:rsid w:val="00B915D9"/>
    <w:rsid w:val="00B942D7"/>
    <w:rsid w:val="00BC4662"/>
    <w:rsid w:val="00BC5A61"/>
    <w:rsid w:val="00BF6E8C"/>
    <w:rsid w:val="00C2266C"/>
    <w:rsid w:val="00C437EC"/>
    <w:rsid w:val="00C4588A"/>
    <w:rsid w:val="00CA4BE9"/>
    <w:rsid w:val="00CA5E42"/>
    <w:rsid w:val="00CC05A7"/>
    <w:rsid w:val="00CD4B51"/>
    <w:rsid w:val="00CD6DFF"/>
    <w:rsid w:val="00D26C9F"/>
    <w:rsid w:val="00D54086"/>
    <w:rsid w:val="00D5564E"/>
    <w:rsid w:val="00D90439"/>
    <w:rsid w:val="00D909B9"/>
    <w:rsid w:val="00DA3CC9"/>
    <w:rsid w:val="00DA4EF8"/>
    <w:rsid w:val="00DC293F"/>
    <w:rsid w:val="00DC5F71"/>
    <w:rsid w:val="00DE03CB"/>
    <w:rsid w:val="00E7169F"/>
    <w:rsid w:val="00E810DD"/>
    <w:rsid w:val="00EA69BE"/>
    <w:rsid w:val="00ED29E7"/>
    <w:rsid w:val="00F535BE"/>
    <w:rsid w:val="00FC33F8"/>
    <w:rsid w:val="00FD2868"/>
    <w:rsid w:val="00FD659E"/>
    <w:rsid w:val="00FE48F2"/>
    <w:rsid w:val="00FF4F3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99C8-A61E-48CD-9213-9CB13F5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AA9"/>
  </w:style>
  <w:style w:type="character" w:styleId="a5">
    <w:name w:val="page number"/>
    <w:basedOn w:val="a0"/>
    <w:uiPriority w:val="99"/>
    <w:rsid w:val="00B32AA9"/>
    <w:rPr>
      <w:rFonts w:cs="Times New Roman"/>
    </w:rPr>
  </w:style>
  <w:style w:type="table" w:styleId="a6">
    <w:name w:val="Table Grid"/>
    <w:basedOn w:val="a1"/>
    <w:uiPriority w:val="59"/>
    <w:rsid w:val="00B3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0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CDD6D6-43A1-4768-B7CF-96019B2A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Сагина Ирина Викторовна</dc:creator>
  <cp:lastModifiedBy>Мясникова Олеся Анатольевна</cp:lastModifiedBy>
  <cp:revision>2</cp:revision>
  <cp:lastPrinted>2016-03-22T02:53:00Z</cp:lastPrinted>
  <dcterms:created xsi:type="dcterms:W3CDTF">2018-07-30T08:34:00Z</dcterms:created>
  <dcterms:modified xsi:type="dcterms:W3CDTF">2018-07-30T08:34:00Z</dcterms:modified>
</cp:coreProperties>
</file>