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6.xml" ContentType="application/vnd.openxmlformats-officedocument.drawingml.chart+xml"/>
  <Override PartName="/word/charts/chart5.xml" ContentType="application/vnd.openxmlformats-officedocument.drawingml.chart+xml"/>
  <Override PartName="/word/charts/chart2.xml" ContentType="application/vnd.openxmlformats-officedocument.drawingml.chart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chart1.xml" ContentType="application/vnd.openxmlformats-officedocument.drawingml.chart+xml"/>
  <Override PartName="/word/charts/chart3.xml" ContentType="application/vnd.openxmlformats-officedocument.drawingml.chart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charts/chart4.xml" ContentType="application/vnd.openxmlformats-officedocument.drawingml.chart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729920" behindDoc="1" locked="0" layoutInCell="1" allowOverlap="1">
                <wp:simplePos x="0" y="0"/>
                <wp:positionH relativeFrom="column">
                  <wp:posOffset>-652780</wp:posOffset>
                </wp:positionH>
                <wp:positionV relativeFrom="paragraph">
                  <wp:posOffset>0</wp:posOffset>
                </wp:positionV>
                <wp:extent cx="2849880" cy="1028700"/>
                <wp:effectExtent l="0" t="0" r="7620" b="0"/>
                <wp:wrapThrough wrapText="bothSides">
                  <wp:wrapPolygon edited="1">
                    <wp:start x="432" y="0"/>
                    <wp:lineTo x="0" y="5600"/>
                    <wp:lineTo x="0" y="11600"/>
                    <wp:lineTo x="722" y="12800"/>
                    <wp:lineTo x="2743" y="19200"/>
                    <wp:lineTo x="2888" y="21200"/>
                    <wp:lineTo x="8663" y="21200"/>
                    <wp:lineTo x="9385" y="21200"/>
                    <wp:lineTo x="21513" y="20000"/>
                    <wp:lineTo x="21513" y="10000"/>
                    <wp:lineTo x="19781" y="6400"/>
                    <wp:lineTo x="20070" y="4800"/>
                    <wp:lineTo x="2310" y="0"/>
                    <wp:lineTo x="432" y="0"/>
                  </wp:wrapPolygon>
                </wp:wrapThrough>
                <wp:docPr id="1" name="Рисунок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Рисунок 6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2849880" cy="1028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729920;o:allowoverlap:true;o:allowincell:true;mso-position-horizontal-relative:text;margin-left:-51.40pt;mso-position-horizontal:absolute;mso-position-vertical-relative:text;margin-top:0.00pt;mso-position-vertical:absolute;width:224.40pt;height:81.00pt;mso-wrap-distance-left:9.00pt;mso-wrap-distance-top:0.00pt;mso-wrap-distance-right:9.00pt;mso-wrap-distance-bottom:0.00pt;" wrapcoords="2000 0 0 25926 0 53704 3343 59259 12699 88889 13370 98148 40106 98148 43449 98148 99597 92593 99597 46296 91579 29630 92917 22222 10694 0 2000 0" stroked="false">
                <v:path textboxrect="0,0,0,0"/>
                <w10:wrap type="through"/>
                <v:imagedata r:id="rId12" o:title=""/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color w:val="907e52"/>
          <w:sz w:val="44"/>
          <w:szCs w:val="28"/>
        </w:rPr>
      </w:pPr>
      <w:r>
        <w:rPr>
          <w:rFonts w:ascii="Times New Roman" w:hAnsi="Times New Roman" w:cs="Times New Roman"/>
          <w:b/>
          <w:bCs/>
          <w:color w:val="907e52"/>
          <w:sz w:val="44"/>
          <w:szCs w:val="28"/>
        </w:rPr>
        <w:t xml:space="preserve">Сводный доклад Новосибирской области о результатах мониторинга эффективности деятельности органов местного самоуправления городских округов и муниципальных районов по итогам 2022 года</w:t>
      </w:r>
      <w:r>
        <w:rPr>
          <w:rFonts w:ascii="Times New Roman" w:hAnsi="Times New Roman" w:cs="Times New Roman"/>
          <w:color w:val="907e52"/>
          <w:sz w:val="44"/>
          <w:szCs w:val="28"/>
        </w:rPr>
      </w:r>
    </w:p>
    <w:p>
      <w:pPr>
        <w:ind w:left="2694"/>
        <w:spacing w:after="0" w:line="240" w:lineRule="auto"/>
        <w:rPr>
          <w:rFonts w:ascii="Times New Roman" w:hAnsi="Times New Roman" w:cs="Times New Roman"/>
          <w:color w:val="907e52"/>
          <w:sz w:val="44"/>
          <w:szCs w:val="28"/>
        </w:rPr>
      </w:pPr>
      <w:r>
        <w:rPr>
          <w:rFonts w:ascii="Times New Roman" w:hAnsi="Times New Roman" w:cs="Times New Roman"/>
          <w:color w:val="907e52"/>
          <w:sz w:val="44"/>
          <w:szCs w:val="28"/>
        </w:rPr>
      </w:r>
      <w:r>
        <w:rPr>
          <w:rFonts w:ascii="Times New Roman" w:hAnsi="Times New Roman" w:cs="Times New Roman"/>
          <w:color w:val="907e52"/>
          <w:sz w:val="44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/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color w:val="a99667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99667"/>
          <w:sz w:val="28"/>
          <w:szCs w:val="28"/>
        </w:rPr>
        <w:t xml:space="preserve">г. Новосибирск</w:t>
      </w:r>
      <w:r>
        <w:rPr>
          <w:rFonts w:ascii="Times New Roman" w:hAnsi="Times New Roman" w:cs="Times New Roman"/>
          <w:b/>
          <w:bCs/>
          <w:color w:val="a99667"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color w:val="a99667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99667"/>
          <w:sz w:val="28"/>
          <w:szCs w:val="28"/>
        </w:rPr>
        <w:t xml:space="preserve">2023</w:t>
      </w:r>
      <w:r>
        <w:rPr>
          <w:rFonts w:ascii="Times New Roman" w:hAnsi="Times New Roman" w:cs="Times New Roman"/>
          <w:b/>
          <w:bCs/>
          <w:color w:val="a99667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 w:clear="all"/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Содержание</w:t>
      </w:r>
      <w:r>
        <w:rPr>
          <w:rFonts w:ascii="Times New Roman" w:hAnsi="Times New Roman" w:cs="Times New Roman"/>
          <w:b/>
          <w:sz w:val="28"/>
          <w:szCs w:val="28"/>
        </w:rPr>
      </w:r>
    </w:p>
    <w:sdt>
      <w:sdtPr>
        <w15:appearance w15:val="boundingBox"/>
        <w:id w:val="1632599683"/>
        <w:docPartObj>
          <w:docPartGallery w:val="Table of Contents"/>
          <w:docPartUnique w:val="true"/>
        </w:docPartObj>
        <w:rPr>
          <w:rFonts w:ascii="Times New Roman" w:hAnsi="Times New Roman" w:cs="Times New Roman" w:eastAsiaTheme="minorHAnsi"/>
          <w:b w:val="0"/>
          <w:bCs w:val="0"/>
          <w:color w:val="auto"/>
          <w:sz w:val="22"/>
          <w:szCs w:val="22"/>
          <w:lang w:eastAsia="en-US"/>
        </w:rPr>
      </w:sdtPr>
      <w:sdtContent>
        <w:p>
          <w:pPr>
            <w:pStyle w:val="902"/>
            <w:spacing w:before="0" w:line="24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</w:r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>
            <w:fldChar w:fldCharType="begin"/>
          </w:r>
          <w:r>
            <w:instrText xml:space="preserve"> TOC \o "1-3" \h \z \t "Подзаголовок;4" </w:instrText>
          </w:r>
          <w:r>
            <w:fldChar w:fldCharType="separate"/>
          </w:r>
          <w:hyperlink w:tooltip="#_Toc1" w:anchor="_Toc1" w:history="1">
            <w:r>
              <w:rPr>
                <w:rStyle w:val="899"/>
                <w:rFonts w:ascii="Times New Roman" w:hAnsi="Times New Roman" w:cs="Times New Roman"/>
              </w:rPr>
              <w:t xml:space="preserve">ОБЩАЯ ИНФОРМАЦИЯ О ГОРОДСКИХ ОКРУГАХ И МУНИЦИПАЛЬНЫХ РАЙОНАХ НОВОСИБИРСКОЙ ОБЛАСТИ</w:t>
            </w:r>
            <w:r>
              <w:tab/>
            </w:r>
            <w:r>
              <w:fldChar w:fldCharType="begin"/>
            </w:r>
            <w:r>
              <w:instrText xml:space="preserve">PAGEREF _Toc1 \h</w:instrText>
            </w:r>
            <w:r>
              <w:fldChar w:fldCharType="separate"/>
            </w:r>
            <w:r>
              <w:t xml:space="preserve">3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2" w:anchor="_Toc2" w:history="1">
            <w:r>
              <w:rPr>
                <w:rStyle w:val="899"/>
                <w:rFonts w:ascii="Times New Roman" w:hAnsi="Times New Roman" w:cs="Times New Roman"/>
              </w:rPr>
              <w:t xml:space="preserve">ВВЕДЕНИЕ</w:t>
            </w:r>
            <w:r>
              <w:tab/>
            </w:r>
            <w:r>
              <w:fldChar w:fldCharType="begin"/>
            </w:r>
            <w:r>
              <w:instrText xml:space="preserve">PAGEREF _Toc2 \h</w:instrText>
            </w:r>
            <w:r>
              <w:fldChar w:fldCharType="separate"/>
            </w:r>
            <w:r>
              <w:t xml:space="preserve">5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3" w:anchor="_Toc3" w:history="1">
            <w:r>
              <w:rPr>
                <w:rStyle w:val="899"/>
                <w:rFonts w:ascii="Times New Roman" w:hAnsi="Times New Roman" w:cs="Times New Roman"/>
              </w:rPr>
              <w:t xml:space="preserve">1. РЕЗУЛЬТАТЫ МОНИТОРИНГА ЭФФЕКТИВНОСТИ ДЕЯТЕЛЬНОСТИ ОРГАНОВ МЕСТНОГО САМОУПРАВЛЕНИЯ ГОРОДСКИХ ОКРУГОВ И МУНИЦИПАЛЬНЫХ РАЙОНОВ</w:t>
            </w:r>
            <w:r>
              <w:tab/>
            </w:r>
            <w:r>
              <w:fldChar w:fldCharType="begin"/>
            </w:r>
            <w:r>
              <w:instrText xml:space="preserve">PAGEREF _Toc3 \h</w:instrText>
            </w:r>
            <w:r>
              <w:fldChar w:fldCharType="separate"/>
            </w:r>
            <w:r>
              <w:t xml:space="preserve">6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4" w:anchor="_Toc4" w:history="1">
            <w:r>
              <w:rPr>
                <w:rStyle w:val="899"/>
                <w:rFonts w:ascii="Times New Roman" w:hAnsi="Times New Roman" w:cs="Times New Roman"/>
              </w:rPr>
              <w:t xml:space="preserve">1.1. Экономическое развитие</w:t>
            </w:r>
            <w:r>
              <w:tab/>
            </w:r>
            <w:r>
              <w:fldChar w:fldCharType="begin"/>
            </w:r>
            <w:r>
              <w:instrText xml:space="preserve">PAGEREF _Toc4 \h</w:instrText>
            </w:r>
            <w:r>
              <w:fldChar w:fldCharType="separate"/>
            </w:r>
            <w:r>
              <w:t xml:space="preserve">6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5" w:anchor="_Toc5" w:history="1">
            <w:r>
              <w:rPr>
                <w:rStyle w:val="899"/>
                <w:rFonts w:ascii="Times New Roman" w:hAnsi="Times New Roman" w:cs="Times New Roman"/>
              </w:rPr>
              <w:t xml:space="preserve">1.2. Дошкольное образование</w:t>
            </w:r>
            <w:r>
              <w:tab/>
            </w:r>
            <w:r>
              <w:fldChar w:fldCharType="begin"/>
            </w:r>
            <w:r>
              <w:instrText xml:space="preserve">PAGEREF _Toc5 \h</w:instrText>
            </w:r>
            <w:r>
              <w:fldChar w:fldCharType="separate"/>
            </w:r>
            <w:r>
              <w:t xml:space="preserve">22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6" w:anchor="_Toc6" w:history="1">
            <w:r>
              <w:rPr>
                <w:rStyle w:val="899"/>
                <w:rFonts w:ascii="Times New Roman" w:hAnsi="Times New Roman" w:cs="Times New Roman"/>
              </w:rPr>
              <w:t xml:space="preserve">1.3.</w:t>
            </w:r>
            <w:r>
              <w:rPr>
                <w:rStyle w:val="899"/>
              </w:rPr>
              <w:t xml:space="preserve"> </w:t>
            </w:r>
            <w:r>
              <w:rPr>
                <w:rStyle w:val="899"/>
                <w:rFonts w:ascii="Times New Roman" w:hAnsi="Times New Roman" w:cs="Times New Roman"/>
              </w:rPr>
              <w:t xml:space="preserve">Общее и дополнительное образование</w:t>
            </w:r>
            <w:r>
              <w:tab/>
            </w:r>
            <w:r>
              <w:fldChar w:fldCharType="begin"/>
            </w:r>
            <w:r>
              <w:instrText xml:space="preserve">PAGEREF _Toc6 \h</w:instrText>
            </w:r>
            <w:r>
              <w:fldChar w:fldCharType="separate"/>
            </w:r>
            <w:r>
              <w:t xml:space="preserve">25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highlight w:val="white"/>
            </w:rPr>
          </w:pPr>
          <w:r/>
          <w:hyperlink w:tooltip="#_Toc7" w:anchor="_Toc7" w:history="1">
            <w:r>
              <w:rPr>
                <w:rStyle w:val="899"/>
                <w:rFonts w:ascii="Times New Roman" w:hAnsi="Times New Roman" w:cs="Times New Roman"/>
                <w:highlight w:val="white"/>
              </w:rPr>
              <w:t xml:space="preserve">1.4. Культура</w:t>
            </w:r>
            <w:r>
              <w:tab/>
            </w:r>
            <w:r>
              <w:fldChar w:fldCharType="begin"/>
            </w:r>
            <w:r>
              <w:instrText xml:space="preserve">PAGEREF _Toc7 \h</w:instrText>
            </w:r>
            <w:r>
              <w:fldChar w:fldCharType="separate"/>
            </w:r>
            <w:r>
              <w:t xml:space="preserve">30</w:t>
            </w:r>
            <w:r>
              <w:fldChar w:fldCharType="end"/>
            </w:r>
          </w:hyperlink>
          <w:r/>
          <w:r>
            <w:rPr>
              <w:highlight w:val="white"/>
            </w:rPr>
          </w:r>
        </w:p>
        <w:p>
          <w:pPr>
            <w:pStyle w:val="904"/>
          </w:pPr>
          <w:r/>
          <w:hyperlink w:tooltip="#_Toc8" w:anchor="_Toc8" w:history="1">
            <w:r>
              <w:rPr>
                <w:rStyle w:val="899"/>
                <w:rFonts w:ascii="Times New Roman" w:hAnsi="Times New Roman" w:cs="Times New Roman"/>
              </w:rPr>
              <w:t xml:space="preserve">1.5. Физическая культура и спорт</w:t>
            </w:r>
            <w:r>
              <w:tab/>
            </w:r>
            <w:r>
              <w:fldChar w:fldCharType="begin"/>
            </w:r>
            <w:r>
              <w:instrText xml:space="preserve">PAGEREF _Toc8 \h</w:instrText>
            </w:r>
            <w:r>
              <w:fldChar w:fldCharType="separate"/>
            </w:r>
            <w:r>
              <w:t xml:space="preserve">35</w:t>
            </w:r>
            <w:r>
              <w:fldChar w:fldCharType="end"/>
            </w:r>
          </w:hyperlink>
          <w:r/>
          <w:r/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9" w:anchor="_Toc9" w:history="1">
            <w:r>
              <w:rPr>
                <w:rStyle w:val="899"/>
                <w:rFonts w:ascii="Times New Roman" w:hAnsi="Times New Roman" w:cs="Times New Roman"/>
              </w:rPr>
              <w:t xml:space="preserve">1.6. Жилищно-коммунальное хозяйство</w:t>
            </w:r>
            <w:r>
              <w:tab/>
            </w:r>
            <w:r>
              <w:fldChar w:fldCharType="begin"/>
            </w:r>
            <w:r>
              <w:instrText xml:space="preserve">PAGEREF _Toc9 \h</w:instrText>
            </w:r>
            <w:r>
              <w:fldChar w:fldCharType="separate"/>
            </w:r>
            <w:r>
              <w:t xml:space="preserve">39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10" w:anchor="_Toc10" w:history="1">
            <w:r>
              <w:rPr>
                <w:rStyle w:val="899"/>
                <w:rFonts w:ascii="Times New Roman" w:hAnsi="Times New Roman" w:cs="Times New Roman"/>
              </w:rPr>
              <w:t xml:space="preserve">1.7. Организация муниципального управления</w:t>
            </w:r>
            <w:r>
              <w:tab/>
            </w:r>
            <w:r>
              <w:fldChar w:fldCharType="begin"/>
            </w:r>
            <w:r>
              <w:instrText xml:space="preserve">PAGEREF _Toc10 \h</w:instrText>
            </w:r>
            <w:r>
              <w:fldChar w:fldCharType="separate"/>
            </w:r>
            <w:r>
              <w:t xml:space="preserve">43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11" w:anchor="_Toc11" w:history="1">
            <w:r>
              <w:rPr>
                <w:rStyle w:val="899"/>
                <w:rFonts w:ascii="Times New Roman" w:hAnsi="Times New Roman" w:cs="Times New Roman"/>
              </w:rPr>
              <w:t xml:space="preserve">2. ИТОГИ СОЦИОЛОГИЧЕСКИХ ОПРОСОВ НАСЕЛЕНИЯ</w:t>
            </w:r>
            <w:r>
              <w:tab/>
            </w:r>
            <w:r>
              <w:fldChar w:fldCharType="begin"/>
            </w:r>
            <w:r>
              <w:instrText xml:space="preserve">PAGEREF _Toc11 \h</w:instrText>
            </w:r>
            <w:r>
              <w:fldChar w:fldCharType="separate"/>
            </w:r>
            <w:r>
              <w:t xml:space="preserve">47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pStyle w:val="904"/>
            <w:rPr>
              <w:rFonts w:ascii="Times New Roman" w:hAnsi="Times New Roman" w:cs="Times New Roman"/>
            </w:rPr>
          </w:pPr>
          <w:r/>
          <w:hyperlink w:tooltip="#_Toc12" w:anchor="_Toc12" w:history="1">
            <w:r>
              <w:rPr>
                <w:rStyle w:val="899"/>
                <w:rFonts w:ascii="Times New Roman" w:hAnsi="Times New Roman" w:cs="Times New Roman"/>
              </w:rPr>
              <w:t xml:space="preserve">3. РЕЗУЛЬТАТЫ ОЦЕНКИ ЭФФЕКТИВНОСТИ ДЕЯТЕЛЬНОСТИ ОРГАНОВ МЕСТНОГО САМОУПРАВЛЕНИЯ ГОРОДСКИХ ОКРУГОВ И МУНИЦИПАЛЬНЫХ РАЙОНОВ В 2020 ГОДУ</w:t>
            </w:r>
            <w:r>
              <w:tab/>
            </w:r>
            <w:r>
              <w:fldChar w:fldCharType="begin"/>
            </w:r>
            <w:r>
              <w:instrText xml:space="preserve">PAGEREF _Toc12 \h</w:instrText>
            </w:r>
            <w:r>
              <w:fldChar w:fldCharType="separate"/>
            </w:r>
            <w:r>
              <w:t xml:space="preserve">50</w:t>
            </w:r>
            <w:r>
              <w:fldChar w:fldCharType="end"/>
            </w:r>
          </w:hyperlink>
          <w:r/>
          <w:r>
            <w:rPr>
              <w:rFonts w:ascii="Times New Roman" w:hAnsi="Times New Roman" w:cs="Times New Roman"/>
            </w:rPr>
          </w:r>
        </w:p>
        <w:p>
          <w:pPr>
            <w:spacing w:after="0" w:line="240" w:lineRule="auto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 w:eastAsiaTheme="minorEastAsia"/>
              <w:sz w:val="28"/>
              <w:szCs w:val="28"/>
              <w:lang w:eastAsia="ru-RU"/>
            </w:rPr>
            <w:fldChar w:fldCharType="end"/>
          </w:r>
          <w:r>
            <w:rPr>
              <w:rFonts w:ascii="Times New Roman" w:hAnsi="Times New Roman" w:cs="Times New Roman"/>
              <w:sz w:val="28"/>
              <w:szCs w:val="28"/>
            </w:rPr>
          </w:r>
        </w:p>
      </w:sdtContent>
    </w:sdt>
    <w:p>
      <w:pPr>
        <w:pStyle w:val="908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  <w:r>
        <w:rPr>
          <w:rFonts w:ascii="Times New Roman" w:hAnsi="Times New Roman" w:cs="Times New Roman"/>
          <w:sz w:val="28"/>
          <w:szCs w:val="28"/>
          <w:lang w:val="en-US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/>
      <w:bookmarkStart w:id="1" w:name="_Toc1"/>
      <w:r>
        <w:rPr>
          <w:rFonts w:ascii="Times New Roman" w:hAnsi="Times New Roman" w:cs="Times New Roman"/>
          <w:color w:val="000000" w:themeColor="text1"/>
        </w:rPr>
        <w:t xml:space="preserve">ОБЩАЯ ИНФОРМАЦИЯ О ГОРОДСКИХ ОКРУГАХ И МУНИЦИПАЛЬНЫХ РАЙОНАХ НОВОСИБИРСКОЙ ОБЛАСТИ</w:t>
      </w:r>
      <w:bookmarkEnd w:id="1"/>
      <w:r/>
      <w:r>
        <w:rPr>
          <w:rFonts w:ascii="Times New Roman" w:hAnsi="Times New Roman" w:cs="Times New Roman"/>
          <w:color w:val="000000" w:themeColor="text1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440"/>
        <w:gridCol w:w="1944"/>
        <w:gridCol w:w="2843"/>
        <w:gridCol w:w="2674"/>
      </w:tblGrid>
      <w:tr>
        <w:trPr>
          <w:jc w:val="center"/>
          <w:trHeight w:val="57"/>
        </w:trPr>
        <w:tc>
          <w:tcPr>
            <w:shd w:val="clear" w:color="auto" w:fill="d9d9d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Наименование муниципального образования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d9d9d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Численность населения по состоянию на 01.01.2023,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человек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d9d9d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Административный центр муниципального района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d9d9d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Информация о размещении доклада в сети «Интернет» (адрес официального сайта муниципального образования)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jc w:val="center"/>
          <w:trHeight w:val="57"/>
        </w:trPr>
        <w:tc>
          <w:tcPr>
            <w:gridSpan w:val="4"/>
            <w:shd w:val="clear" w:color="auto" w:fill="ffffff" w:themeFill="background1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99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Муниципальные районы</w:t>
            </w:r>
            <w:r>
              <w:rPr>
                <w:rFonts w:ascii="Times New Roman" w:hAnsi="Times New Roman" w:cs="Times New Roman"/>
                <w:b/>
                <w:bCs/>
                <w:iCs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Баганский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14189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Баган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13" w:tooltip="http://bagan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bagan.nso.ru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Барабинский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38921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Барабинск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admbaraba.nso.ru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Болотнинский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25450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Болотное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bolotnoe.nso.ru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Венгеровский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14978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Венгерово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vengerovo</w:t>
            </w:r>
            <w:hyperlink r:id="rId14" w:tooltip="http://vengerov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</w:hyperlink>
            <w:r/>
            <w:hyperlink r:id="rId15" w:tooltip="http://vengerov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nso</w:t>
              </w:r>
            </w:hyperlink>
            <w:r/>
            <w:hyperlink r:id="rId16" w:tooltip="http://vengerov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</w:hyperlink>
            <w:r/>
            <w:hyperlink r:id="rId17" w:tooltip="http://vengerov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Доволенский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12894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Довольное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dovolnoe.nso.ru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Здвинский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11954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Здвинск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18" w:tooltip="http://www.zdvinsk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zdvinsk.nso.ru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Искитимский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58772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</w:t>
            </w:r>
            <w:r>
              <w:rPr>
                <w:rFonts w:ascii="Times New Roman" w:hAnsi="Times New Roman" w:cs="Times New Roman"/>
              </w:rPr>
              <w:t xml:space="preserve">Искитим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(не входит в состав района)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iskitimr.nso.ru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Карасукский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38488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Карасук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adm-karasuk.nso.ru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Каргатский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14171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Каргат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kargatskiy.nso.ru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Колыванский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24523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</w:t>
            </w:r>
            <w:r>
              <w:rPr>
                <w:rFonts w:ascii="Times New Roman" w:hAnsi="Times New Roman" w:cs="Times New Roman"/>
              </w:rPr>
              <w:t xml:space="preserve">. Колывань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kolivan.nso.ru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Коченевский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45134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</w:t>
            </w:r>
            <w:r>
              <w:rPr>
                <w:rFonts w:ascii="Times New Roman" w:hAnsi="Times New Roman" w:cs="Times New Roman"/>
              </w:rPr>
              <w:t xml:space="preserve">. Коченево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19" w:tooltip="http://www.kochenevo.s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kochenevo.nso.r</w:t>
              </w:r>
            </w:hyperlink>
            <w:r/>
            <w:hyperlink r:id="rId20" w:tooltip="http://www.kochenevo.s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Кочковский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11625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Кочки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21" w:tooltip="http://www.kochki.obl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kochki</w:t>
              </w:r>
            </w:hyperlink>
            <w:r/>
            <w:hyperlink r:id="rId22" w:tooltip="http://www.kochki.obl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</w:hyperlink>
            <w:r/>
            <w:hyperlink r:id="rId23" w:tooltip="http://www.kochki.obl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Краснозерский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27773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</w:t>
            </w:r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 xml:space="preserve">Краснозррское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24" w:tooltip="http://www.krasnozerskoe.nsknet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krasnozerskoe.nso.</w:t>
              </w:r>
            </w:hyperlink>
            <w:r/>
            <w:hyperlink r:id="rId25" w:tooltip="http://www.krasnozerskoe.nsknet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ru</w:t>
              </w:r>
            </w:hyperlink>
            <w:r/>
            <w:hyperlink r:id="rId26" w:tooltip="http://www.kochki.obl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 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Куйбышевский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54201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Куйбышев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  <w:color w:val="1f497d" w:themeColor="text2"/>
              </w:rPr>
            </w:pPr>
            <w:r>
              <w:rPr>
                <w:rFonts w:ascii="Times New Roman" w:hAnsi="Times New Roman" w:cs="Times New Roman"/>
                <w:color w:val="1f497d" w:themeColor="text2"/>
                <w:lang w:val="en-US"/>
              </w:rPr>
              <w:t xml:space="preserve">kuibyshev.nso.ru</w:t>
            </w:r>
            <w:r>
              <w:rPr>
                <w:rFonts w:ascii="Times New Roman" w:hAnsi="Times New Roman" w:cs="Times New Roman"/>
                <w:color w:val="1f497d" w:themeColor="text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Купинский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25707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Купино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27" w:tooltip="http://kuibyshev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kupino.nso.ru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Кыштовский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9149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3767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Кыштовка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28" w:tooltip="http://www.kyshtovka.nsknet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kyshtovka.nso.</w:t>
              </w:r>
            </w:hyperlink>
            <w:r/>
            <w:hyperlink r:id="rId29" w:tooltip="http://www.kyshtovka.nsknet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Маслянинский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23583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Маслянино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maslyanino.nso.ru/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Мошковский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40629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Мошково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moshkovo.nso.ru/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Новосибирский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166514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Новосибирск</w:t>
            </w:r>
            <w:r>
              <w:rPr>
                <w:sz w:val="22"/>
                <w:szCs w:val="22"/>
              </w:rPr>
            </w:r>
          </w:p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i/>
                <w:iCs/>
                <w:color w:val="000000" w:themeColor="text1"/>
                <w:sz w:val="22"/>
                <w:szCs w:val="22"/>
              </w:rPr>
              <w:t xml:space="preserve">(не входит в состав района)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0" w:tooltip="http://n-adm.n-sk.net/" w:history="1">
              <w:r>
                <w:rPr>
                  <w:color w:val="1f497d" w:themeColor="text2"/>
                  <w:sz w:val="22"/>
                  <w:szCs w:val="22"/>
                </w:rPr>
                <w:t xml:space="preserve">nsr.nso.ru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Ордынский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33811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Ордынское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/>
            <w:hyperlink r:id="rId31" w:tooltip="http://www.ordynsk.nso.ru/" w:history="1">
              <w:r>
                <w:rPr>
                  <w:color w:val="1f497d" w:themeColor="text2"/>
                  <w:sz w:val="22"/>
                  <w:szCs w:val="22"/>
                </w:rPr>
                <w:t xml:space="preserve">ordynsk.nso.ru</w:t>
              </w:r>
            </w:hyperlink>
            <w:r/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424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Северный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7477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Северное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2" w:tooltip="http://www.severnoe.nso.ru/" w:history="1">
              <w:r>
                <w:rPr>
                  <w:color w:val="1f497d" w:themeColor="text2"/>
                  <w:sz w:val="22"/>
                  <w:szCs w:val="22"/>
                </w:rPr>
                <w:t xml:space="preserve">severnoe</w:t>
              </w:r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  <w:r>
                <w:rPr>
                  <w:color w:val="1f497d" w:themeColor="text2"/>
                  <w:sz w:val="22"/>
                  <w:szCs w:val="22"/>
                </w:rPr>
                <w:t xml:space="preserve">nso</w:t>
              </w:r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  <w:r>
                <w:rPr>
                  <w:color w:val="1f497d" w:themeColor="text2"/>
                  <w:sz w:val="22"/>
                  <w:szCs w:val="22"/>
                </w:rPr>
                <w:t xml:space="preserve">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Сузунский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31331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Сузун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3" w:tooltip="http://www.suzun.nso.ru/" w:history="1">
              <w:r>
                <w:rPr>
                  <w:color w:val="1f497d" w:themeColor="text2"/>
                  <w:sz w:val="22"/>
                  <w:szCs w:val="22"/>
                </w:rPr>
                <w:t xml:space="preserve">suzun</w:t>
              </w:r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  <w:r>
                <w:rPr>
                  <w:color w:val="1f497d" w:themeColor="text2"/>
                  <w:sz w:val="22"/>
                  <w:szCs w:val="22"/>
                </w:rPr>
                <w:t xml:space="preserve">nso</w:t>
              </w:r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.</w:t>
              </w:r>
              <w:r>
                <w:rPr>
                  <w:color w:val="1f497d" w:themeColor="text2"/>
                  <w:sz w:val="22"/>
                  <w:szCs w:val="22"/>
                </w:rPr>
                <w:t xml:space="preserve">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Татарский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36987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Татарск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regiontatarsk.nso.ru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Тогучинский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53998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Тогучин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toguchin.nso.ru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Убинский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11475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Убинское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ubinadm.nso.ru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Усть</w:t>
            </w:r>
            <w:r>
              <w:rPr>
                <w:color w:val="000000" w:themeColor="text1"/>
                <w:sz w:val="22"/>
                <w:szCs w:val="22"/>
              </w:rPr>
              <w:t xml:space="preserve">–</w:t>
            </w:r>
            <w:r>
              <w:rPr>
                <w:color w:val="000000" w:themeColor="text1"/>
                <w:sz w:val="22"/>
                <w:szCs w:val="22"/>
              </w:rPr>
              <w:t xml:space="preserve">Таркский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10803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</w:t>
            </w:r>
            <w:r>
              <w:rPr>
                <w:color w:val="000000" w:themeColor="text1"/>
                <w:sz w:val="22"/>
                <w:szCs w:val="22"/>
              </w:rPr>
              <w:t xml:space="preserve">Усть</w:t>
            </w:r>
            <w:r>
              <w:rPr>
                <w:color w:val="000000" w:themeColor="text1"/>
                <w:sz w:val="22"/>
                <w:szCs w:val="22"/>
              </w:rPr>
              <w:t xml:space="preserve">–</w:t>
            </w:r>
            <w:r>
              <w:rPr>
                <w:color w:val="000000" w:themeColor="text1"/>
                <w:sz w:val="22"/>
                <w:szCs w:val="22"/>
              </w:rPr>
              <w:t xml:space="preserve">Тарка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ust</w:t>
            </w:r>
            <w:r>
              <w:rPr>
                <w:color w:val="1f497d" w:themeColor="text2"/>
                <w:sz w:val="22"/>
                <w:szCs w:val="22"/>
              </w:rPr>
              <w:t xml:space="preserve">-</w:t>
            </w: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tarka</w:t>
            </w:r>
            <w:r>
              <w:rPr>
                <w:color w:val="1f497d" w:themeColor="text2"/>
                <w:sz w:val="22"/>
                <w:szCs w:val="22"/>
              </w:rPr>
              <w:t xml:space="preserve">.</w:t>
            </w: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nso</w:t>
            </w:r>
            <w:r>
              <w:rPr>
                <w:color w:val="1f497d" w:themeColor="text2"/>
                <w:sz w:val="22"/>
                <w:szCs w:val="22"/>
              </w:rPr>
              <w:t xml:space="preserve">.</w:t>
            </w: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Чановский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20576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Чаны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chany.nso.ru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Черепановский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49264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Черепаново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4" w:tooltip="http://cherepanovo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cherepanovo.nso.ru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Чистоозерный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13966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Чистоозерное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5" w:tooltip="http://chistoozerniy.oblnso.ru/" w:history="1">
              <w:r>
                <w:rPr>
                  <w:color w:val="1f497d" w:themeColor="text2"/>
                  <w:sz w:val="22"/>
                  <w:szCs w:val="22"/>
                </w:rPr>
                <w:t xml:space="preserve">chistoozernoe</w:t>
              </w:r>
            </w:hyperlink>
            <w:r/>
            <w:hyperlink r:id="rId36" w:tooltip="http://chistoozerniy.oblnso.ru/" w:history="1">
              <w:r>
                <w:rPr>
                  <w:color w:val="1f497d" w:themeColor="text2"/>
                  <w:sz w:val="22"/>
                  <w:szCs w:val="22"/>
                </w:rPr>
                <w:t xml:space="preserve">.</w:t>
              </w:r>
            </w:hyperlink>
            <w:r/>
            <w:hyperlink r:id="rId37" w:tooltip="http://chistoozerniy.obl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Чулымский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19204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84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Чулым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679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</w:rPr>
            </w:pPr>
            <w:r>
              <w:rPr>
                <w:color w:val="1f497d" w:themeColor="text2"/>
                <w:sz w:val="22"/>
                <w:szCs w:val="22"/>
              </w:rPr>
              <w:t xml:space="preserve">chulym.nso.ru</w:t>
            </w:r>
            <w:r>
              <w:rPr>
                <w:color w:val="1f497d" w:themeColor="text2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gridSpan w:val="4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9921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Городские округа</w:t>
            </w:r>
            <w:r>
              <w:rPr>
                <w:b/>
                <w:color w:val="000000" w:themeColor="text1"/>
                <w:sz w:val="22"/>
                <w:szCs w:val="22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Бердск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102965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552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8" w:tooltip="https://berdsk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berdsk.nso.ru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</w:t>
            </w:r>
            <w:r>
              <w:rPr>
                <w:color w:val="000000" w:themeColor="text1"/>
                <w:sz w:val="22"/>
                <w:szCs w:val="22"/>
              </w:rPr>
              <w:t xml:space="preserve">Искитим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56781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552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39" w:tooltip="https://iskitim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iskitim.nso.ru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р.п</w:t>
            </w:r>
            <w:r>
              <w:rPr>
                <w:color w:val="000000" w:themeColor="text1"/>
                <w:sz w:val="22"/>
                <w:szCs w:val="22"/>
              </w:rPr>
              <w:t xml:space="preserve">. Кольцово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20873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552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>
              <w:rPr>
                <w:color w:val="1f497d" w:themeColor="text2"/>
                <w:sz w:val="22"/>
                <w:szCs w:val="22"/>
                <w:lang w:val="en-US"/>
              </w:rPr>
              <w:t xml:space="preserve">kolcovo.ru</w:t>
            </w:r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Новосибирск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1635338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552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40" w:tooltip="http://www.novo-sibirsk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novo–sibirsk.ru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  <w:tr>
        <w:trPr>
          <w:jc w:val="center"/>
          <w:trHeight w:val="57"/>
        </w:trPr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2445" w:type="dxa"/>
            <w:vAlign w:val="center"/>
            <w:textDirection w:val="lrTb"/>
            <w:noWrap w:val="false"/>
          </w:tcPr>
          <w:p>
            <w:pPr>
              <w:pStyle w:val="900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г. Обь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194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30762</w:t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44" w:type="dxa"/>
              <w:top w:w="72" w:type="dxa"/>
              <w:right w:w="144" w:type="dxa"/>
              <w:bottom w:w="72" w:type="dxa"/>
            </w:tcMar>
            <w:tcW w:w="5528" w:type="dxa"/>
            <w:vAlign w:val="center"/>
            <w:textDirection w:val="lrTb"/>
            <w:noWrap w:val="false"/>
          </w:tcPr>
          <w:p>
            <w:pPr>
              <w:pStyle w:val="900"/>
              <w:jc w:val="center"/>
              <w:spacing w:before="0" w:beforeAutospacing="0" w:after="0" w:afterAutospacing="0"/>
              <w:rPr>
                <w:color w:val="1f497d" w:themeColor="text2"/>
                <w:sz w:val="22"/>
                <w:szCs w:val="22"/>
                <w:lang w:val="en-US"/>
              </w:rPr>
            </w:pPr>
            <w:r/>
            <w:hyperlink r:id="rId41" w:tooltip="http://gorodob.nso.ru/" w:history="1">
              <w:r>
                <w:rPr>
                  <w:color w:val="1f497d" w:themeColor="text2"/>
                  <w:sz w:val="22"/>
                  <w:szCs w:val="22"/>
                  <w:lang w:val="en-US"/>
                </w:rPr>
                <w:t xml:space="preserve">gorodob.nso.ru</w:t>
              </w:r>
            </w:hyperlink>
            <w:r/>
            <w:r>
              <w:rPr>
                <w:color w:val="1f497d" w:themeColor="text2"/>
                <w:sz w:val="22"/>
                <w:szCs w:val="22"/>
                <w:lang w:val="en-US"/>
              </w:rPr>
            </w:r>
          </w:p>
        </w:tc>
      </w:tr>
    </w:tbl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 w:clear="all"/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/>
      <w:bookmarkStart w:id="2" w:name="_Toc2"/>
      <w:r>
        <w:rPr>
          <w:rFonts w:ascii="Times New Roman" w:hAnsi="Times New Roman" w:cs="Times New Roman"/>
          <w:color w:val="000000" w:themeColor="text1"/>
        </w:rPr>
        <w:t xml:space="preserve">ВВЕДЕНИЕ</w:t>
      </w:r>
      <w:bookmarkEnd w:id="2"/>
      <w:r/>
      <w:r>
        <w:rPr>
          <w:rFonts w:ascii="Times New Roman" w:hAnsi="Times New Roman" w:cs="Times New Roman"/>
          <w:color w:val="000000" w:themeColor="text1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Мониторинг эффективности деятельности органов местного самоуправления городских округов и муниципальных районов Новосибирской области проведен в соответствии со следующими нормативными правовыми документами: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8"/>
        <w:ind w:left="0"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Указом Президента Российской Федерации от 28.04.2008 № 607 «Об оценке эффективности деятельности органов местного самоуправления муниципальных, городских округов и муниципальных районов»;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8"/>
        <w:ind w:left="0"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17.12.2012 № 1317 «О мерах по реализации Указа Президента Российской Федерации от 28 апреля 2008 г. № 607 «Об оценке эффективности деятельности о</w:t>
      </w:r>
      <w:r>
        <w:rPr>
          <w:rFonts w:ascii="Times New Roman" w:hAnsi="Times New Roman" w:cs="Times New Roman"/>
          <w:sz w:val="28"/>
          <w:szCs w:val="28"/>
        </w:rPr>
        <w:t xml:space="preserve">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от 7 мая 2012 г. № 601 «Об основных направлениях совершенствования системы государственного управления»;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8"/>
        <w:ind w:left="0"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Губернатора Новосибирской области от 30.04.2009 № 181 «Об организации мониторинга эффективности деятельности органов местного самоуправления муниципальных, городских округов и муниципальных районов Новосибирской области»;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8"/>
        <w:ind w:left="0"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Губернатора Новосибирской области от 24.12.2018 № 263 «О порядке организации и проведения с применением информацио</w:t>
      </w:r>
      <w:r>
        <w:rPr>
          <w:rFonts w:ascii="Times New Roman" w:hAnsi="Times New Roman" w:cs="Times New Roman"/>
          <w:sz w:val="28"/>
          <w:szCs w:val="28"/>
        </w:rPr>
        <w:t xml:space="preserve">нно-телекоммуникационных сетей и информационных технологий оценки населением эффективности деятельности руководителей органов местного самоуправления муниципальных образований Новосибирской области, унитарных предприятий и учреждений, действующих на регион</w:t>
      </w:r>
      <w:r>
        <w:rPr>
          <w:rFonts w:ascii="Times New Roman" w:hAnsi="Times New Roman" w:cs="Times New Roman"/>
          <w:sz w:val="28"/>
          <w:szCs w:val="28"/>
        </w:rPr>
        <w:t xml:space="preserve">альном и муниципальном уровнях, акционерных обществ, контрольный пакет акций которых находится в собственности Новосибирской области или муниципальной собственности, осуществляющих оказание услуг населению муниципальных образований Новосибирской области»;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8"/>
        <w:ind w:left="0"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Губернатора Новосибирской области от 13.07.2015 № 131 «О создании экспертной комиссии».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целью оценки эффективности деятельности органов местного самоуправления городских окр</w:t>
      </w:r>
      <w:r>
        <w:rPr>
          <w:rFonts w:ascii="Times New Roman" w:hAnsi="Times New Roman" w:cs="Times New Roman"/>
          <w:sz w:val="28"/>
          <w:szCs w:val="28"/>
        </w:rPr>
        <w:t xml:space="preserve">угов и муниципальных районов Новосибирской области являются определение направлений, требующих приоритетного внимания органов исполнительной власти и местного самоуправления Новосибирской области, формирование перечня мероприятий по повышению результативно</w:t>
      </w:r>
      <w:r>
        <w:rPr>
          <w:rFonts w:ascii="Times New Roman" w:hAnsi="Times New Roman" w:cs="Times New Roman"/>
          <w:sz w:val="28"/>
          <w:szCs w:val="28"/>
        </w:rPr>
        <w:t xml:space="preserve">сти деятельности органов местного самоуправления муниципальных районов и городских округов Новосибирской области, а также выявление внутренних ресурсов, которые необходимо задействовать для обеспечения положительной динамики показателей в плановом периоде.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Мониторинг эффективности деятельности органов местного самоуправления за 2021 год проведен на основе ежегодных докладов глав городских округов и муниципальных районов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 достигнутых значениях показателей для оценки эффективности деятельности органов местного самоуправления и планируемых значениях на трехлетний период, аналитических материалов областных исполнительных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области, результатов социологического опроса населения муниципальных образований Новосибирской области, проведенного с использованием информационно-телекоммуникационной сети «Интернет».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202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 года проведена комплексная оценка эффективности деятельности органов местного самоуправления Новосибирской области в соответствии с методикой мониторинга эффективности деятельности органов местного самоуправления городских округов и м</w:t>
      </w:r>
      <w:r>
        <w:rPr>
          <w:rFonts w:ascii="Times New Roman" w:hAnsi="Times New Roman" w:cs="Times New Roman"/>
          <w:sz w:val="28"/>
          <w:szCs w:val="28"/>
        </w:rPr>
        <w:t xml:space="preserve">униципальных районов Новосибирской области, утвержденной постановлением Правительства Российской Федерации от 17.12.2012 № 1317 «О мерах по реализации Указа Президента Российской Федерации от 28 апреля 2008 г. № 607 «Об оценке эффективности деятельности ор</w:t>
      </w:r>
      <w:r>
        <w:rPr>
          <w:rFonts w:ascii="Times New Roman" w:hAnsi="Times New Roman" w:cs="Times New Roman"/>
          <w:sz w:val="28"/>
          <w:szCs w:val="28"/>
        </w:rPr>
        <w:t xml:space="preserve">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от 7 мая 2012 г. № 601 «Об основных направлениях совершенствования системы государственного управления».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равных условий оценки муниципальные образования разбиты на две группы: муниципальные районы и городские округа.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/>
      <w:bookmarkStart w:id="3" w:name="_Toc3"/>
      <w:r>
        <w:rPr>
          <w:rFonts w:ascii="Times New Roman" w:hAnsi="Times New Roman" w:cs="Times New Roman"/>
          <w:bCs w:val="0"/>
          <w:color w:val="000000" w:themeColor="text1"/>
        </w:rPr>
        <w:t xml:space="preserve">1.</w:t>
      </w:r>
      <w:r>
        <w:rPr>
          <w:rFonts w:ascii="Times New Roman" w:hAnsi="Times New Roman" w:cs="Times New Roman"/>
          <w:color w:val="000000" w:themeColor="text1"/>
        </w:rPr>
        <w:t xml:space="preserve"> РЕЗУЛЬТАТЫ МОНИТОРИНГА ЭФФЕКТИВНОСТИ ДЕЯТЕЛЬНОСТИ ОРГАНОВ </w:t>
      </w:r>
      <w:r>
        <w:rPr>
          <w:rFonts w:ascii="Times New Roman" w:hAnsi="Times New Roman" w:cs="Times New Roman"/>
          <w:color w:val="auto"/>
        </w:rPr>
        <w:t xml:space="preserve">МЕСТНОГО САМОУПРАВЛЕНИЯ ГОРОДСКИХ ОКРУГОВ И МУНИЦИПАЛЬНЫХ РАЙОНОВ</w:t>
      </w:r>
      <w:bookmarkEnd w:id="3"/>
      <w:r/>
      <w:r>
        <w:rPr>
          <w:rFonts w:ascii="Times New Roman" w:hAnsi="Times New Roman" w:cs="Times New Roman"/>
          <w:color w:val="auto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/>
      <w:bookmarkStart w:id="4" w:name="_Toc4"/>
      <w:r>
        <w:rPr>
          <w:rFonts w:ascii="Times New Roman" w:hAnsi="Times New Roman" w:cs="Times New Roman"/>
          <w:color w:val="auto"/>
        </w:rPr>
        <w:t xml:space="preserve">1.1. Экономическое развитие</w:t>
      </w:r>
      <w:bookmarkEnd w:id="4"/>
      <w:r/>
      <w:r>
        <w:rPr>
          <w:rFonts w:ascii="Times New Roman" w:hAnsi="Times New Roman" w:cs="Times New Roman"/>
          <w:color w:val="auto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Малое и среднее предпринимательство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Малое и среднее предпринимательство игра</w:t>
      </w:r>
      <w:r>
        <w:rPr>
          <w:rFonts w:ascii="Times New Roman" w:hAnsi="Times New Roman" w:cs="Times New Roman"/>
          <w:sz w:val="28"/>
          <w:szCs w:val="28"/>
        </w:rPr>
        <w:t xml:space="preserve">ет значительную роль в социально-экономической жизни Новосибирской области, так как обеспечивает существенный вклад в валовый региональный продукт, создает рабочие места, способствует развитию инновационных технологий и насыщению рынка товарами и услугами.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Высокий уровень предпринимательской активности является одним из важнейших конкурентных преимуществ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Проведенный анализ состояния сферы малого и среднего предпринимательства области свидетельствует, что</w:t>
      </w:r>
      <w:r>
        <w:rPr>
          <w:rFonts w:ascii="Times New Roman" w:hAnsi="Times New Roman" w:cs="Times New Roman"/>
          <w:sz w:val="28"/>
          <w:szCs w:val="28"/>
        </w:rPr>
        <w:t xml:space="preserve"> по итогам 2022 года Новосибирская область сохраняет лидирующие позиции среди субъектов Сибирского федерального округа по количеству действующих на территории малых предприятий, их обороту, объему инвестиций в основной капитал, а также количеству занятых: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количество действующих на территории малых (с учетом микро) и средних предприятий - 23,5% от общего количества малых и средних предприятий в Сибирском федеральном округе (далее - СФО) (первое место) и 2,4% в Российской Федерации (восьмое место);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доля среднесписочной численности работников (без внешних совместителей) - 24,5% в СФО (первое место) и 2,6% в Российской Федерации (седьмое место).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  <w:sectPr>
          <w:headerReference w:type="default" r:id="rId9"/>
          <w:footnotePr/>
          <w:endnotePr/>
          <w:type w:val="nextPage"/>
          <w:pgSz w:w="11906" w:h="16838" w:orient="portrait"/>
          <w:pgMar w:top="1134" w:right="567" w:bottom="851" w:left="1418" w:header="708" w:footer="708" w:gutter="0"/>
          <w:cols w:num="1" w:sep="0" w:space="708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5200" distR="115200" simplePos="0" relativeHeight="251740160" behindDoc="0" locked="0" layoutInCell="1" allowOverlap="1">
            <wp:simplePos x="0" y="0"/>
            <wp:positionH relativeFrom="column">
              <wp:posOffset>-226989</wp:posOffset>
            </wp:positionH>
            <wp:positionV relativeFrom="paragraph">
              <wp:posOffset>4762</wp:posOffset>
            </wp:positionV>
            <wp:extent cx="9813266" cy="5510307"/>
            <wp:effectExtent l="4762" t="4762" r="4762" b="4762"/>
            <wp:wrapSquare wrapText="bothSides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8" w:h="11906" w:orient="landscape"/>
          <w:pgMar w:top="1418" w:right="1134" w:bottom="567" w:left="1134" w:header="708" w:footer="708" w:gutter="0"/>
          <w:cols w:num="1" w:sep="0" w:space="708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информации, размещенной на сайте Федеральной налоговой службы России, по состоянию на 10.01.2023 в Новосибирской области зарегистрировано 144 174 субъектов малого и среднего предпринимательства (далее -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). Количество субъектов МСП (включая индивидуальных предпринимателей) на 1 тыс. человек населения составило 51,6 ед.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Оборот малых и средних предприятий в 2022 году составил около 2 205 млрд рублей, что составляет 49,2% от оборота всех организаций Новосибирской области, темп прироста оборота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в текущих ценах составил 8% к уровню 2021 года.</w:t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Среднесписочная численность работников (без внешних совместителей) малых и средних предприятий Новос</w:t>
      </w:r>
      <w:r>
        <w:rPr>
          <w:rFonts w:ascii="Times New Roman" w:hAnsi="Times New Roman" w:cs="Times New Roman"/>
          <w:sz w:val="28"/>
          <w:szCs w:val="28"/>
        </w:rPr>
        <w:t xml:space="preserve">ибирской области в 2022 году на основании данных, полученных из Единого реестра МСП, составила 391,4 тыс. чел, что составляет 44% от среднесписочной численности работников всех предприятий и организаций, что на 4,1 процентных пункта выше, чем в 2021 году. </w:t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данными, полученными из статистических бюллетеней за 2022 год объем отгруженных товаров (работ, услуг) собственного производства малых и средних предприятий в 2022 году составил 1 045,9 млрд рублей, что на 12,7 </w:t>
      </w:r>
      <w:r>
        <w:rPr>
          <w:rFonts w:ascii="Times New Roman" w:hAnsi="Times New Roman" w:cs="Times New Roman"/>
          <w:sz w:val="28"/>
          <w:szCs w:val="28"/>
        </w:rPr>
        <w:t xml:space="preserve">п.п</w:t>
      </w:r>
      <w:r>
        <w:rPr>
          <w:rFonts w:ascii="Times New Roman" w:hAnsi="Times New Roman" w:cs="Times New Roman"/>
          <w:sz w:val="28"/>
          <w:szCs w:val="28"/>
        </w:rPr>
        <w:t xml:space="preserve">. выше, чем в 2021 году;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создания благоприятных экономических, правовых и организационных условий для развития предпринимательства на территории области реализуются следующие меры государственной поддержки: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реализуется государственная программа Новосибирской области «Развитие субъектов малого и среднего предпринимательства в Новосибирской области» (далее – Программа), на </w:t>
      </w:r>
      <w:r>
        <w:rPr>
          <w:rFonts w:ascii="Times New Roman" w:hAnsi="Times New Roman" w:cs="Times New Roman"/>
          <w:sz w:val="28"/>
          <w:szCs w:val="28"/>
        </w:rPr>
        <w:t xml:space="preserve">софинансирование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которой привлекаются средства федерального бюджета;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введены налоговые льготы для индивидуальных предпринимателей, применяющих специальные налоговые режимы, позволяющие снизить налоговую нагрузку начинающим предпринимателям;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действуют муниципальные программы поддержки и развития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действует инфраструктура поддержки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в том числе центр «Мой бизнес»;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работают общественные объединения предпринимателей.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в рамках реализации Программы на </w:t>
      </w:r>
      <w:r>
        <w:rPr>
          <w:rFonts w:ascii="Times New Roman" w:hAnsi="Times New Roman" w:cs="Times New Roman"/>
          <w:sz w:val="28"/>
          <w:szCs w:val="28"/>
        </w:rPr>
        <w:t xml:space="preserve">софинансирование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программ развития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образований были предоставлены субсидии из </w:t>
      </w:r>
      <w:r>
        <w:rPr>
          <w:rFonts w:ascii="Times New Roman" w:hAnsi="Times New Roman" w:cs="Times New Roman"/>
          <w:sz w:val="28"/>
          <w:szCs w:val="28"/>
        </w:rPr>
        <w:t xml:space="preserve">областного бюджета Новосибирской области в объеме 9 036 тыс. рублей. Фактически использовано на поддержку субъектов МСП 8 939,9 тыс. рублей, 96,1 тыс. рублей возвращено в бюджет Новосибирской области администрацией Ордынского района Новосибирской области.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37 муниципальных образований области выделили на реализацию муниципальных программ поддержки и развития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из местных бюджетов 59 312,2 тыс. рублей, что на 7,1% больше, чем в 2021 году.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реализации муниципальных программ поддержки и развития СМСП за отчетный год предоставлена субсидия 98 субъектам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в связи с чем было создано 167 рабочих мест.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реализации Программы субсидии предоставлены: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на возмещение части затрат, связанных с приобретением оборудования в целях создания, развития и модернизации производства товаров, работ, услуг 15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из 4 районов и городских округов на сумму 22 729,5 тыс. рублей;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гранты 57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из 5 районов и городских округов на общую сумму 26 978,6 тыс. рублей, что на 53,8% больше, чем в 2021 году (32 социальным предпринимателям на сумму 15 405,3 тыс. рублей и 25 молодым предпринимателям на сумму 11 573,3 тыс. рублей).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отчетном году МКК Фонд микрофинансирования НСО предоставлено 460 </w:t>
      </w:r>
      <w:r>
        <w:rPr>
          <w:rFonts w:ascii="Times New Roman" w:hAnsi="Times New Roman" w:cs="Times New Roman"/>
          <w:sz w:val="28"/>
          <w:szCs w:val="28"/>
        </w:rPr>
        <w:t xml:space="preserve">микрозаймов</w:t>
      </w:r>
      <w:r>
        <w:rPr>
          <w:rFonts w:ascii="Times New Roman" w:hAnsi="Times New Roman" w:cs="Times New Roman"/>
          <w:sz w:val="28"/>
          <w:szCs w:val="28"/>
        </w:rPr>
        <w:t xml:space="preserve"> на общую сумму 1 074,9 млн рублей.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Баганского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Доволенского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Каргатского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Купинского</w:t>
      </w:r>
      <w:r>
        <w:rPr>
          <w:rFonts w:ascii="Times New Roman" w:hAnsi="Times New Roman" w:cs="Times New Roman"/>
          <w:sz w:val="28"/>
          <w:szCs w:val="28"/>
        </w:rPr>
        <w:t xml:space="preserve">, Северного, Убинского, </w:t>
      </w:r>
      <w:r>
        <w:rPr>
          <w:rFonts w:ascii="Times New Roman" w:hAnsi="Times New Roman" w:cs="Times New Roman"/>
          <w:sz w:val="28"/>
          <w:szCs w:val="28"/>
        </w:rPr>
        <w:t xml:space="preserve">Черепановского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районов и </w:t>
      </w:r>
      <w:r>
        <w:rPr>
          <w:rFonts w:ascii="Times New Roman" w:hAnsi="Times New Roman" w:cs="Times New Roman"/>
          <w:sz w:val="28"/>
          <w:szCs w:val="28"/>
        </w:rPr>
        <w:t xml:space="preserve">г.Искитима</w:t>
      </w:r>
      <w:r>
        <w:rPr>
          <w:rFonts w:ascii="Times New Roman" w:hAnsi="Times New Roman" w:cs="Times New Roman"/>
          <w:sz w:val="28"/>
          <w:szCs w:val="28"/>
        </w:rPr>
        <w:t xml:space="preserve"> не воспользовались кредитными ресурсами МКК Фонд микрофинансирования НСО.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Гарантийным фондом НСО заключено 728 договоров поручительства с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из 22 муниципальных районов и 5 городских округов. Выданы поручительства на сумму 4 597 млн рублей. Общая сумма кредитов, выданных Банками под поручительства Фонда, составила 11 012,1 млн рублей.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сфере малого и среднего предпринимательства в 2022 году можно выделить следующие проблемы: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нестабильность налогового законодательства;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затрудненный доступ к финансово-кредитным ресурсам из-за высокой ставки по кредитам, выдаваемым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банками, недостаток оборотных средств и инвестиционных вложений;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недостаточность платежеспособного спроса на продукцию (работы, услуги)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продвижение товаров (работ, услуг)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на местные и межрегиональные рынки;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конкуренция со стороны крупных торговых сетей;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избыток предпринимателей, занимающимися однотипными видами деятельности. В результате этого многие предприятия не выдерживают конкуренции, разоряются и закрываются, иногда не просуществовав даже года;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низкая доля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осуществляющих деятельность в сфере производства, в общем количестве предпринимателей Новосибирской области;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низкий уровень осведомленности и образования у большого процента начинающих предпринимателей.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из указанных проблем связаны не только и не столько с деятельностью органов местного самоуправления и органов государственной власти Новосибирской области, но и с общей экономической ситуацией в России, решениями федеральных органов власти.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Помимо этого, на муниципальном уровне проблемами являются: низкий уровень квалификации субъектов МСП, слабая имущественная база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недостаток производственных площадей.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Удаленность от г. Новосибирска и других крупных городов, транспортных потоков создает в удаленных муниципальных образованиях дополнительные проблемы для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: увеличиваются транспортные расходы, расходы на сырье, </w:t>
      </w:r>
      <w:r>
        <w:rPr>
          <w:rFonts w:ascii="Times New Roman" w:hAnsi="Times New Roman" w:cs="Times New Roman"/>
          <w:sz w:val="28"/>
          <w:szCs w:val="28"/>
        </w:rPr>
        <w:t xml:space="preserve">материалы и комплектующие, снижаются возможности сбыта продукции, повышения квалификации сотрудников.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Наблюдается неравномерность распределения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по муниципальным образованиям Новосибирской области. Большинство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сконцентрировано в г. Новосибирске, в муниципальн</w:t>
      </w:r>
      <w:r>
        <w:rPr>
          <w:rFonts w:ascii="Times New Roman" w:hAnsi="Times New Roman" w:cs="Times New Roman"/>
          <w:sz w:val="28"/>
          <w:szCs w:val="28"/>
        </w:rPr>
        <w:t xml:space="preserve">ых районах области предприниматели осуществляют деятельность в основном в районных центрах. Это обусловлено объективными причинами: большим количеством населения, наличием платежеспособного спроса, инфраструктуры ведения бизнеса, транспортной доступностью.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органов местного самоуправления по развитию и поддержке малого и среднего предпринимательства в му</w:t>
      </w:r>
      <w:r>
        <w:rPr>
          <w:rFonts w:ascii="Times New Roman" w:hAnsi="Times New Roman" w:cs="Times New Roman"/>
          <w:sz w:val="28"/>
          <w:szCs w:val="28"/>
        </w:rPr>
        <w:t xml:space="preserve">ниципальных районах и городских округах Новосибирской области осуществляется главным образом через реализацию муниципальных программ развития малого и среднего предпринимательства (далее – муниципальные программы) и осложняется следующими обстоятельствами: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средств местных бюджетов для эффективной реализации муниципальных программ;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муниципального имущества для сдачи в аренду;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недостаточная информированность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о мерах поддержки и инертность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 в вопросе обращения за поддержкой.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Администрациями муниципальных районов ведется работа с поселениями, информация о поддержке в рамках муниципальных программ публикуется в районных средствах массо</w:t>
      </w:r>
      <w:r>
        <w:rPr>
          <w:rFonts w:ascii="Times New Roman" w:hAnsi="Times New Roman" w:cs="Times New Roman"/>
          <w:sz w:val="28"/>
          <w:szCs w:val="28"/>
        </w:rPr>
        <w:t xml:space="preserve">вой информации (далее- СМИ) и на официальных сайтах муниципальных образований Новосибирской области, иных сайтах в информационно-телекоммуникационной сети «Интернет». Тем не менее, многие предприниматели, особенно в поселениях, мало информированы о возможн</w:t>
      </w:r>
      <w:r>
        <w:rPr>
          <w:rFonts w:ascii="Times New Roman" w:hAnsi="Times New Roman" w:cs="Times New Roman"/>
          <w:sz w:val="28"/>
          <w:szCs w:val="28"/>
        </w:rPr>
        <w:t xml:space="preserve">ости получения поддержки в рамках муниципальных программ.  Также специалистами экономических служб многих муниципальных образований отмечается низкая активность предпринимателей в вопросе обращения за финансовой поддержкой в рамках муниципальных программ.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повышения эффективности деятельности в сфере развития малого и среднего предпринимательства органам местного самоуправления можно рекомендовать: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провести анализ и актуализацию муниципальных правовых актов в сфере поддержки предпринимательства на соответствие действующему законодательству и, при необходимости, внести изменения в соответствующие правовые акты;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-ежегодно подавать заявки в </w:t>
      </w:r>
      <w:r>
        <w:rPr>
          <w:rFonts w:ascii="Times New Roman" w:hAnsi="Times New Roman" w:cs="Times New Roman"/>
          <w:sz w:val="28"/>
          <w:szCs w:val="28"/>
        </w:rPr>
        <w:t xml:space="preserve">Минпромторг</w:t>
      </w:r>
      <w:r>
        <w:rPr>
          <w:rFonts w:ascii="Times New Roman" w:hAnsi="Times New Roman" w:cs="Times New Roman"/>
          <w:sz w:val="28"/>
          <w:szCs w:val="28"/>
        </w:rPr>
        <w:t xml:space="preserve"> НСО на получение субсидий из областного бюджета на </w:t>
      </w:r>
      <w:r>
        <w:rPr>
          <w:rFonts w:ascii="Times New Roman" w:hAnsi="Times New Roman" w:cs="Times New Roman"/>
          <w:sz w:val="28"/>
          <w:szCs w:val="28"/>
        </w:rPr>
        <w:t xml:space="preserve">софинансирование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программ развития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активизировать работу по информированию предпринимателей, в первую очередь гарантийного фонда и фонда микрофинансирования Новосибирской области, Центра «Мой бизнес», о мерах поддержки в рамках Программы и муниципальных программ развития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о возможностях инфраструктуры поддержки </w:t>
      </w:r>
      <w:r>
        <w:rPr>
          <w:rFonts w:ascii="Times New Roman" w:hAnsi="Times New Roman" w:cs="Times New Roman"/>
          <w:sz w:val="28"/>
          <w:szCs w:val="28"/>
        </w:rPr>
        <w:t xml:space="preserve">СМиСП</w:t>
      </w:r>
      <w:r>
        <w:rPr>
          <w:rFonts w:ascii="Times New Roman" w:hAnsi="Times New Roman" w:cs="Times New Roman"/>
          <w:sz w:val="28"/>
          <w:szCs w:val="28"/>
        </w:rPr>
        <w:t xml:space="preserve">, (организация публикаций в районных СМИ, размещение </w:t>
      </w:r>
      <w:r>
        <w:rPr>
          <w:rFonts w:ascii="Times New Roman" w:hAnsi="Times New Roman" w:cs="Times New Roman"/>
          <w:sz w:val="28"/>
          <w:szCs w:val="28"/>
        </w:rPr>
        <w:t xml:space="preserve">информации в администрациях муниципальных образований и в инспекции федеральной налоговой службы, публикация информации в информационно-телекоммуникационной сети «Интернет»).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Инвестиции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2022 году объем инвестиций в основной капитал (за исключением бюджетных средств) в расчете на одного жителя в среднем по муниципальным районам и городским округам Новосибирской области составил</w:t>
      </w:r>
      <w:r>
        <w:rPr>
          <w:rFonts w:ascii="Times New Roman" w:hAnsi="Times New Roman" w:cs="Times New Roman"/>
          <w:sz w:val="28"/>
          <w:szCs w:val="28"/>
        </w:rPr>
        <w:t xml:space="preserve"> 61 791,39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рублей.</w:t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darkCy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Наивысшее значение среднедушевого показателя отмечено в Новосибирском районе Новосибирской области (271 тыс. рублей). 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Огромный потенциал в Новосибирском районе имеют такие площадки как Промышленно-Логистический парк «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Толмачёвский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», ПЛП «Восточный», парки, создаваемые в рамках масштабных инвестиционных проектов Логистический парк ООО «ПФО Западная Сибирь» и Индустриальный парк «PNK парк Пашино».</w:t>
      </w:r>
      <w:r>
        <w:rPr>
          <w:rFonts w:ascii="Times New Roman" w:hAnsi="Times New Roman" w:cs="Times New Roman"/>
          <w:bCs/>
          <w:iCs/>
          <w:sz w:val="28"/>
          <w:szCs w:val="28"/>
          <w:highlight w:val="darkCy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Наименьшее значение показателя «Объем инвестиций в основной капитал (за исключением бюджетных средств) в расчете на одного жителя» отмечено в Убинском районе – менее 4 тыс. рублей на одного жителя.</w:t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Рост среднедушевых инвестиций в 2022 году наблюдался в 19 из 35 муниципальных образований Новосибирской области. Отрицательная динамика инвестиций в основной капитал наблюдалась в 16 муниципальных образованиях.</w:t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2022 году проведено 3 заседания Совета по инвестициям Новосибирской области, в рамках которых рассмотрено 8 инвестиционных проектов с общим объемом инвестиций более 65 млрд рублей: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1)«Разрез Богатырь» (инициатор – ООО «Разрез Богатырь») с общим объемом инвестиций около 56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2)«Строительство производственного комплекса по переработке масличных культур (лен, рапс)» (инициатор – ООО «Маслов») с общим объемом инвестиций 3,7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3)«Убойный цех мощностью до 500 тонн в сутки с мясоперерабатывающим цехом и удаленным складом хранения замороженных продуктов» (инициатор – ООО «Сибирская продовольственная компания») с общим объемом инвестиций около 2,0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4)«Строительство здания научно-исс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ледовательского института с подземной автостоянкой, трансформаторной подстанцией и локальным источником теплоснабжения по ул. Окружная города Новосибирска (третья очередь)» (инициатор – ООО «Предприятие «ЭЛТЕКС») с общим объемом инвестиций 1,2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5)«Создание инфраструктуры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экопромышленного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парка для обращения со вторичными ресурсами и вторичным сырьем на территории Новосибирского района Новосибирской области» (инициатор – ООО «Экологический цифровой оператор») с общим объемом инвестиций 1,2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6)«Завод по производству минеральной ваты» (инициатор – ООО «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ДорХан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-Новосибирск») с общим объемом инвестиций около 0,8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7)«Организация производства ягодных морсов в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р.п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. Горный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Тогучинского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района Новосибирской области» (инициатор – ООО «Натуральные продукты») с общим объемом инвестиций около 0,1 млрд рублей;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8)«Строительство завода по изготовлению промышленного и нестандартного оборудования» (инициатор – ООО Завод промышленного оборудования «Фабер Групп») с общим объемом инвестиций около 0,1 млрд рублей.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2022 году успешно завершились инвестиционные фазы таких крупнейших проектов, как: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1) строительство птицефабрики «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Улыбино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» мощностью до 18 тыс. тонн мяса утки в год, реализуемый ООО ПФ «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Улыбино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»;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2) запуск завода по производству бумаги и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гофроупаковки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в пос. Красный Яр Новосибирской области, реализуемый ЗАО «Новосибирский КБК»;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3) строительство многофункционального логистического центра, реализуемый ООО «Проект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Девелопмент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»;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4) расширение производства пресс-форм, крупногабаритных изделий из полимеров и переработки отходов из них, реализуемый ООО ЦТ «Литейщик»;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5) на территории Промышленно-логистического парка Новосибирской области запущен производственно-логистический комплекс ООО «ИЭК Холдинг».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highlight w:val="white"/>
        </w:rPr>
      </w:r>
      <w:r>
        <w:rPr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  <w:t xml:space="preserve">Доля площади земельных участков, являющихся объектами налогообложения земельным налогом, в общей площади территории городского округа (муниципального района)</w:t>
      </w: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На территории всех муниципальных образований Новосибирской области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проводится работа в рамках осуществления муниципального земельного контроля: проводятся плановые и внеплановые проверки с целью выявления соблюдения требований земельного законодательства собственниками земельных участков; проводится работа по обследовани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ю населенных пунктов, на предмет выявления неиспользуемых земельных участков, с целью дальнейшего оформления документов на них; осуществляется информирование граждан о порядке постановки на кадастровый учет объектов недвижимого имущества и регистрации прав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а собственности на них; осуществляется направление адресных уведомлений собственникам с разъяснениями о необходимости регистрации прав на объекты недвижимости; проводится работа по выявлению (уточнению) отсутствующих сведений в налоговых органах и органах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Росреестра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в отношении правообладателей земельных участков.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На постоянной основе на территории муниципальных образований Новосибирской области п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роводятся работы по инвентаризации земельных участков и объектов капитального строительства, в ходе которой выявляются незарегистрированные объекты и контролируется целевое использование земельных участков в соответствии с видом разрешенного использования.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Муниципальными образованиями Новосибирской области осуществляется работа по предоставлению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земельных участков под жилищное и иное строительство, для целей, не связанных со строительством, а также ведется предоставление земельных участков в собственность. Проводятся работы по заключению договоров аренды недвижимого имущества и земельных участков.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Доля площади земельных участков, являющихся объектами налогообложения земельным налогом, в общей площади территории городского округа (муниципального района) в 2022 году составила в среднем 51,08%.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Доля многоквартирных домов, расположенных на земельных участках, в отношении которых осуществлен государственный кадастровый учет в 2022 году составила в среднем 86,46%.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Общие тенденции развития и основные проблемы, присущие большинству муниципальных образований Новосибирской области: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Процедура формирования земельных участков (межевание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, постановка на кадастровый учет) и формирования права собственности на них связаны со значительным временными, организационными и финансовыми затратами, что затрудняет предоставление земельных участков на безвозмездной основе льготным категориям граждан. 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  <w:highlight w:val="yellow"/>
        </w:rPr>
        <w:sectPr>
          <w:headerReference w:type="first" r:id="rId10"/>
          <w:footnotePr/>
          <w:endnotePr/>
          <w:type w:val="nextPage"/>
          <w:pgSz w:w="11906" w:h="16838" w:orient="portrait"/>
          <w:pgMar w:top="1134" w:right="567" w:bottom="851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Одной из главных проблем оста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ется отсутствие заинтересованности собственников объектов недвижимости, не поставленных на кадастровый учет, к проведению технической инвентаризации и постановке объектов на кадастровый учет. Многие не регистрируют объекты с целью ухода от уплаты налогов..</w:t>
      </w:r>
      <w:r>
        <w:rPr>
          <w:rFonts w:ascii="Times New Roman" w:hAnsi="Times New Roman" w:cs="Times New Roman"/>
          <w:b/>
          <w:bCs/>
          <w:iCs/>
          <w:sz w:val="28"/>
          <w:szCs w:val="28"/>
          <w:highlight w:val="yellow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  <w:t xml:space="preserve">Сельскохозяйственное производство</w:t>
      </w: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Объем валовой продукции сельского хозяйства в действующих ценах за 2022 год составил 168 млрд рублей, с индексом производства 101,5% к уровню 2021 года.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Новосибирская область производит 17,4% от общего объема продукции сельского хозяйства Сибирского федерального округа и занимает 2 место среди регионов СФО.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структуре валовой продукции сельского хозяйства 53,4% составляет продукция растениеводства и 46,6% - продукция животноводства.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Сельскохозяйственными организациями произведено 67,1% от общего объема производства валовой продукции области, хозяйствами населения – 20,7%, крестьянскими (фермерскими) хозяйствами и ИП – 12,2%.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Валовой сбор зерна в весе после доработки в 2022 году составил 3356,4 тыс. тонн (99,4% к уровню 2021 года) при урожайности 21,9 ц/га. 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хозяйствах всех категорий произведено 256,4 тыс. тонн картофеля (87,7% к уровню 2021 года) и 150,6 тыс. тонн овощей (93,3%).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сельскохозяйственных организациях, К(Ф)Х и ИП собрано картофеля 66,3 тыс. тонн (104,2%), овощей открытого грунта 25,1 тыс. тонн (103,9%).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2022 году в хозяйст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вах всех категорий производство молока составило 893,9 тыс. тонн (увеличилось относительно уровня 2021 года на 5,5%), производство мяса скота и птицы в живом весе – 265,3 тыс. тонн (увеличилось на 5%), производство яиц 1233,5 млн штук (увеличилось на 11%).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Среди регионов Сибирского федерального округа Новосибирская область занимает 1 место по валовому сбору овощей и производству мяса скота и птицы на убой, 2 место по валовому сбору зерна, производству молока и яиц.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На государственную поддержку сельскохозяйственного производства области направлено 4,6 млрд рублей, в том числе из средств областного бюджета – 3,3 млрд рублей, из средств федерального бюджета – 1,3 млрд рублей.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Среднемесячная номинальная заработная плата в сельском хозяйстве увеличилась к уровню 2021 года на 21,2% и составила 38 435 рублей.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По итогам 2022 года доля прибыльных сельскохозяйственных организаций в общем их числе составила 88,2%, прибыль от сельскохозяйственной деятельности – 13,3 млрд рублей, уровень рентабельности производства (с учетом субсидий) – 17,5%.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 семи районах области (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Баганском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Каргатском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Маслянинском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, Северном, Татарском, Чистоозерном,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Чулымском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) удельный вес прибыльных предприятий составил 100%.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Низкий удельный вес прибыльных хозяйств отмечен в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Кыштовском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– 60%, Убинском – 60%,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Болотнинском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– 62,5% районах. 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К основным проблемам агропромышленного комплекса области следует отнести: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колебания объемов производимой продукции, обусловленные сезонностью сельскохозяйственного производства;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недостаточный уровень развития материально-технической базы отраслей агропромышленного комплекса;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недостаточное вложение финансовых ресурсов в инновационные проекты развития агропромышленного комплекса;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невысокий уровень рентабельности производства сельскохозяйственной продукции;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низкая инвестиционная привлекательность аграрного бизнеса на удаленных территориях;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низкий уровень переработки сельскохозяйственной продукции, большое количество посредников между производством и реализацией выращенной продукции;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недостаточный уровень развития инфраструктуры хранения сельскохозяйственной продукции, транспортно-логистической сети в сельской местности;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дефицит квалифицированных кадров в сельскохозяйственной отрасли, вызванный низким уровнем доходов сельского населения и отсутствием благоприятных условий проживания на сельских территориях.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Рекомендации для органов местного самоуправления муниципальных образований по повышению эффективности деятельности и решению выявленных проблем в агропромышленном комплексе: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сохранение экономического потенциала организаций агропромышленного комплекса, дальнейшее техническое и технологическое переоснащение отрасли;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ввод в оборот неиспользуемых земель сельскохозяйственного назначения, рациональное использование природного потенциала сельских территории;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принятие мер для сохранения и увеличения поголовья скота и птицы, роста продуктивности сельскохозяйственных животных;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обеспечение населения продовольствием, безопасным и конкурентным по цене и своим потребительским свойствам, увеличение производства экологически чистых продуктов питания;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принятие мер по повышению инвестиционной привлекательности агропромышленного комплекса;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внедрение инноваций и современных технологий, в том числе цифровых в процессы производства сельскохозяйственной продукции, повышение конкурентоспособности отрасли;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содействие развитию новых сегментов переработки местной сельскохозяйственной продукции, расширению рынков сбыта продукции пищевой и перерабатывающей промышленности;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содействие развитию логистической инфраструктуры, в том числе создание оптово-распределительных центров, продвижение продукции агропромышленного комплекса на продовольственном рынке области и за ее пределами;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содействие развитию малых форм хозяйствования и сельскохозяйственной кооперации на селе;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поддержка и развитие кадрового потенциала в агропромышленном комплексе;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повышение уровня занятости сельского населения;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создание комфортных условий жизнедеятельности в сельской местности, формирование современного облика сельских территорий.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Дорожно-транспортный комплекс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Дорожно-транспортный комплекс Новосибирской области относи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тся к числу важнейших отраслей жизнеобеспечения региона, от функционирования которого зависит качество жизни населения, эффективность работы других отраслей экономики Новосибирской области и возможность использования ее социально-экономического потенциала.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По итогам 2022 года общая доля протяженности автомобильных дорог местного значения, не отвечающих нормативным требованиям, в общей протяженности автомобильных дорог общего пользования местного значения, в среднем по области составила 44,7%.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Наибольшее количество дорог, отвечающих нормативным требованиям отмечено в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р.п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. Кольцово (85,4%),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Чановском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(84,3%),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Искитимском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(83,2%), Новосибирском (76,4%),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Сузунском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(75,4%) районах Новосибирской области. В 2022 году по сравнению с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202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1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годом доля дорог, не отвечающих нормативным требованиям, сократилась в 21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территори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и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Новосибирской области.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t xml:space="preserve">Низкое качество автомобильных дорог отчасти объясняется временными издержками, связанными с решением вопроса по оформлению в муниципальную собственность автомобильных дорог местного значения и искусственных сооружений на них.</w:t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highlight w:val="white"/>
        </w:rPr>
        <w:sectPr>
          <w:footnotePr/>
          <w:endnotePr/>
          <w:type w:val="nextPage"/>
          <w:pgSz w:w="11906" w:h="16838" w:orient="portrait"/>
          <w:pgMar w:top="992" w:right="567" w:bottom="1134" w:left="1418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  <w:r>
        <w:rPr>
          <w:rFonts w:ascii="Times New Roman" w:hAnsi="Times New Roman" w:cs="Times New Roman"/>
          <w:bCs/>
          <w:iCs/>
          <w:sz w:val="28"/>
          <w:szCs w:val="28"/>
          <w:highlight w:val="white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5200" distR="115200" simplePos="0" relativeHeight="2517473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648825" cy="6110382"/>
            <wp:effectExtent l="4762" t="4762" r="4762" b="4762"/>
            <wp:wrapSquare wrapText="bothSides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anchor>
        </w:drawing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  <w:sectPr>
          <w:footnotePr/>
          <w:endnotePr/>
          <w:type w:val="nextPage"/>
          <w:pgSz w:w="16838" w:h="11906" w:orient="landscape"/>
          <w:pgMar w:top="1418" w:right="992" w:bottom="567" w:left="1134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муниципальным образованиям Новосибирской области в рамках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выделены средства областн</w:t>
      </w:r>
      <w:r>
        <w:rPr>
          <w:rFonts w:ascii="Times New Roman" w:hAnsi="Times New Roman" w:cs="Times New Roman"/>
          <w:sz w:val="28"/>
          <w:szCs w:val="28"/>
        </w:rPr>
        <w:t xml:space="preserve">ого бюджета в сумме 4 535,7 млн рублей, кассовый расход – 4 519,4 млн рублей (99,64%). Из федерального бюджета поступило 989,7 млн рублей, кассовый расход – 989,7 млн рублей (100%). Причиной неполного освоения средств является экономия средств, полученная </w:t>
      </w:r>
      <w:r>
        <w:rPr>
          <w:rFonts w:ascii="Times New Roman" w:hAnsi="Times New Roman" w:cs="Times New Roman"/>
          <w:sz w:val="28"/>
          <w:szCs w:val="28"/>
        </w:rPr>
        <w:t xml:space="preserve">в результате проведения электронных аукционов и уменьшение объемов в ходе выполнения работ. Доходы муниципальных дорожных фондов от акцизов на автомобильный бензин, прямогонный бензин, дизельное топливо, моторные масла для дизельных и (или) карбюраторных (</w:t>
      </w:r>
      <w:r>
        <w:rPr>
          <w:rFonts w:ascii="Times New Roman" w:hAnsi="Times New Roman" w:cs="Times New Roman"/>
          <w:sz w:val="28"/>
          <w:szCs w:val="28"/>
        </w:rPr>
        <w:t xml:space="preserve">инжекторных</w:t>
      </w:r>
      <w:r>
        <w:rPr>
          <w:rFonts w:ascii="Times New Roman" w:hAnsi="Times New Roman" w:cs="Times New Roman"/>
          <w:sz w:val="28"/>
          <w:szCs w:val="28"/>
        </w:rPr>
        <w:t xml:space="preserve">) дв</w:t>
      </w:r>
      <w:r>
        <w:rPr>
          <w:rFonts w:ascii="Times New Roman" w:hAnsi="Times New Roman" w:cs="Times New Roman"/>
          <w:sz w:val="28"/>
          <w:szCs w:val="28"/>
        </w:rPr>
        <w:t xml:space="preserve">игателей в 2022 году составили 867,7 млн рублей, плановые назначения на 2023 год – 912,1 млн рублей, доходы от транспортного налога в муниципальные дорожные фонды в 2022 году составили 837,7 млн рублей, прогнозные назначения на 2023 год – 936,7 млн рублей.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 из источников доходной части Дорожного фонда Новосибирской области, а также, нач</w:t>
      </w:r>
      <w:r>
        <w:rPr>
          <w:rFonts w:ascii="Times New Roman" w:hAnsi="Times New Roman" w:cs="Times New Roman"/>
          <w:sz w:val="28"/>
          <w:szCs w:val="28"/>
        </w:rPr>
        <w:t xml:space="preserve">иная с 2020 года, муниципальных дорожных фондов, являются поступления от транспортного налога. Главам муниципальным районов и городских округов было рекомендовано усилить работу по собираемости данного налога от юридических и физических лиц. Размер недоимк</w:t>
      </w:r>
      <w:r>
        <w:rPr>
          <w:rFonts w:ascii="Times New Roman" w:hAnsi="Times New Roman" w:cs="Times New Roman"/>
          <w:sz w:val="28"/>
          <w:szCs w:val="28"/>
        </w:rPr>
        <w:t xml:space="preserve">и по транспортному налогу по состоянию на 01.01.2022 составляла 1 269,5 млн рублей, по состоянию на 01.01.2023 –  1 194,9 млн рублей (уменьшение на 5,87%). Необходимо отметить, что создание муниципальных дорожных фондов позволило значительно расширить гори</w:t>
      </w:r>
      <w:r>
        <w:rPr>
          <w:rFonts w:ascii="Times New Roman" w:hAnsi="Times New Roman" w:cs="Times New Roman"/>
          <w:sz w:val="28"/>
          <w:szCs w:val="28"/>
        </w:rPr>
        <w:t xml:space="preserve">зонт планирования дорожной деятельности, гарантировать выполнение дорожно-строительных работ в запланированных объемах, обеспечить бесперебойный и безопасный проезд автомобильного транспорта по автомобильным дорогам местного значения муниципальных образова</w:t>
      </w:r>
      <w:r>
        <w:rPr>
          <w:rFonts w:ascii="Times New Roman" w:hAnsi="Times New Roman" w:cs="Times New Roman"/>
          <w:sz w:val="28"/>
          <w:szCs w:val="28"/>
        </w:rPr>
        <w:t xml:space="preserve">ний, а также повысить эффективность расходования средств за счет увеличения маневренности распоряжения ими и возможность использования остатков средств текущего года в будущем периоде, но несмотря на принимаемые меры, проблем в дорожной отрасли достаточно.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причинам, вызывающим недовольство населения необходимо отнести, характерное для большинства органов местного самоуправления Новосибирс</w:t>
      </w:r>
      <w:r>
        <w:rPr>
          <w:rFonts w:ascii="Times New Roman" w:hAnsi="Times New Roman" w:cs="Times New Roman"/>
          <w:sz w:val="28"/>
          <w:szCs w:val="28"/>
        </w:rPr>
        <w:t xml:space="preserve">кой области отсутствие квалифицированных кадров и как следствие неэффективное управление имеющимися в дорожной отрасли ресурсами. Организациями, при проведения дорожно-строительных работ, зачастую при отсутствии со стороны муниципальных заказчиков должного</w:t>
      </w:r>
      <w:r>
        <w:rPr>
          <w:rFonts w:ascii="Times New Roman" w:hAnsi="Times New Roman" w:cs="Times New Roman"/>
          <w:sz w:val="28"/>
          <w:szCs w:val="28"/>
        </w:rPr>
        <w:t xml:space="preserve"> строительного контроля, а также при приемке выполненных объёмов допускаются грубейшие нарушения действующего законодательства, влекущие за собой возникновение как административной, так и уголовной ответственности должностных лиц муниципальных заказчиков.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квалификации муниципальных служащих Минтрансом Новосибирской области на базе ФГБОУ ВО СГУПС</w:t>
      </w:r>
      <w:r>
        <w:rPr>
          <w:rFonts w:ascii="Times New Roman" w:hAnsi="Times New Roman" w:cs="Times New Roman"/>
          <w:sz w:val="28"/>
          <w:szCs w:val="28"/>
        </w:rPr>
        <w:t xml:space="preserve"> в 2019-2022 годах проведено обучение по программе «Контроль качества работ по ремонту и содержанию автомобильных дорог» 293 специалистов муниципальных районов и городских округов Новосибирской области (70 – в 2019 году, 80 – в 2020 году, 56 – в 2021 году </w:t>
      </w:r>
      <w:r>
        <w:rPr>
          <w:rFonts w:ascii="Times New Roman" w:hAnsi="Times New Roman" w:cs="Times New Roman"/>
          <w:sz w:val="28"/>
          <w:szCs w:val="28"/>
        </w:rPr>
        <w:t xml:space="preserve">и 87 – в 2022 году), отвечающих за контроль выполненных дорожно-строительных работ на автомобильных дорогах местного значения.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проверка независимого контроля объемов и качества выполненных дорожно-строительных работ в рамках исполнения государственного контракта производилась организацией ООО «ИЦ </w:t>
      </w:r>
      <w:r>
        <w:rPr>
          <w:rFonts w:ascii="Times New Roman" w:hAnsi="Times New Roman" w:cs="Times New Roman"/>
          <w:sz w:val="28"/>
          <w:szCs w:val="28"/>
        </w:rPr>
        <w:t xml:space="preserve">МераТех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Стоимость работ по контракту была предусмотрена в объеме 20 000 000,00 рублей, фактическое выполнение составило 20 000 000</w:t>
      </w:r>
      <w:r>
        <w:rPr>
          <w:rFonts w:ascii="Times New Roman" w:hAnsi="Times New Roman" w:cs="Times New Roman"/>
          <w:sz w:val="28"/>
          <w:szCs w:val="28"/>
        </w:rPr>
        <w:t xml:space="preserve">,00 рублей, срок действия контракта с даты заключения по 31 декабря 2021 года, приемка работ ежемесячная по факту исполнения заявок на проведение мероприятий независимого контроля. В рамках заключенного контракта были выполнены работы по осуществлению неза</w:t>
      </w:r>
      <w:r>
        <w:rPr>
          <w:rFonts w:ascii="Times New Roman" w:hAnsi="Times New Roman" w:cs="Times New Roman"/>
          <w:sz w:val="28"/>
          <w:szCs w:val="28"/>
        </w:rPr>
        <w:t xml:space="preserve">висимого контроля (диагностика и оценка) состояния автомобильных дорог и тротуаров, с отбором проб и испытанием материалов покрытия на 371 объектах, на 196 (52,56%) из которых независимым контролем выявлены замечания к качеству и объемам выполненных работ.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все районные ад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и городские округа были направлены письма с результатами проведенных контрольных мероприятий и требованиями принятия неотложных мер по устранению данных замечаний и предоставлению в Минтранс Новосибирской области сведений об устранении выявленн</w:t>
      </w:r>
      <w:r>
        <w:rPr>
          <w:rFonts w:ascii="Times New Roman" w:hAnsi="Times New Roman" w:cs="Times New Roman"/>
          <w:sz w:val="28"/>
          <w:szCs w:val="28"/>
        </w:rPr>
        <w:t xml:space="preserve">ых независимым контролем замечаний. По объектам, реализованным в рамках реализации национального проекта «Безопасные качественные дороги» информация о результатах проведенного независимого контроля также была направлена в Прокуратуру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оперативно были устранены замечания на 113 объектах, в 2023 году подлежат дальнейшему устранению замечания на оставшихся 83 объектах.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Еще одним вопросом, задержка в решении которого оказывает существенное влияние на техническое с</w:t>
      </w:r>
      <w:r>
        <w:rPr>
          <w:rFonts w:ascii="Times New Roman" w:hAnsi="Times New Roman" w:cs="Times New Roman"/>
          <w:sz w:val="28"/>
          <w:szCs w:val="28"/>
        </w:rPr>
        <w:t xml:space="preserve">остояние автомобильных дорог и как следствие на неудовлетворенность населения, является завершение органами местного самоуправления работы по оформлению в муниципальную собственность автомобильных дорог местного значения и искусственных сооружений на них.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оптимизации сети автомобильных дорог Новосибирской области, принятия в государственную собственность Новосибирской области автомобильных дорог и ускорения решения вопроса их приведения в нормативное т</w:t>
      </w:r>
      <w:r>
        <w:rPr>
          <w:rFonts w:ascii="Times New Roman" w:hAnsi="Times New Roman" w:cs="Times New Roman"/>
          <w:sz w:val="28"/>
          <w:szCs w:val="28"/>
        </w:rPr>
        <w:t xml:space="preserve">ехническое состояние было принято распоряжения Правительства Новосибирской области 23.04.2012 № 92-рп «Об оформлении прав на автомобильные дороги общего пользования местного значения и дорожные сооружения на них в Новосибирской области», в соответствии с к</w:t>
      </w:r>
      <w:r>
        <w:rPr>
          <w:rFonts w:ascii="Times New Roman" w:hAnsi="Times New Roman" w:cs="Times New Roman"/>
          <w:sz w:val="28"/>
          <w:szCs w:val="28"/>
        </w:rPr>
        <w:t xml:space="preserve">оторым органам местного самоуправления было рекомендовано организовать работу по оформлению бесхозяйных автомобильных дорог и дорожных сооружений на них, а также земельных участков, занимаемых данными автомобильными дорогами, в муниципальную собственность.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Заде</w:t>
      </w:r>
      <w:r>
        <w:rPr>
          <w:rFonts w:ascii="Times New Roman" w:hAnsi="Times New Roman" w:cs="Times New Roman"/>
          <w:sz w:val="28"/>
          <w:szCs w:val="28"/>
        </w:rPr>
        <w:t xml:space="preserve">ржки оформления автомобильных дорог в муниципальную собственность связаны с необходимостью изменения категорий земельных участков, прохождением автомобильных дорог по землям лесного фонда, длительностью процедуры признания их бесхозяйными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действующим законодательством РФ, а также отсутствием средств на проведение данных работ в бюджетах муниципальных образований.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отметить особую роль искусственных сооружений, которые являются одним из основных элементов дорожной инфраструктуры, оказывающих непосредственное влияние на безопасность дорожного движения.</w:t>
      </w:r>
      <w:r>
        <w:rPr>
          <w:rFonts w:ascii="Times New Roman" w:hAnsi="Times New Roman" w:cs="Times New Roman"/>
          <w:sz w:val="28"/>
          <w:szCs w:val="28"/>
        </w:rPr>
        <w:br/>
        <w:t xml:space="preserve">В настоящее время, по информации, представленной муниципальными образованиями Но</w:t>
      </w:r>
      <w:r>
        <w:rPr>
          <w:rFonts w:ascii="Times New Roman" w:hAnsi="Times New Roman" w:cs="Times New Roman"/>
          <w:sz w:val="28"/>
          <w:szCs w:val="28"/>
        </w:rPr>
        <w:t xml:space="preserve">восибирской области, на дорожной сети муниципальных образований и улично-дорожной сети городских округов эксплуатируется 211 мостов, 19 путепроводов и эстакад, из которых в настоящее время оформлено в муниципальную и городскую собственность менее половины.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действ</w:t>
      </w:r>
      <w:r>
        <w:rPr>
          <w:rFonts w:ascii="Times New Roman" w:hAnsi="Times New Roman" w:cs="Times New Roman"/>
          <w:sz w:val="28"/>
          <w:szCs w:val="28"/>
        </w:rPr>
        <w:t xml:space="preserve">ующим законодательством использование средств на содержание и ремонт бесхозяйных автомобильных дорог и мостов запрещено, в связи с чем подавляющее количество улиц и полевых проездов, используемых населением, не могут быть приведены в нормативное состояние.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также, что в Новосибирской области большинство мостовых сооружений, расположенных </w:t>
      </w:r>
      <w:r>
        <w:rPr>
          <w:rFonts w:ascii="Times New Roman" w:hAnsi="Times New Roman" w:cs="Times New Roman"/>
          <w:sz w:val="28"/>
          <w:szCs w:val="28"/>
        </w:rPr>
        <w:t xml:space="preserve">на автомобильных дорогах местного значения, были построены хозяйственным способом, без разработки проектно-сметной документации на строительство данных мостовых сооружений, Минтрансом Новосибирской области с 2013 года ведется работа с муниципальными образо</w:t>
      </w:r>
      <w:r>
        <w:rPr>
          <w:rFonts w:ascii="Times New Roman" w:hAnsi="Times New Roman" w:cs="Times New Roman"/>
          <w:sz w:val="28"/>
          <w:szCs w:val="28"/>
        </w:rPr>
        <w:t xml:space="preserve">ваниями Новосибирской области и рекомендуется провести обследование и инструментальную диагностику технического состояния искусственных сооружений, расположенных на автомобильных дорогах местного значения. До настоящего времени данная работа не завершена.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пункта 8 «б» Указа Президента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  <w:t xml:space="preserve">от 7 мая 2018 года № 204 на территории Новосибирской области внедрена  общедоступная информационная система контроля за форми</w:t>
      </w:r>
      <w:r>
        <w:rPr>
          <w:rFonts w:ascii="Times New Roman" w:hAnsi="Times New Roman" w:cs="Times New Roman"/>
          <w:sz w:val="28"/>
          <w:szCs w:val="28"/>
        </w:rPr>
        <w:t xml:space="preserve">рованием средств дорожных фондов (СКДФ), которой с 01.03.2023 присвоен статус федеральной государственной информационной системы и муниципальными образованиями Новосибирской области с 2019 года ведется работа по внесению и актуализации информации в СКДФ.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владельцами автомобильн</w:t>
      </w:r>
      <w:r>
        <w:rPr>
          <w:rFonts w:ascii="Times New Roman" w:hAnsi="Times New Roman" w:cs="Times New Roman"/>
          <w:sz w:val="28"/>
          <w:szCs w:val="28"/>
        </w:rPr>
        <w:t xml:space="preserve">ых дорог завершена работа по корректировке перечней автодорог, загруженных в систему, но работа по корректировке и дополнению сведений об автомобильных дорогах продолжается. По состоянию на 21.07.2023 доля проверенной информации в отношении достоверной про</w:t>
      </w:r>
      <w:r>
        <w:rPr>
          <w:rFonts w:ascii="Times New Roman" w:hAnsi="Times New Roman" w:cs="Times New Roman"/>
          <w:sz w:val="28"/>
          <w:szCs w:val="28"/>
        </w:rPr>
        <w:t xml:space="preserve">тяженности автомобильных дорог составляет 100 %. Вместе с тем, в связи с переводом системы на новую платформу и расширением перечня сведений об автомобильных дорогах работы по внесению сведений в СКДФ будет продолжена всеми владельцами автомобильных дорог.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муниципальными образованиями и городскими округами Новосибирской области п.2 поручения Президента РФ от 20.02.2015 № ПР-287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реализации новых национальных стандартов по обустройству пешех</w:t>
      </w:r>
      <w:r>
        <w:rPr>
          <w:rFonts w:ascii="Times New Roman" w:hAnsi="Times New Roman" w:cs="Times New Roman"/>
          <w:sz w:val="28"/>
          <w:szCs w:val="28"/>
        </w:rPr>
        <w:t xml:space="preserve">одных переходов, расположенных вблизи общеобразовательных организаций» Минтранс Новосибирской области, ежемесячно проводит мониторинг выполняемых муниципальными района работ. По данным, представленным муниципальными образованиями и городскими округами, на </w:t>
      </w:r>
      <w:r>
        <w:rPr>
          <w:rFonts w:ascii="Times New Roman" w:hAnsi="Times New Roman" w:cs="Times New Roman"/>
          <w:sz w:val="28"/>
          <w:szCs w:val="28"/>
        </w:rPr>
        <w:t xml:space="preserve">территории Новосибирской области расположено 1922 образовательные организации, из которых 1062 школы, 693 детских сада, 167 организаций дополнительного образования.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1922 образовательной организации непосредственный выход на проезжую часть имеют 1055 образовательных организаций, вблизи которых расположено 985 пешеходных переходов, из которых вблизи школ 683, детских садов 241 и 61 дополнительного образования.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26.07.2023 процент готовности пешеходных переходов, имеющих непосредственный выход на проезжую часть составляет – 97,1</w:t>
      </w:r>
      <w:r>
        <w:rPr>
          <w:rFonts w:ascii="Times New Roman" w:hAnsi="Times New Roman" w:cs="Times New Roman"/>
          <w:sz w:val="28"/>
          <w:szCs w:val="28"/>
        </w:rPr>
        <w:t xml:space="preserve">6%, то есть в соответствии требованиями новых национальных стандартов обустроено 957 из 985 пешеходных переходов вблизи общеобразовательных учреждений, из которых: 670 из 683 школы, 228 из 241 детские сады, 59 из 61 организации дополнительного образования.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полном об</w:t>
      </w:r>
      <w:r>
        <w:rPr>
          <w:rFonts w:ascii="Times New Roman" w:hAnsi="Times New Roman" w:cs="Times New Roman"/>
          <w:sz w:val="28"/>
          <w:szCs w:val="28"/>
        </w:rPr>
        <w:t xml:space="preserve">ъеме проведены мероприятия по обустройству пешеходных переходов, расположенных на автомобильных дорогах местного значения, на территории 33 муниципальных районов и городских округов Новосибирской области. Не обустроены пешеходные в г. Новосибирск (22 шт.).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будет обустроено 15 пешеходных переходов.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полном объеме обустроены пешеходные переходы на автодорогах местного значения в 30 муниципальных районах и городских округах Новосибирской области: </w:t>
      </w:r>
      <w:r>
        <w:rPr>
          <w:rFonts w:ascii="Times New Roman" w:hAnsi="Times New Roman" w:cs="Times New Roman"/>
          <w:sz w:val="28"/>
          <w:szCs w:val="28"/>
        </w:rPr>
        <w:t xml:space="preserve">Баганском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Болотнинском</w:t>
      </w:r>
      <w:r>
        <w:rPr>
          <w:rFonts w:ascii="Times New Roman" w:hAnsi="Times New Roman" w:cs="Times New Roman"/>
          <w:sz w:val="28"/>
          <w:szCs w:val="28"/>
        </w:rPr>
        <w:t xml:space="preserve">, Венгеровском, Здвинском, </w:t>
      </w:r>
      <w:r>
        <w:rPr>
          <w:rFonts w:ascii="Times New Roman" w:hAnsi="Times New Roman" w:cs="Times New Roman"/>
          <w:sz w:val="28"/>
          <w:szCs w:val="28"/>
        </w:rPr>
        <w:t xml:space="preserve">Искитимском</w:t>
      </w:r>
      <w:r>
        <w:rPr>
          <w:rFonts w:ascii="Times New Roman" w:hAnsi="Times New Roman" w:cs="Times New Roman"/>
          <w:sz w:val="28"/>
          <w:szCs w:val="28"/>
        </w:rPr>
        <w:t xml:space="preserve">, Карасукском, </w:t>
      </w:r>
      <w:r>
        <w:rPr>
          <w:rFonts w:ascii="Times New Roman" w:hAnsi="Times New Roman" w:cs="Times New Roman"/>
          <w:sz w:val="28"/>
          <w:szCs w:val="28"/>
        </w:rPr>
        <w:t xml:space="preserve">Каргатском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Колыванском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Коченевском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Кочковском</w:t>
      </w:r>
      <w:r>
        <w:rPr>
          <w:rFonts w:ascii="Times New Roman" w:hAnsi="Times New Roman" w:cs="Times New Roman"/>
          <w:sz w:val="28"/>
          <w:szCs w:val="28"/>
        </w:rPr>
        <w:t xml:space="preserve">, Краснозерском, </w:t>
      </w:r>
      <w:r>
        <w:rPr>
          <w:rFonts w:ascii="Times New Roman" w:hAnsi="Times New Roman" w:cs="Times New Roman"/>
          <w:sz w:val="28"/>
          <w:szCs w:val="28"/>
        </w:rPr>
        <w:t xml:space="preserve">Купинском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Кыштовском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Маслянинском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Мошковском</w:t>
      </w:r>
      <w:r>
        <w:rPr>
          <w:rFonts w:ascii="Times New Roman" w:hAnsi="Times New Roman" w:cs="Times New Roman"/>
          <w:sz w:val="28"/>
          <w:szCs w:val="28"/>
        </w:rPr>
        <w:t xml:space="preserve">, Новосибирском, Ордынском, Северном, </w:t>
      </w:r>
      <w:r>
        <w:rPr>
          <w:rFonts w:ascii="Times New Roman" w:hAnsi="Times New Roman" w:cs="Times New Roman"/>
          <w:sz w:val="28"/>
          <w:szCs w:val="28"/>
        </w:rPr>
        <w:t xml:space="preserve">Сузунском</w:t>
      </w:r>
      <w:r>
        <w:rPr>
          <w:rFonts w:ascii="Times New Roman" w:hAnsi="Times New Roman" w:cs="Times New Roman"/>
          <w:sz w:val="28"/>
          <w:szCs w:val="28"/>
        </w:rPr>
        <w:t xml:space="preserve">, Татарском, </w:t>
      </w:r>
      <w:r>
        <w:rPr>
          <w:rFonts w:ascii="Times New Roman" w:hAnsi="Times New Roman" w:cs="Times New Roman"/>
          <w:sz w:val="28"/>
          <w:szCs w:val="28"/>
        </w:rPr>
        <w:t xml:space="preserve">Тогучинском</w:t>
      </w:r>
      <w:r>
        <w:rPr>
          <w:rFonts w:ascii="Times New Roman" w:hAnsi="Times New Roman" w:cs="Times New Roman"/>
          <w:sz w:val="28"/>
          <w:szCs w:val="28"/>
        </w:rPr>
        <w:t xml:space="preserve">, Убинском, </w:t>
      </w:r>
      <w:r>
        <w:rPr>
          <w:rFonts w:ascii="Times New Roman" w:hAnsi="Times New Roman" w:cs="Times New Roman"/>
          <w:sz w:val="28"/>
          <w:szCs w:val="28"/>
        </w:rPr>
        <w:t xml:space="preserve">Усть-Таркском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Чановском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Черепановском</w:t>
      </w:r>
      <w:r>
        <w:rPr>
          <w:rFonts w:ascii="Times New Roman" w:hAnsi="Times New Roman" w:cs="Times New Roman"/>
          <w:sz w:val="28"/>
          <w:szCs w:val="28"/>
        </w:rPr>
        <w:t xml:space="preserve">, Чистоозерном, </w:t>
      </w:r>
      <w:r>
        <w:rPr>
          <w:rFonts w:ascii="Times New Roman" w:hAnsi="Times New Roman" w:cs="Times New Roman"/>
          <w:sz w:val="28"/>
          <w:szCs w:val="28"/>
        </w:rPr>
        <w:t xml:space="preserve">Чулымском</w:t>
      </w:r>
      <w:r>
        <w:rPr>
          <w:rFonts w:ascii="Times New Roman" w:hAnsi="Times New Roman" w:cs="Times New Roman"/>
          <w:sz w:val="28"/>
          <w:szCs w:val="28"/>
        </w:rPr>
        <w:t xml:space="preserve"> районах, г. Бердск, г. </w:t>
      </w:r>
      <w:r>
        <w:rPr>
          <w:rFonts w:ascii="Times New Roman" w:hAnsi="Times New Roman" w:cs="Times New Roman"/>
          <w:sz w:val="28"/>
          <w:szCs w:val="28"/>
        </w:rPr>
        <w:t xml:space="preserve">Искитим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р.п</w:t>
      </w:r>
      <w:r>
        <w:rPr>
          <w:rFonts w:ascii="Times New Roman" w:hAnsi="Times New Roman" w:cs="Times New Roman"/>
          <w:sz w:val="28"/>
          <w:szCs w:val="28"/>
        </w:rPr>
        <w:t xml:space="preserve">. Кольцово.</w:t>
      </w:r>
      <w:r/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</w:t>
      </w:r>
      <w:r>
        <w:rPr>
          <w:rFonts w:ascii="Times New Roman" w:hAnsi="Times New Roman" w:cs="Times New Roman"/>
          <w:sz w:val="28"/>
          <w:szCs w:val="28"/>
        </w:rPr>
        <w:t xml:space="preserve">тоящее время владельцами автомобильных дорог регионального и межмуниципального и местного значения в соответствии с «дорожными картами» проводятся мероприятия по обустройству пешеходных переходов в соответствии с требованиями новых национальных стандартов.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851"/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Транспорт</w: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Сформировавшаяся оптимизированная транспортная маршрутная сеть Новосибирской области в значительной степени обеспечивает потребности населения в пассажирских перевозках.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Уровень охвата жителей населенных пунктов муниципальных районов Новосибирской области внутренним водным, пригородным железнодорожным или регулярным автобусным сообщением в 2022 году составила 98,1%.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30 муниципальных районах Новосибирской области, с общим количеством населенных пунктов 1 302 единиц</w:t>
      </w:r>
      <w:r>
        <w:rPr>
          <w:rFonts w:ascii="Times New Roman" w:hAnsi="Times New Roman" w:cs="Times New Roman"/>
          <w:sz w:val="28"/>
          <w:szCs w:val="28"/>
        </w:rPr>
        <w:t xml:space="preserve">ы</w:t>
      </w:r>
      <w:r>
        <w:rPr>
          <w:rFonts w:ascii="Times New Roman" w:hAnsi="Times New Roman" w:cs="Times New Roman"/>
          <w:sz w:val="28"/>
          <w:szCs w:val="28"/>
        </w:rPr>
        <w:t xml:space="preserve">, 107 населенных пунктов не охвачены регулярным автобусным сообщением по причи</w:t>
      </w:r>
      <w:r>
        <w:rPr>
          <w:rFonts w:ascii="Times New Roman" w:hAnsi="Times New Roman" w:cs="Times New Roman"/>
          <w:sz w:val="28"/>
          <w:szCs w:val="28"/>
        </w:rPr>
        <w:t xml:space="preserve">нам отсутствия дорог, обеспечивающих условия безопасности перевозки пассажиров или незначительной численности населения, что на 0,1% меньше по отношению к 2021 году. Общая численность населения, неохваченного автобусным сообщением, составляет 2973 человек.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Маршрутно-транспортная сеть Новосибирской области состоит из 940 маршрутов, количество транспортных средств - 3102 ед. транспорта.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сегодняшний день основной проблемой является износ транспортных средств. Общий уровень износа по Новосибирской области составляет 79,9%, в том числе автобусов - 62,5%, троллейбусов - 99%, трамваев - 78,7%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финансовой устойчивости организаций пассажирского транспорта и бесперебойного транспортного обслуживания населения в муниципальных районах и городских округах Новосибирской области, в рамках </w:t>
      </w:r>
      <w:r>
        <w:rPr>
          <w:rFonts w:ascii="Times New Roman" w:hAnsi="Times New Roman" w:cs="Times New Roman"/>
          <w:sz w:val="28"/>
          <w:szCs w:val="28"/>
        </w:rPr>
        <w:t xml:space="preserve">реализации государственной программы Новосибирской области «Обеспечение доступности услуг общественного пассажирского транспорта», утвержденной постановлением Правительства 24.02.2014 года № 83-п, Минтрансом оказывается поддержка транспортным предприятиям: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оказание государственной поддержки перевозчиков, осуществляющих перевозку граждан, имеющих право на меры социальной поддержки при проезде на транспорте;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государственная поддержка перевозчиков в целях возмещения недополученных доходов;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содействие местным бюджетам в обновлении (пополнении) подвижного состава общественного пассажирского автомобильного транспорта.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исполнения мероприятий государственной программы по обновлению подвижного состава в 2022 году для работы на муниципальных маршрутах регулярных перевозок по регу</w:t>
      </w:r>
      <w:r>
        <w:rPr>
          <w:rFonts w:ascii="Times New Roman" w:hAnsi="Times New Roman" w:cs="Times New Roman"/>
          <w:sz w:val="28"/>
          <w:szCs w:val="28"/>
        </w:rPr>
        <w:t xml:space="preserve">лируемым тарифам в границах муниципальных районов приобретен 31 автобус. В рамках предоставления специальных казначейских кредитов, для работы по внутрирайонным маршрутам Новосибирской области, до конца 2023 года запланировано обновление еще 206 автобусов.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содействии областного бюджета, для работы по маршрутам г. Новосибирска закуплено 150 автобусов, что позволило почти полностью обновить подвижной состав автотранспортного предприятия МКП «</w:t>
      </w:r>
      <w:r>
        <w:rPr>
          <w:rFonts w:ascii="Times New Roman" w:hAnsi="Times New Roman" w:cs="Times New Roman"/>
          <w:sz w:val="28"/>
          <w:szCs w:val="28"/>
        </w:rPr>
        <w:t xml:space="preserve">Новосибгортранс</w:t>
      </w:r>
      <w:r>
        <w:rPr>
          <w:rFonts w:ascii="Times New Roman" w:hAnsi="Times New Roman" w:cs="Times New Roman"/>
          <w:sz w:val="28"/>
          <w:szCs w:val="28"/>
        </w:rPr>
        <w:t xml:space="preserve">». В текущем году запланировано обновление троллейбусного парка подвижного состава.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областного бюджета на реализацию мероприятий государственной программы «Обеспечение доступности услуг общественного пассажирского транспорта, в том числе 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метрополитена для населения Новосибирской области» в 2022 году составили 4,2 миллиарда рублей, к расходам 2021 года составили 129%, в том числе на предоставление субсидий местным бюджетам муниципальных образований Новосибирской области – 490,7 млн рублей.</w:t>
      </w:r>
      <w:r>
        <w:rPr>
          <w:rFonts w:ascii="Times New Roman" w:hAnsi="Times New Roman" w:cs="Times New Roman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мероприятию «Содействие местным бюджетам на осуществление полномочий по организации регулярных перевозок пассажиров и багажа по муниципальным маршрутам регулярных перевозок» на 2022 год пред</w:t>
      </w:r>
      <w:r>
        <w:rPr>
          <w:rFonts w:ascii="Times New Roman" w:hAnsi="Times New Roman" w:cs="Times New Roman"/>
          <w:sz w:val="28"/>
          <w:szCs w:val="28"/>
        </w:rPr>
        <w:t xml:space="preserve">усмотрены бюджетные ассигнования в объеме 420,5 млн рублей. Кассовое исполнение составило 383,7 млн рублей или 91,3 % в соответствии с фактически выполненным объемом работ в рамках заключенных муниципальных контрактов на организацию пассажирских перевозок.</w:t>
      </w:r>
      <w:r>
        <w:rPr>
          <w:rFonts w:ascii="Times New Roman" w:hAnsi="Times New Roman" w:cs="Times New Roman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мероприятию «Содействие местным бюджетам в обновлении (пополнении) подвижного состава общественного пассажирского автомобильного транспорта на муниципальных маршрутах регулярных перевозок по регулируемым тарифам» на 2022 год предусмотрены бюджетные </w:t>
      </w:r>
      <w:r>
        <w:rPr>
          <w:rFonts w:ascii="Times New Roman" w:hAnsi="Times New Roman" w:cs="Times New Roman"/>
          <w:sz w:val="28"/>
          <w:szCs w:val="28"/>
        </w:rPr>
        <w:t xml:space="preserve">ассигнования в объеме 127,9 млн рублей. Кассовое исполнение составило 106,9 млн рублей или 83,6%. Сложившийся уровень исполнения данного мероприятия обусловлен значительным повышением стоимости подвижного состава в условиях введенных экономических санкций.</w:t>
      </w:r>
      <w:r>
        <w:rPr>
          <w:rFonts w:ascii="Times New Roman" w:hAnsi="Times New Roman" w:cs="Times New Roman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для объективного анализа транспортной ситуации Минтрансом Новосибирской области в 2022 году в 4 районах Новосибирской области (Ордынский, </w:t>
      </w:r>
      <w:r>
        <w:rPr>
          <w:rFonts w:ascii="Times New Roman" w:hAnsi="Times New Roman" w:cs="Times New Roman"/>
          <w:sz w:val="28"/>
          <w:szCs w:val="28"/>
        </w:rPr>
        <w:t xml:space="preserve">Тогучинский</w:t>
      </w:r>
      <w:r>
        <w:rPr>
          <w:rFonts w:ascii="Times New Roman" w:hAnsi="Times New Roman" w:cs="Times New Roman"/>
          <w:sz w:val="28"/>
          <w:szCs w:val="28"/>
        </w:rPr>
        <w:t xml:space="preserve">, Коченевский, Новосибирский) проведены социологические исследования для определения удовлетворенности населения качеством транспортного обслуживания и расчета показателя «Степень удовлетворенности населения качеством транспортного обслуживания».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Транспортным обслуживанием по результатам проведенных социологических исследований удовлетворены транспортным обслуживанием в Ордынском районе - 80,4% жителей, в </w:t>
      </w:r>
      <w:r>
        <w:rPr>
          <w:rFonts w:ascii="Times New Roman" w:hAnsi="Times New Roman" w:cs="Times New Roman"/>
          <w:sz w:val="28"/>
          <w:szCs w:val="28"/>
        </w:rPr>
        <w:t xml:space="preserve">Тогучинском</w:t>
      </w:r>
      <w:r>
        <w:rPr>
          <w:rFonts w:ascii="Times New Roman" w:hAnsi="Times New Roman" w:cs="Times New Roman"/>
          <w:sz w:val="28"/>
          <w:szCs w:val="28"/>
        </w:rPr>
        <w:t xml:space="preserve"> районе - 78,5% жителей, в </w:t>
      </w:r>
      <w:r>
        <w:rPr>
          <w:rFonts w:ascii="Times New Roman" w:hAnsi="Times New Roman" w:cs="Times New Roman"/>
          <w:sz w:val="28"/>
          <w:szCs w:val="28"/>
        </w:rPr>
        <w:t xml:space="preserve">Коченевском</w:t>
      </w:r>
      <w:r>
        <w:rPr>
          <w:rFonts w:ascii="Times New Roman" w:hAnsi="Times New Roman" w:cs="Times New Roman"/>
          <w:sz w:val="28"/>
          <w:szCs w:val="28"/>
        </w:rPr>
        <w:t xml:space="preserve"> районе - 70 %, в Новосибирском районе - 67,9%. В целях повышения качества обслуживания населения и удовлетворенности населения организацией транспортного обслуживания с главами ад</w:t>
      </w:r>
      <w:r>
        <w:rPr>
          <w:rFonts w:ascii="Times New Roman" w:hAnsi="Times New Roman" w:cs="Times New Roman"/>
          <w:sz w:val="28"/>
          <w:szCs w:val="28"/>
        </w:rPr>
        <w:t xml:space="preserve">министраций районов, в которых проводилось исследование, Минтрансом проведена работа. По итогам полученных результатов проведен анализ работы транспортных средств, выявлено, что в наименьшей степени жителей удовлетворяет информирование о работе транспорта.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информации муниципальных районов организованы мероприятия п</w:t>
      </w:r>
      <w:r>
        <w:rPr>
          <w:rFonts w:ascii="Times New Roman" w:hAnsi="Times New Roman" w:cs="Times New Roman"/>
          <w:sz w:val="28"/>
          <w:szCs w:val="28"/>
        </w:rPr>
        <w:t xml:space="preserve">о устранению нарушений, в том числе по информированию жителей о графике движения автобусов, а также проверке отклонения фактической работы транспорта от графика движения, соблюдения водителями и перевозчиками правил перевоза пассажиров, скоростного режима.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2" w:firstLine="709"/>
        <w:jc w:val="both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ind w:right="-2"/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  <w:t xml:space="preserve">Уровень заработной платы работников</w:t>
      </w:r>
      <w:r>
        <w:rPr>
          <w:rFonts w:ascii="Times New Roman" w:hAnsi="Times New Roman" w:cs="Times New Roman"/>
          <w:b/>
          <w:bCs/>
          <w:iCs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Уровень оплаты труда работников организаций является показателем как развития экономики, так и уровня жизни населения муниципального района, городского округа.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В 2022 году в целом по всем муниципальным районам и</w:t>
      </w:r>
      <w:r>
        <w:rPr>
          <w:rFonts w:ascii="Times New Roman" w:hAnsi="Times New Roman"/>
          <w:sz w:val="28"/>
          <w:szCs w:val="28"/>
          <w:highlight w:val="white"/>
        </w:rPr>
        <w:t xml:space="preserve"> городским округам Новосибирской области размер среднемесячной номинальной начисленной заработной платы в расчете на одного работника крупных и средних предприятий и некоммерческих организаций (далее – среднемесячная заработная плата) составил 60543 рубля.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Уровень среднемесячной заработной платы выше, чем среднемесячная заработная плата в целом по Новосибирской области, в </w:t>
      </w:r>
      <w:r>
        <w:rPr>
          <w:rFonts w:ascii="Times New Roman" w:hAnsi="Times New Roman"/>
          <w:sz w:val="28"/>
          <w:szCs w:val="28"/>
          <w:highlight w:val="white"/>
        </w:rPr>
        <w:t xml:space="preserve">р.п</w:t>
      </w:r>
      <w:r>
        <w:rPr>
          <w:rFonts w:ascii="Times New Roman" w:hAnsi="Times New Roman"/>
          <w:sz w:val="28"/>
          <w:szCs w:val="28"/>
          <w:highlight w:val="white"/>
        </w:rPr>
        <w:t xml:space="preserve">. Кольцово (97344 рубля), г. Оби (74242 рубля), г. Новосибирске (66996 рублей), что соответственно составляет 160,8%, 122,6%, 110,7% от </w:t>
      </w:r>
      <w:r>
        <w:rPr>
          <w:rFonts w:ascii="Times New Roman" w:hAnsi="Times New Roman"/>
          <w:sz w:val="28"/>
          <w:szCs w:val="28"/>
          <w:highlight w:val="white"/>
        </w:rPr>
        <w:t xml:space="preserve">среднеобластного</w:t>
      </w:r>
      <w:r>
        <w:rPr>
          <w:rFonts w:ascii="Times New Roman" w:hAnsi="Times New Roman"/>
          <w:sz w:val="28"/>
          <w:szCs w:val="28"/>
          <w:highlight w:val="white"/>
        </w:rPr>
        <w:t xml:space="preserve"> уровня.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Тройку аутсайдеров по уровню среднемесячной заработной платы представляют </w:t>
      </w:r>
      <w:r>
        <w:rPr>
          <w:rFonts w:ascii="Times New Roman" w:hAnsi="Times New Roman"/>
          <w:sz w:val="28"/>
          <w:szCs w:val="28"/>
          <w:highlight w:val="white"/>
        </w:rPr>
        <w:t xml:space="preserve">Чистоозерный</w:t>
      </w:r>
      <w:r>
        <w:rPr>
          <w:rFonts w:ascii="Times New Roman" w:hAnsi="Times New Roman"/>
          <w:sz w:val="28"/>
          <w:szCs w:val="28"/>
          <w:highlight w:val="white"/>
        </w:rPr>
        <w:t xml:space="preserve"> (36120 рублей), </w:t>
      </w:r>
      <w:r>
        <w:rPr>
          <w:rFonts w:ascii="Times New Roman" w:hAnsi="Times New Roman"/>
          <w:sz w:val="28"/>
          <w:szCs w:val="28"/>
          <w:highlight w:val="white"/>
        </w:rPr>
        <w:t xml:space="preserve">Доволенский</w:t>
      </w:r>
      <w:r>
        <w:rPr>
          <w:rFonts w:ascii="Times New Roman" w:hAnsi="Times New Roman"/>
          <w:sz w:val="28"/>
          <w:szCs w:val="28"/>
          <w:highlight w:val="white"/>
        </w:rPr>
        <w:t xml:space="preserve"> (36360 рублей), </w:t>
      </w:r>
      <w:r>
        <w:rPr>
          <w:rFonts w:ascii="Times New Roman" w:hAnsi="Times New Roman"/>
          <w:sz w:val="28"/>
          <w:szCs w:val="28"/>
          <w:highlight w:val="white"/>
        </w:rPr>
        <w:t xml:space="preserve">Убинский</w:t>
      </w:r>
      <w:r>
        <w:rPr>
          <w:rFonts w:ascii="Times New Roman" w:hAnsi="Times New Roman"/>
          <w:sz w:val="28"/>
          <w:szCs w:val="28"/>
          <w:highlight w:val="white"/>
        </w:rPr>
        <w:t xml:space="preserve"> (36390 рублей) районы Новосибирской области, в которых размер среднемесячной заработной платы составил соответственно 59,7%, 60,1% и 60,1% от размера среднемесячной заработной платы по Новосибирской области.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В целом по Новосибирской области среднемесячная заработная плата увеличилась за 2022 год на 14,1%. В 19 муниципальных районах и городских округах Новосибирской области темпы роста среднемесячной заработной платы сложились выше </w:t>
      </w:r>
      <w:r>
        <w:rPr>
          <w:rFonts w:ascii="Times New Roman" w:hAnsi="Times New Roman"/>
          <w:sz w:val="28"/>
          <w:szCs w:val="28"/>
          <w:highlight w:val="white"/>
        </w:rPr>
        <w:t xml:space="preserve">среднеобластного</w:t>
      </w:r>
      <w:r>
        <w:rPr>
          <w:rFonts w:ascii="Times New Roman" w:hAnsi="Times New Roman"/>
          <w:sz w:val="28"/>
          <w:szCs w:val="28"/>
          <w:highlight w:val="white"/>
        </w:rPr>
        <w:t xml:space="preserve"> показателя. 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Наибольшие темпы роста среднемесячной заработной платы сложились в </w:t>
      </w:r>
      <w:r>
        <w:rPr>
          <w:rFonts w:ascii="Times New Roman" w:hAnsi="Times New Roman"/>
          <w:sz w:val="28"/>
          <w:szCs w:val="28"/>
          <w:highlight w:val="white"/>
        </w:rPr>
        <w:t xml:space="preserve">Кочковском</w:t>
      </w:r>
      <w:r>
        <w:rPr>
          <w:rFonts w:ascii="Times New Roman" w:hAnsi="Times New Roman"/>
          <w:sz w:val="28"/>
          <w:szCs w:val="28"/>
          <w:highlight w:val="white"/>
        </w:rPr>
        <w:t xml:space="preserve">, </w:t>
      </w:r>
      <w:r>
        <w:rPr>
          <w:rFonts w:ascii="Times New Roman" w:hAnsi="Times New Roman"/>
          <w:sz w:val="28"/>
          <w:szCs w:val="28"/>
          <w:highlight w:val="white"/>
        </w:rPr>
        <w:t xml:space="preserve">Искитимском</w:t>
      </w:r>
      <w:r>
        <w:rPr>
          <w:rFonts w:ascii="Times New Roman" w:hAnsi="Times New Roman"/>
          <w:sz w:val="28"/>
          <w:szCs w:val="28"/>
          <w:highlight w:val="white"/>
        </w:rPr>
        <w:t xml:space="preserve"> и </w:t>
      </w:r>
      <w:r>
        <w:rPr>
          <w:rFonts w:ascii="Times New Roman" w:hAnsi="Times New Roman"/>
          <w:sz w:val="28"/>
          <w:szCs w:val="28"/>
          <w:highlight w:val="white"/>
        </w:rPr>
        <w:t xml:space="preserve">Усть-Таркском</w:t>
      </w:r>
      <w:r>
        <w:rPr>
          <w:rFonts w:ascii="Times New Roman" w:hAnsi="Times New Roman"/>
          <w:sz w:val="28"/>
          <w:szCs w:val="28"/>
          <w:highlight w:val="white"/>
        </w:rPr>
        <w:t xml:space="preserve"> районах – 121,4%, 119,9% и 119,1% соответственно.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В 12 муниципальных районах и городских округах Новосибирской области темпы роста среднемесячной заработной платы сложились ниже индекса потребительских цен и не обеспечили рост ее реального содержания.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</w:r>
      <w:r>
        <w:rPr>
          <w:rFonts w:ascii="Times New Roman" w:hAnsi="Times New Roman"/>
          <w:b/>
          <w:bCs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/>
      <w:bookmarkStart w:id="5" w:name="_Toc5"/>
      <w:r>
        <w:rPr>
          <w:rFonts w:ascii="Times New Roman" w:hAnsi="Times New Roman" w:cs="Times New Roman"/>
          <w:color w:val="auto"/>
        </w:rPr>
        <w:t xml:space="preserve">1.2. Дошкольное образование</w:t>
      </w:r>
      <w:bookmarkEnd w:id="5"/>
      <w:r/>
      <w:r>
        <w:rPr>
          <w:rFonts w:ascii="Times New Roman" w:hAnsi="Times New Roman" w:cs="Times New Roman"/>
          <w:color w:val="auto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По итогам 2022 года в Новосибирской области доступность дошкольного образования для детей от трех до семи лет составила 100 (при целевом значении – 100%); для детей в возрасте от двух месяцев до трех лет – 86% (при целевом значении – 97%).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Показатель 100% доступности дошкольного образования для детей в возрасте от 3 до 7 лет обеспечивается во всех 35 муниципальных образованиях;</w:t>
      </w:r>
      <w: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для детей в возрасте от 2 месяцев до 3 лет - в 32 муниципальных образованиях.</w:t>
      </w:r>
      <w:r/>
    </w:p>
    <w:p>
      <w:pPr>
        <w:pStyle w:val="92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Вопрос нехватки мест дошкольного образования остро стоит в г. Новосибирске, а также в </w:t>
      </w:r>
      <w:r>
        <w:rPr>
          <w:rFonts w:ascii="Times New Roman" w:hAnsi="Times New Roman"/>
          <w:bCs/>
          <w:iCs/>
          <w:sz w:val="28"/>
          <w:szCs w:val="28"/>
        </w:rPr>
        <w:t xml:space="preserve">Коченевском</w:t>
      </w:r>
      <w:r>
        <w:rPr>
          <w:rFonts w:ascii="Times New Roman" w:hAnsi="Times New Roman"/>
          <w:bCs/>
          <w:iCs/>
          <w:sz w:val="28"/>
          <w:szCs w:val="28"/>
        </w:rPr>
        <w:t xml:space="preserve"> и </w:t>
      </w:r>
      <w:r>
        <w:rPr>
          <w:rFonts w:ascii="Times New Roman" w:hAnsi="Times New Roman"/>
          <w:bCs/>
          <w:iCs/>
          <w:sz w:val="28"/>
          <w:szCs w:val="28"/>
        </w:rPr>
        <w:t xml:space="preserve">Тогучинском</w:t>
      </w:r>
      <w:r>
        <w:rPr>
          <w:rFonts w:ascii="Times New Roman" w:hAnsi="Times New Roman"/>
          <w:bCs/>
          <w:iCs/>
          <w:sz w:val="28"/>
          <w:szCs w:val="28"/>
        </w:rPr>
        <w:t xml:space="preserve"> районах Новосибирской области.</w:t>
      </w:r>
      <w:r>
        <w:rPr>
          <w:rFonts w:ascii="Times New Roman" w:hAnsi="Times New Roman"/>
        </w:rPr>
      </w:r>
    </w:p>
    <w:p>
      <w:pPr>
        <w:pStyle w:val="927"/>
        <w:ind w:firstLine="709"/>
        <w:jc w:val="both"/>
        <w:rPr>
          <w:rFonts w:ascii="Liberation Serif" w:hAnsi="Liberation Serif" w:eastAsia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В соответствии с национальным проектом «Демография» федерального проекта «Содействие занятости» в 2022 году в Новосибирской области введен в эксплуатацию сад-ясли в г. Тогучин, ул. Бригадная, 22 на 230 мест.</w:t>
      </w:r>
      <w:r>
        <w:rPr>
          <w:rFonts w:ascii="Liberation Serif" w:hAnsi="Liberation Serif" w:eastAsia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В рамках реализации мероприятий государственной программы Новосибирской обла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сти «Развитие образования, создание условий для социализации детей и учащейся молодежи в Новосибирской области» в 2022 году произведен выкуп детского сада на 292 места в микрорайоне «Пригородные просторы» с. Толмачево Новосибирского района НСО, а также соз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дано 1285 мест в дошкольных образовательных организациях на территории Новосибирской области, что позволило улучшить условия для детей дошкольного возраста и обеспечить современные условия предоставления дошкольного образования детей в соответствии с ФГОС.</w:t>
      </w:r>
      <w:r>
        <w:rPr>
          <w:rFonts w:ascii="Liberation Serif" w:hAnsi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В соответствии с национальным проектом «Демография» федерального проекта «Содействие занятости» в 2023 году в Новосибирской области планируется ввести в эксплуатацию 3 детских сада на 540 мест, в том числе: в г. Новосибирске (1), 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Чановском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 районе (1) и в Новосибирском районе (1):</w:t>
      </w:r>
      <w:r>
        <w:rPr>
          <w:rFonts w:ascii="Liberation Serif" w:hAnsi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1. Детский сад в с.  Марусино Новосибирского района на 120 мест;</w:t>
      </w:r>
      <w:r>
        <w:rPr>
          <w:rFonts w:ascii="Liberation Serif" w:hAnsi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2. Детский сад в 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р.п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. Чаны 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Чановского</w:t>
      </w:r>
      <w:r>
        <w:rPr>
          <w:rFonts w:ascii="Liberation Serif" w:hAnsi="Liberation Serif" w:eastAsia="Liberation Serif" w:cs="Liberation Serif"/>
          <w:sz w:val="28"/>
          <w:szCs w:val="28"/>
        </w:rPr>
        <w:t xml:space="preserve"> района на 100 мест;</w:t>
      </w:r>
      <w:r>
        <w:rPr>
          <w:rFonts w:ascii="Liberation Serif" w:hAnsi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3. Детский сад по ул. Гребенщикова, 4 в Калининском районе г. Новосибирска на 320 мест.</w:t>
      </w:r>
      <w:r>
        <w:rPr>
          <w:rFonts w:ascii="Liberation Serif" w:hAnsi="Liberation Serif" w:cs="Liberation Serif"/>
        </w:rPr>
      </w:r>
    </w:p>
    <w:p>
      <w:pPr>
        <w:pStyle w:val="927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eastAsia="Liberation Serif" w:cs="Liberation Serif"/>
          <w:sz w:val="28"/>
          <w:szCs w:val="28"/>
        </w:rPr>
        <w:t xml:space="preserve">В летний период 2022 года в целях подготовки образовательных учреждений к учебному году проведены текущие и капитальные ремонты во всех дошкольных образовательных организациях.</w:t>
      </w:r>
      <w:r>
        <w:rPr>
          <w:rFonts w:ascii="Liberation Serif" w:hAnsi="Liberation Serif" w:cs="Liberation Serif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  <w:sectPr>
          <w:footnotePr/>
          <w:endnotePr/>
          <w:type w:val="continuous"/>
          <w:pgSz w:w="11906" w:h="16838" w:orient="portrait"/>
          <w:pgMar w:top="1134" w:right="567" w:bottom="993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5200" distR="115200" simplePos="0" relativeHeight="251748352" behindDoc="0" locked="0" layoutInCell="1" allowOverlap="1">
            <wp:simplePos x="0" y="0"/>
            <wp:positionH relativeFrom="column">
              <wp:posOffset>350849</wp:posOffset>
            </wp:positionH>
            <wp:positionV relativeFrom="paragraph">
              <wp:posOffset>4762</wp:posOffset>
            </wp:positionV>
            <wp:extent cx="9207511" cy="5948457"/>
            <wp:effectExtent l="4762" t="4762" r="4762" b="4762"/>
            <wp:wrapSquare wrapText="bothSides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  <w:sectPr>
          <w:footnotePr/>
          <w:endnotePr/>
          <w:type w:val="nextPage"/>
          <w:pgSz w:w="16838" w:h="11906" w:orient="landscape"/>
          <w:pgMar w:top="1418" w:right="1134" w:bottom="567" w:left="1134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/>
      <w:bookmarkStart w:id="6" w:name="_Toc6"/>
      <w:r>
        <w:rPr>
          <w:rFonts w:ascii="Times New Roman" w:hAnsi="Times New Roman" w:cs="Times New Roman"/>
          <w:color w:val="auto"/>
        </w:rPr>
        <w:t xml:space="preserve">1.3.</w:t>
      </w:r>
      <w:r>
        <w:t xml:space="preserve"> </w:t>
      </w:r>
      <w:r>
        <w:rPr>
          <w:rFonts w:ascii="Times New Roman" w:hAnsi="Times New Roman" w:cs="Times New Roman"/>
          <w:color w:val="auto"/>
        </w:rPr>
        <w:t xml:space="preserve">Общее и дополнительное образование</w:t>
      </w:r>
      <w:bookmarkEnd w:id="6"/>
      <w:r/>
      <w:r>
        <w:rPr>
          <w:rFonts w:ascii="Times New Roman" w:hAnsi="Times New Roman" w:cs="Times New Roman"/>
          <w:color w:val="auto"/>
        </w:rPr>
      </w:r>
    </w:p>
    <w:p>
      <w:pPr>
        <w:ind w:firstLine="709"/>
        <w:jc w:val="both"/>
        <w:spacing w:after="0" w:line="240" w:lineRule="auto"/>
        <w:tabs>
          <w:tab w:val="left" w:pos="1674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Доля обучающихся в муниципальных общеобразовательных учреждениях, занимающихся во вторую смену, в общей численности обучающихся в муниципальных общеобразовательных учреждениях в 2022 году в Новосибирской области составила 27,4%</w:t>
      </w:r>
      <w:r>
        <w:rPr>
          <w:rFonts w:ascii="Times New Roman" w:hAnsi="Times New Roman" w:cs="Times New Roman"/>
          <w:bCs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1674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tbl>
      <w:tblPr>
        <w:tblStyle w:val="914"/>
        <w:tblW w:w="0" w:type="auto"/>
        <w:tblInd w:w="-1" w:type="dxa"/>
        <w:tblLayout w:type="fixed"/>
        <w:tblLook w:val="04A0" w:firstRow="1" w:lastRow="0" w:firstColumn="1" w:lastColumn="0" w:noHBand="0" w:noVBand="1"/>
      </w:tblPr>
      <w:tblGrid>
        <w:gridCol w:w="1701"/>
        <w:gridCol w:w="1591"/>
        <w:gridCol w:w="1666"/>
        <w:gridCol w:w="1666"/>
        <w:gridCol w:w="1666"/>
        <w:gridCol w:w="1773"/>
      </w:tblGrid>
      <w:tr>
        <w:trPr/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2017-2018 учебный год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2018-2019 учебный год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2019-2020 учебный год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2020-2021 учебный год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2021-2022 учебный год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2022-2023 учебный год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/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19,4 %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20,5%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21,8%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26,8%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27,7%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27,4%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/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60 460 детей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66 056 детей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71 207 детей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89 941 детей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6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95 375 детей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97 200 детей</w:t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firstLine="709"/>
        <w:jc w:val="both"/>
        <w:spacing w:after="0" w:line="240" w:lineRule="auto"/>
        <w:tabs>
          <w:tab w:val="left" w:pos="1674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9 муниципальных районах Новосибирской области в общеобразовательных организациях вторая смена отсутствует.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5 муниципальных районах и городских округах Новосибирской области доля обучающихся, занимающихся во вторую смену, превышает среднее значение по области: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Колыванский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район – 27,9%,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Новосибирский район – 31,1%,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г. Бердск – 33,6%,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г. Новосибирск – 35,3%,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г. Обь – 34,5%.</w:t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Доля выпускников муниципальных образовательных учреждений, не получивших аттестат о среднем (полном) образовании, в общей численности выпускников муниципальных образовательных учреждений (14 189 человек) составляет 2,93% (312 человек).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2022 году введены в эксплуатацию 4 школы общей проектной мощностью 2512 мест, в том числе: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регионального проекта «Современная школа», вошедшего в национальный проект «Образование» по 1 школе в г. Новосибирске по проезду Детскому, 10 на 1100 мест и в п. п. Восход на 1100 мест, 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реализации мероприятий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 школа в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с.Шайдурово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Сузунского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района на 132 места и приобретено здание в г. Купино для дальнейшего размещения МБОУ лицея № 2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Купинского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района на 180 мест.</w:t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2023 году за счет реализации национальных проектов «Образование», «Жилье и городская среда», а также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 запланировано завершение строительства и ввод в эксплуатацию 14 школ проектной мощностью 10 149 мест</w:t>
      </w:r>
      <w:r>
        <w:rPr>
          <w:rFonts w:ascii="Times New Roman" w:hAnsi="Times New Roman" w:cs="Times New Roman"/>
          <w:bCs/>
          <w:sz w:val="28"/>
          <w:szCs w:val="28"/>
        </w:rPr>
        <w:t xml:space="preserve">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летний период 2022 года в целях подготовки образовательных учреждений к учебному году были проведены текущие и капитальные ремонты во всех общеобразовательных организациях.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целях обеспечения безаварийной и безопасной организации учебно-воспитательного процесса в рамках мероприятий государственной программы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Новосибирской области «Развитие образования, создание условий для социализации детей и учащейся молодежи в Новосибирской области» в 2022 году проведены следующие работы:</w:t>
      </w:r>
      <w:r/>
    </w:p>
    <w:p>
      <w:pPr>
        <w:ind w:firstLine="709"/>
        <w:spacing w:after="0" w:line="240" w:lineRule="auto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Венгеровский район — к</w:t>
      </w:r>
      <w:r>
        <w:rPr>
          <w:rFonts w:ascii="Times New Roman" w:hAnsi="Times New Roman"/>
          <w:color w:val="000000"/>
          <w:sz w:val="28"/>
          <w:szCs w:val="28"/>
        </w:rPr>
        <w:t xml:space="preserve">апитальный ремонт крыши здания столовой МКОУ Вознесенская ОШ-И (2,0 млн рублей);</w:t>
      </w:r>
      <w:r/>
    </w:p>
    <w:p>
      <w:pPr>
        <w:ind w:firstLine="709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</w:rPr>
        <w:t xml:space="preserve">Колыванский</w:t>
      </w:r>
      <w:r>
        <w:rPr>
          <w:rFonts w:ascii="Times New Roman" w:hAnsi="Times New Roman"/>
          <w:color w:val="000000"/>
          <w:sz w:val="28"/>
          <w:szCs w:val="28"/>
        </w:rPr>
        <w:t xml:space="preserve"> район — капитальный ремонт инженерных коммуникаций бойлерной в МБОУ "</w:t>
      </w:r>
      <w:r>
        <w:rPr>
          <w:rFonts w:ascii="Times New Roman" w:hAnsi="Times New Roman"/>
          <w:color w:val="000000"/>
          <w:sz w:val="28"/>
          <w:szCs w:val="28"/>
        </w:rPr>
        <w:t xml:space="preserve">Колыванская</w:t>
      </w:r>
      <w:r>
        <w:rPr>
          <w:rFonts w:ascii="Times New Roman" w:hAnsi="Times New Roman"/>
          <w:color w:val="000000"/>
          <w:sz w:val="28"/>
          <w:szCs w:val="28"/>
        </w:rPr>
        <w:t xml:space="preserve"> школа-интернат» (0,5 млн рублей);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</w:rPr>
        <w:t xml:space="preserve">Ордынский район — установка уличного освещения; ремонт помещения изолятора и служебных санитарных узлов; Обустройство </w:t>
      </w:r>
      <w:r>
        <w:rPr>
          <w:rFonts w:ascii="Times New Roman" w:hAnsi="Times New Roman"/>
          <w:color w:val="000000"/>
          <w:sz w:val="28"/>
          <w:szCs w:val="28"/>
        </w:rPr>
        <w:t xml:space="preserve">отмостки</w:t>
      </w:r>
      <w:r>
        <w:rPr>
          <w:rFonts w:ascii="Times New Roman" w:hAnsi="Times New Roman"/>
          <w:color w:val="000000"/>
          <w:sz w:val="28"/>
          <w:szCs w:val="28"/>
        </w:rPr>
        <w:t xml:space="preserve"> здания спортивного зала; промывка отопления в МКОУ Ордынского района Новосибирской области «Верх-</w:t>
      </w:r>
      <w:r>
        <w:rPr>
          <w:rFonts w:ascii="Times New Roman" w:hAnsi="Times New Roman"/>
          <w:color w:val="000000"/>
          <w:sz w:val="28"/>
          <w:szCs w:val="28"/>
        </w:rPr>
        <w:t xml:space="preserve">Ирменская</w:t>
      </w:r>
      <w:r>
        <w:rPr>
          <w:rFonts w:ascii="Times New Roman" w:hAnsi="Times New Roman"/>
          <w:color w:val="000000"/>
          <w:sz w:val="28"/>
          <w:szCs w:val="28"/>
        </w:rPr>
        <w:t xml:space="preserve"> школа-интернат для детей с ограниченными возможностями здоровья» и МКОУ Ордынского района Новосибирской области «Ордынская санаторная школа» (3,4 млн рублей);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Искитимский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 — оснащение и ремонт МКОУ 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Линевская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школа-интернат» (3,0 млн рублей);</w:t>
      </w:r>
      <w:r/>
    </w:p>
    <w:p>
      <w:pPr>
        <w:ind w:right="19"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Новосибирский район – ремонт школы и детского сада Шиловского гарнизона (12,0 млн рублей);</w:t>
      </w:r>
      <w:r/>
    </w:p>
    <w:p>
      <w:pPr>
        <w:ind w:right="19"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Татарский район – завершение ремонта </w:t>
      </w:r>
      <w:r>
        <w:rPr>
          <w:rFonts w:ascii="Times New Roman" w:hAnsi="Times New Roman" w:eastAsia="Times New Roman" w:cs="Times New Roman"/>
          <w:sz w:val="28"/>
          <w:szCs w:val="27"/>
          <w:shd w:val="clear" w:color="auto" w:fill="ffffff"/>
          <w:lang w:eastAsia="ru-RU"/>
        </w:rPr>
        <w:t xml:space="preserve">МБОУ школы-интерната основного общего образования г. Татарска (1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ru-RU"/>
        </w:rPr>
        <w:t xml:space="preserve">7,5 млн рублей)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</w:t>
      </w:r>
      <w:r/>
    </w:p>
    <w:p>
      <w:pPr>
        <w:ind w:right="19"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Черепановский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 – ремонт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Безменовской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СОШ (10,0 млн рублей),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аварийно-восстановительный ремонт МКОУ Искровская СОШ (8,4 млн рублей), р</w:t>
      </w:r>
      <w:r>
        <w:rPr>
          <w:rFonts w:ascii="Times New Roman" w:hAnsi="Times New Roman"/>
          <w:color w:val="000000"/>
          <w:sz w:val="28"/>
          <w:szCs w:val="28"/>
        </w:rPr>
        <w:t xml:space="preserve">емонт помещений и лестничных пролетов учебного корпуса в МКОУ - </w:t>
      </w:r>
      <w:r>
        <w:rPr>
          <w:rFonts w:ascii="Times New Roman" w:hAnsi="Times New Roman"/>
          <w:color w:val="000000"/>
          <w:sz w:val="28"/>
          <w:szCs w:val="28"/>
        </w:rPr>
        <w:t xml:space="preserve">Черепановская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специальная (коррекционная) школа-интернат для обучающихся, воспитанников с ограниченными возможностями здоровья (0,6 млн рублей)</w:t>
      </w:r>
      <w:r/>
    </w:p>
    <w:p>
      <w:pPr>
        <w:ind w:right="19" w:firstLine="708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</w:rPr>
        <w:t xml:space="preserve">г. </w:t>
      </w:r>
      <w:r>
        <w:rPr>
          <w:rFonts w:ascii="Times New Roman" w:hAnsi="Times New Roman"/>
          <w:color w:val="000000"/>
          <w:sz w:val="28"/>
          <w:szCs w:val="28"/>
        </w:rPr>
        <w:t xml:space="preserve">Искитим</w:t>
      </w:r>
      <w:r>
        <w:rPr>
          <w:rFonts w:ascii="Times New Roman" w:hAnsi="Times New Roman"/>
          <w:color w:val="000000"/>
          <w:sz w:val="28"/>
          <w:szCs w:val="28"/>
        </w:rPr>
        <w:t xml:space="preserve"> — ремонт санитарных узлов в МКОУ КШ № 7 и ремонтные работы в информационно-библиотечном центре в МКОУ «Коррекционная школа-интернат №12» (2,5 млн рублей);</w:t>
      </w:r>
      <w:r/>
    </w:p>
    <w:p>
      <w:pPr>
        <w:ind w:right="19"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г. Новосибирск – </w:t>
      </w:r>
      <w:r>
        <w:rPr>
          <w:rFonts w:ascii="Times New Roman" w:hAnsi="Times New Roman" w:cs="Times New Roman"/>
          <w:color w:val="000000"/>
          <w:sz w:val="16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</w:t>
      </w:r>
      <w:r>
        <w:rPr>
          <w:rFonts w:ascii="Times New Roman" w:hAnsi="Times New Roman"/>
          <w:color w:val="000000"/>
          <w:sz w:val="28"/>
          <w:szCs w:val="28"/>
        </w:rPr>
        <w:t xml:space="preserve">емонт санитарного узла в МКОУ С(К)ШИ № 116, ремонт кровл</w:t>
      </w:r>
      <w:r>
        <w:rPr>
          <w:rFonts w:ascii="Times New Roman" w:hAnsi="Times New Roman"/>
          <w:color w:val="000000"/>
          <w:sz w:val="28"/>
          <w:szCs w:val="28"/>
        </w:rPr>
        <w:t xml:space="preserve">и МКОУ С(К)ШИ № 116, ремонт фасада МКОУ С(К)Ш № 148, ремонт фасада МКС(К)ОУ СКОШ № 5, экспертное заключение о техническом состоянии конструкций зданий и  сооружений МКОУ С(К)ШИ № 37, проект организации сноса зданий и сооружений и демонтажные работы в МКОУ </w:t>
      </w:r>
      <w:r>
        <w:rPr>
          <w:rFonts w:ascii="Times New Roman" w:hAnsi="Times New Roman"/>
          <w:color w:val="000000"/>
          <w:sz w:val="28"/>
          <w:szCs w:val="28"/>
        </w:rPr>
        <w:t xml:space="preserve">С(К)ШИ № 37, электромонтажные работы подсобных помещений мастерских в МКОУ С(К)Ш           № 14, ремонт помещений (МКОУ С(К)ШИ № 39, снос овощехранилища в МКОУ С(К)Ш № 107, устройство автоматики пожарной насосной установки в МБОУ ШИ № 133 (8,0 млн рублей),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снащение и ремонт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МКОУ г. Новосибирска «Специальная (коррекционная) школа-интернат № 152» (2,0 млн рублей), </w:t>
      </w:r>
      <w:r>
        <w:rPr>
          <w:rFonts w:ascii="Times New Roman" w:hAnsi="Times New Roman" w:cs="Times New Roman"/>
          <w:sz w:val="28"/>
          <w:szCs w:val="28"/>
        </w:rPr>
        <w:t xml:space="preserve">обустройство спортивной площадки гимназии №15 (10,5 млн рублей), ремонт фасада гимназии №10 (20,0 млн рублей);</w:t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hd w:val="clear" w:color="auto" w:fill="ffffff"/>
        </w:rPr>
        <w:t xml:space="preserve">Баганский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 район – восстановление разрушенной кровли здания структурного подразделения МКОУ Андреевской СОШ им. Героя Советского Союза Геннадия Андреевича Приходько – дошкольного образовательного учреждения Андреевского детского сада (3,8 млн рублей);</w:t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hd w:val="clear" w:color="auto" w:fill="ffffff"/>
        </w:rPr>
        <w:t xml:space="preserve">Кочковский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 район – проведение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аварийно-восстановительных работ по ремонту кровли здания МКОУ «Троицкая СШ» (2,3 млн рублей), завершение капитального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ремонтв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МКОУ 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Черновская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СОШ» (12,3 млн рублей);</w:t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Купинский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 – ремонт потолочного перекрытия МБОУ Новониколаевская СОШ (4,3 млн рублей), аварийно-восстановительный ремонт в школах из-за разрушений, связанных с неблагоприятными погодными условиями (1,6 млн рублей), ремонт разрушенной непогодой кровли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Киргинцевского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д/с «Колосок» (0,9 млн рублей),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капитальный ремонт кровли и ремонт коридора первого этажа, санузла, лестничного марша в МБОУ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Купинская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школа-интернат № 1 (8,0 млн рублей);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Мошковский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— завершение капитального ремонта здания МКОУ Октябрьская СОШ (34,2 млн рублей), ремонт МКОУ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Новомошковской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СОШ (5,25 млн рублей), капитальный ремонт помещений МКОУ «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Мошковская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ОШИ» (0,5 млн рублей).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 2022 году продолжены мероприятия по проведению ремонтны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х работ кровель и замене оконных блоков в зданиях образовательных организаций Новосибирской области, в том числе по наказам избирателей. В 2022 году заменено 2369 оконных блоков в 140 образовательных организациях и отремонтирована кровля в 96 организациях.</w:t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В 2022 году проведены ремонтные работы на 36 спортивных объектах, в том числе в рамках регионального проекта «Успех каждого ребенка» отремонтировано 5 спортивных залов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и оснащено инвентарем и оборудованием 1 плоскостное сооружение за счет средств федерального и областного бюджетов в сельских школах. На эти цели направлено 11,1 млн рублей (из федерального бюджета – 9,95 млн рублей, из областного бюджета – 0,4 млн рублей).</w:t>
      </w:r>
      <w:r>
        <w:rPr>
          <w:rFonts w:ascii="Times New Roman" w:hAnsi="Times New Roman" w:cs="Times New Roman"/>
          <w:bCs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Данные мероприятия реализовывались в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Баганском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, Карасукском,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Сузунском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Искитимском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, Новосибирском и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Тогучинском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районах.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В рамках государственной программы Российской Федерации «Развитие образования» </w:t>
      </w:r>
      <w:r>
        <w:rPr>
          <w:rFonts w:ascii="Times New Roman" w:hAnsi="Times New Roman" w:eastAsia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с 2022 года на территории Новосибирской области реализуются мероприятия по проведению капитального ремонта и оснащению зданий общеобразовательных организаций. На данные цели выделяются денежные средства федерального и областного бюджетов.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В 2022 году были проведены ремонтные работы в</w:t>
      </w:r>
      <w:r>
        <w:rPr>
          <w:rFonts w:ascii="Times New Roman" w:hAnsi="Times New Roman" w:cs="Calibri"/>
          <w:bCs/>
          <w:iCs/>
          <w:color w:val="000000"/>
          <w:sz w:val="1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12-ти зданиях о</w:t>
      </w:r>
      <w:r>
        <w:rPr>
          <w:rFonts w:ascii="Times New Roman" w:hAnsi="Times New Roman" w:eastAsia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бщеобразовательных организаций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 с однолетним циклом производства ремонтных работ, а также начаты работы еще в 13-ти зданиях с двухлетним циклом производства ремонтных работ.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 2022 году проведены ремонтные работы в 12 зданиях школ, в том числе:     г. Новосибирск (2 здания М</w:t>
      </w:r>
      <w:r>
        <w:rPr>
          <w:rFonts w:ascii="Times New Roman" w:hAnsi="Times New Roman"/>
          <w:color w:val="000000"/>
          <w:sz w:val="28"/>
          <w:szCs w:val="28"/>
        </w:rPr>
        <w:t xml:space="preserve">БОУ Гимназия № 14 «Университетская»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Ордынский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КОУ-</w:t>
      </w:r>
      <w:r>
        <w:rPr>
          <w:rFonts w:ascii="Times New Roman" w:hAnsi="Times New Roman"/>
          <w:color w:val="000000"/>
          <w:sz w:val="28"/>
          <w:szCs w:val="28"/>
        </w:rPr>
        <w:t xml:space="preserve">Вагайцевская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СОШ, МКОУ </w:t>
      </w:r>
      <w:r>
        <w:rPr>
          <w:rFonts w:ascii="Times New Roman" w:hAnsi="Times New Roman"/>
          <w:color w:val="000000"/>
          <w:sz w:val="28"/>
          <w:szCs w:val="28"/>
        </w:rPr>
        <w:t xml:space="preserve">Устюжанинская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СОШ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Кыштовский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КОУ </w:t>
      </w:r>
      <w:r>
        <w:rPr>
          <w:rFonts w:ascii="Times New Roman" w:hAnsi="Times New Roman"/>
          <w:color w:val="000000"/>
          <w:sz w:val="28"/>
          <w:szCs w:val="28"/>
        </w:rPr>
        <w:t xml:space="preserve">Камышинская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СОШ, МБОУ </w:t>
      </w:r>
      <w:r>
        <w:rPr>
          <w:rFonts w:ascii="Times New Roman" w:hAnsi="Times New Roman"/>
          <w:color w:val="000000"/>
          <w:sz w:val="28"/>
          <w:szCs w:val="28"/>
        </w:rPr>
        <w:t xml:space="preserve">Кыштовская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СОШ №1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Купинский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(МБОУ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Лягушинская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СОШ имени А.И. Бельского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Купинского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района),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Краснозерский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КОУ Веселовская СОШ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Новосибирский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БОУ «</w:t>
      </w:r>
      <w:r>
        <w:rPr>
          <w:rFonts w:ascii="Times New Roman" w:hAnsi="Times New Roman"/>
          <w:color w:val="000000"/>
          <w:sz w:val="28"/>
          <w:szCs w:val="28"/>
        </w:rPr>
        <w:t xml:space="preserve">Гусинобродская</w:t>
      </w:r>
      <w:r>
        <w:rPr>
          <w:rFonts w:ascii="Times New Roman" w:hAnsi="Times New Roman"/>
          <w:color w:val="000000"/>
          <w:sz w:val="28"/>
          <w:szCs w:val="28"/>
        </w:rPr>
        <w:t xml:space="preserve"> школа № 18»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Чулымский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КОУ СОШ №1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Барабинский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БОУ СОШ № 92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Кочковский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</w:t>
      </w:r>
      <w:r>
        <w:rPr>
          <w:rFonts w:ascii="Times New Roman" w:hAnsi="Times New Roman"/>
          <w:color w:val="000000"/>
          <w:sz w:val="28"/>
          <w:szCs w:val="28"/>
        </w:rPr>
        <w:t xml:space="preserve">КОУ «</w:t>
      </w:r>
      <w:r>
        <w:rPr>
          <w:rFonts w:ascii="Times New Roman" w:hAnsi="Times New Roman"/>
          <w:color w:val="000000"/>
          <w:sz w:val="28"/>
          <w:szCs w:val="28"/>
        </w:rPr>
        <w:t xml:space="preserve">Черновская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СШ»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).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 двухлетний цикл (2022-2023 годы) включено 13 зданий школ, в том числе: г. Новосибирск (2), Ордынский район (1),</w:t>
      </w:r>
      <w:r>
        <w:rPr>
          <w:rFonts w:ascii="Times New Roman" w:hAnsi="Times New Roman" w:cs="Times New Roman"/>
          <w:bCs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Тогучинский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(2),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Сузунский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(2),</w:t>
      </w:r>
      <w:r>
        <w:rPr>
          <w:rFonts w:ascii="Times New Roman" w:hAnsi="Times New Roman" w:cs="Times New Roman"/>
          <w:bCs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Куйбышевский район (2),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Купинский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(1), г. Обь (1). В</w:t>
      </w:r>
      <w:r>
        <w:rPr>
          <w:rFonts w:ascii="Times New Roman" w:hAnsi="Times New Roman" w:cs="Times New Roman"/>
          <w:bCs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Маслянинском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районе (М</w:t>
      </w:r>
      <w:r>
        <w:rPr>
          <w:rFonts w:ascii="Times New Roman" w:hAnsi="Times New Roman"/>
          <w:color w:val="000000"/>
          <w:sz w:val="28"/>
          <w:szCs w:val="28"/>
        </w:rPr>
        <w:t xml:space="preserve">БОУ </w:t>
      </w:r>
      <w:r>
        <w:rPr>
          <w:rFonts w:ascii="Times New Roman" w:hAnsi="Times New Roman"/>
          <w:color w:val="000000"/>
          <w:sz w:val="28"/>
          <w:szCs w:val="28"/>
        </w:rPr>
        <w:t xml:space="preserve">Маслянинская</w:t>
      </w:r>
      <w:r>
        <w:rPr>
          <w:rFonts w:ascii="Times New Roman" w:hAnsi="Times New Roman"/>
          <w:color w:val="000000"/>
          <w:sz w:val="28"/>
          <w:szCs w:val="28"/>
        </w:rPr>
        <w:t xml:space="preserve"> СОШ №5)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ремонтные работы были завершены досрочно — в 2022 году.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 2023 году включено 2 здания школ: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Чистоозерный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район (МКОУ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Польяновская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СОШ), г. Новосибирск (МБОУ СОШ № 146).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 показателями федерального проекта «Успех каждого ребенка» национального проекта «Образование»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перед регионом стояла задача реального охвата дополнительным образованием в 2022 году не менее 72% детей,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возрасте от 5 до 18 лет, проживающих на территории Новосибирской области (2021 год – 75%, 2020 год – 75%, 2019 год – 73%).</w:t>
      </w:r>
      <w:r/>
    </w:p>
    <w:p>
      <w:pPr>
        <w:ind w:firstLine="567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Показатель выполнен (с учетом учреждений сферы культуры, физической культуры и спорта, частных организаций, реализующих программы дополнительного образования), охват детей дополнительным образованием в 2022 году составил 74,8% (</w:t>
      </w:r>
      <w:r>
        <w:rPr>
          <w:rFonts w:ascii="Times New Roman" w:hAnsi="Times New Roman"/>
          <w:sz w:val="28"/>
          <w:szCs w:val="28"/>
          <w:lang w:eastAsia="ru-RU"/>
        </w:rPr>
        <w:t xml:space="preserve">327 325 детей)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(2021 год – 77,0%/384 645 детей, 2020 год – 74,8%/315 437 детей, 2019 год - 77,6% /318 964 детей).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 городе Новосибирске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не выполнен показатель федерального проекта «Успех каждого ребенка» национального проекта «Образование» по доле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детей в возрасте 5 - 18 лет,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получающих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группы, который составил 62,15%.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34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муниципальных районах и городских округах Новосибирской области показатели доли детей в возрасте 5 - 18 лет,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получающих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услуги по дополнительному образованию, выполнены и превысили среднее значение по области.</w:t>
      </w:r>
      <w:r>
        <w:rPr>
          <w:rFonts w:ascii="Times New Roman" w:hAnsi="Times New Roman" w:eastAsia="Times New Roman" w:cs="Times New Roman"/>
          <w:color w:val="000000"/>
        </w:rPr>
      </w:r>
    </w:p>
    <w:p>
      <w:pPr>
        <w:ind w:firstLine="709"/>
        <w:jc w:val="both"/>
        <w:spacing w:after="0" w:line="240" w:lineRule="auto"/>
        <w:tabs>
          <w:tab w:val="left" w:pos="1674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spacing w:after="0" w:line="240" w:lineRule="auto"/>
        <w:tabs>
          <w:tab w:val="left" w:pos="1674" w:leader="none"/>
        </w:tabs>
        <w:rPr>
          <w:rFonts w:ascii="Times New Roman" w:hAnsi="Times New Roman" w:cs="Times New Roman"/>
          <w:bCs/>
          <w:iCs/>
          <w:sz w:val="28"/>
          <w:szCs w:val="28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spacing w:after="0" w:line="240" w:lineRule="auto"/>
      </w:pPr>
      <w:r>
        <w:rPr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5200" distR="115200" simplePos="0" relativeHeight="251749376" behindDoc="0" locked="0" layoutInCell="1" allowOverlap="1">
            <wp:simplePos x="0" y="0"/>
            <wp:positionH relativeFrom="column">
              <wp:posOffset>-309540</wp:posOffset>
            </wp:positionH>
            <wp:positionV relativeFrom="paragraph">
              <wp:posOffset>4762</wp:posOffset>
            </wp:positionV>
            <wp:extent cx="9963150" cy="5910357"/>
            <wp:effectExtent l="4762" t="4762" r="4762" b="4762"/>
            <wp:wrapSquare wrapText="bothSides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anchor>
        </w:drawing>
      </w:r>
      <w:r/>
    </w:p>
    <w:p>
      <w:pPr>
        <w:jc w:val="center"/>
        <w:spacing w:after="0" w:line="240" w:lineRule="auto"/>
        <w:tabs>
          <w:tab w:val="left" w:pos="1674" w:leader="none"/>
        </w:tabs>
        <w:rPr>
          <w:rFonts w:ascii="Times New Roman" w:hAnsi="Times New Roman" w:cs="Times New Roman" w:eastAsiaTheme="majorEastAsia"/>
          <w:b/>
          <w:iCs/>
          <w:color w:val="000000" w:themeColor="text1"/>
          <w:spacing w:val="15"/>
          <w:sz w:val="28"/>
          <w:szCs w:val="28"/>
        </w:rPr>
        <w:sectPr>
          <w:footnotePr/>
          <w:endnotePr/>
          <w:type w:val="nextPage"/>
          <w:pgSz w:w="16838" w:h="11906" w:orient="landscape"/>
          <w:pgMar w:top="1418" w:right="1134" w:bottom="567" w:left="1134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 w:eastAsiaTheme="majorEastAsia"/>
          <w:b/>
          <w:iCs/>
          <w:color w:val="000000" w:themeColor="text1"/>
          <w:spacing w:val="15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iCs/>
          <w:color w:val="000000" w:themeColor="text1"/>
          <w:spacing w:val="15"/>
          <w:sz w:val="28"/>
          <w:szCs w:val="28"/>
        </w:rPr>
      </w:r>
    </w:p>
    <w:p>
      <w:pPr>
        <w:pStyle w:val="730"/>
        <w:jc w:val="center"/>
        <w:spacing w:before="0" w:line="240" w:lineRule="auto"/>
        <w:shd w:val="clear" w:color="ffffff" w:themeColor="background1" w:fill="ffffff" w:themeFill="background1"/>
        <w:rPr>
          <w:highlight w:val="white"/>
        </w:rPr>
      </w:pPr>
      <w:r/>
      <w:bookmarkStart w:id="7" w:name="_Toc7"/>
      <w:r>
        <w:rPr>
          <w:rFonts w:ascii="Times New Roman" w:hAnsi="Times New Roman" w:cs="Times New Roman"/>
          <w:color w:val="auto"/>
          <w:highlight w:val="white"/>
        </w:rPr>
        <w:t xml:space="preserve">1.4. Культура</w:t>
      </w:r>
      <w:bookmarkEnd w:id="7"/>
      <w:r/>
      <w:r>
        <w:rPr>
          <w:highlight w:val="white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В 2022 г. государственная политика в сфере культуры и искусства в соответствии со Стратегией социально-экономического развития Новосибирской области до 2030 года, утвержденной постановлением П</w:t>
      </w:r>
      <w:r>
        <w:rPr>
          <w:rFonts w:ascii="Times New Roman" w:hAnsi="Times New Roman"/>
          <w:sz w:val="28"/>
          <w:szCs w:val="28"/>
          <w:highlight w:val="white"/>
        </w:rPr>
        <w:t xml:space="preserve">равительства Новосибирской области от 19.03.2019 № 105-п (далее – Стратегия), была направлена на развитие человеческого капитала, обеспечение высоких стандартов благосостояния человека, социального благополучия и согласия в обществе, а также на формировани</w:t>
      </w:r>
      <w:r>
        <w:rPr>
          <w:rFonts w:ascii="Times New Roman" w:hAnsi="Times New Roman"/>
          <w:sz w:val="28"/>
          <w:szCs w:val="28"/>
          <w:highlight w:val="white"/>
        </w:rPr>
        <w:t xml:space="preserve">е условий для развития нравственной, разносторонней личности, имеющей возможности для самореализации. Показатели Стратегии в сфере культуры синхронизированы с региональными проектами национального проекта «Культура» и реализуются в ходе выполнения мероприя</w:t>
      </w:r>
      <w:r>
        <w:rPr>
          <w:rFonts w:ascii="Times New Roman" w:hAnsi="Times New Roman"/>
          <w:sz w:val="28"/>
          <w:szCs w:val="28"/>
          <w:highlight w:val="white"/>
        </w:rPr>
        <w:t xml:space="preserve">тий государственной программы Новосибирской области «Культура Новосибирской области», утвержденной постановлением Правительства Новосибирской области от 03.02.2015 № 46-п (далее – Государственная программа), в соответствии с Указом Президента Российской Фе</w:t>
      </w:r>
      <w:r>
        <w:rPr>
          <w:rFonts w:ascii="Times New Roman" w:hAnsi="Times New Roman"/>
          <w:sz w:val="28"/>
          <w:szCs w:val="28"/>
          <w:highlight w:val="white"/>
        </w:rPr>
        <w:t xml:space="preserve">дерации от 07.05.2018 № 204 «О национальных целях и стратегических задачах развития Российской Федерации на период до 2024 года» и Указом Президента Российской Федерации от 21.07.2020 № 474 «О национальных целях развития Российской Федерации до 2030 года».</w:t>
      </w:r>
      <w:r>
        <w:rPr>
          <w:rFonts w:ascii="Times New Roman" w:hAnsi="Times New Roman"/>
          <w:highlight w:val="white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Общий</w:t>
      </w:r>
      <w:r>
        <w:rPr>
          <w:rFonts w:ascii="Times New Roman" w:hAnsi="Times New Roman"/>
          <w:sz w:val="28"/>
          <w:szCs w:val="28"/>
          <w:highlight w:val="white"/>
        </w:rPr>
        <w:t xml:space="preserve"> объем средств, запланированных в 2022 году на развитие сферы культуры в рамках программы за счет средств бюджетов всех уровней составляет 5 913 523тыс. рублей, в том числе за счет средств: федерального бюджета – 391 832,6 тыс. рублей, областного бюджета –</w:t>
      </w:r>
      <w:r>
        <w:rPr>
          <w:rFonts w:ascii="Times New Roman" w:hAnsi="Times New Roman"/>
          <w:sz w:val="28"/>
          <w:szCs w:val="28"/>
          <w:highlight w:val="white"/>
        </w:rPr>
        <w:t xml:space="preserve"> 5 498 106,6 тыс. рублей, местных бюджетов – 20 383,8 тыс. рублей, внебюджетных источников – 3 200 тыс. рублей, из них по министерству культуры Новосибирской области (далее – Министерство) за счет средств бюджетов всех уровней – 4 880 821,3 тыс. рублей, в </w:t>
      </w:r>
      <w:r>
        <w:rPr>
          <w:rFonts w:ascii="Times New Roman" w:hAnsi="Times New Roman"/>
          <w:sz w:val="28"/>
          <w:szCs w:val="28"/>
          <w:highlight w:val="white"/>
        </w:rPr>
        <w:t xml:space="preserve">т.ч</w:t>
      </w:r>
      <w:r>
        <w:rPr>
          <w:rFonts w:ascii="Times New Roman" w:hAnsi="Times New Roman"/>
          <w:sz w:val="28"/>
          <w:szCs w:val="28"/>
          <w:highlight w:val="white"/>
        </w:rPr>
        <w:t xml:space="preserve">. за счет средств: федерального бюджета – 266 911,2</w:t>
      </w:r>
      <w:r>
        <w:rPr>
          <w:rFonts w:ascii="Times New Roman" w:hAnsi="Times New Roman"/>
          <w:sz w:val="28"/>
          <w:szCs w:val="28"/>
          <w:highlight w:val="white"/>
        </w:rPr>
        <w:t xml:space="preserve"> тыс. рублей, областного бюджета – 4 600 934,2 тыс. рублей, местных бюджетов – 9 775,9 тыс. рублей, внебюджетных источников – 3 200 тыс. рублей. Финансирование программы за 12 месяцев 2022 года за счет средств бюджетов всех уровней составило 5 618 725,3 ты</w:t>
      </w:r>
      <w:r>
        <w:rPr>
          <w:rFonts w:ascii="Times New Roman" w:hAnsi="Times New Roman"/>
          <w:sz w:val="28"/>
          <w:szCs w:val="28"/>
          <w:highlight w:val="white"/>
        </w:rPr>
        <w:t xml:space="preserve">с. рублей, в том числе за счет средств: федерального бюджета – 387 337,4 тыс. рублей, областного бюджета 5 204 012,7 тыс. рублей, местных бюджетов – 19 776,2 тыс. рублей, внебюджетных источников – 7 599 тыс. рублей, из них по министерству за счет средств б</w:t>
      </w:r>
      <w:r>
        <w:rPr>
          <w:rFonts w:ascii="Times New Roman" w:hAnsi="Times New Roman"/>
          <w:sz w:val="28"/>
          <w:szCs w:val="28"/>
          <w:highlight w:val="white"/>
        </w:rPr>
        <w:t xml:space="preserve">юджетов всех уровней – 4 763 563,8 тыс. рублей, в том числе за счет средств: федерального бюджета – 262 491,9 тыс. рублей, областного бюджета – 4 484 306,3 тыс. рублей, местных бюджетов – 9 166,6 тыс. рублей, внебюджетных источников – 7 599,0 тыс. рублей. 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В настоящее время в Новосибирской области осуществляют свою деятельность 2126 государственных и муниципальных учреждений культуры, в том числе 852 библиотеки, 1054 учреждения клубного типа, 54 музея, 11 театров, 5 концертных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 организаций, 26 кинопрокатных организаций, 16 парков культуры и отдыха, 8 образовательных организаций профессионального и высшего образования, 98 организаций дополнительного образования в сфере культуры (включая филиалы), цирк, зоопарк и иные учреждения. 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Всего в Новосибирской обл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асти в настоящее время насчитывается 612 учреждений культуры - юридических лиц, из них 571 - муниципальные, 36 - государственные областные, 5 - государственные федеральные. На начало 2022 года насчитывалось 618 учреждений культуры - юридических лиц (577 - 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муниципальных, 36 - государственных областных, 5 - государственных федеральных).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Кроме того, функционир</w:t>
      </w:r>
      <w:r>
        <w:rPr>
          <w:rFonts w:ascii="Times New Roman" w:hAnsi="Times New Roman"/>
          <w:sz w:val="28"/>
          <w:szCs w:val="28"/>
          <w:highlight w:val="white"/>
        </w:rPr>
        <w:t xml:space="preserve">ует еще более 165 учреждений культуры и искусства иной формы собственности и ведомственной подчиненности, в том числе: 6 учреждений клубного типа, 66 библиотек, 7 музеев, 13 театров, 5 концертных залов, 27 кинозалов, дельфинарий, планетарий, аквапарк и др.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20"/>
        <w:jc w:val="both"/>
        <w:spacing w:after="0" w:line="240" w:lineRule="auto"/>
        <w:shd w:val="clear" w:color="ffffff" w:themeColor="background1" w:fill="ffffff" w:themeFill="background1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Сеть государственных и муниципальных объектов культуры в Новосибирской области за 2022 год сократилась на 15 единиц (уменьшилась на 6 юридических лиц и 9 обособленных структурных подразделений). 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Сокращение количеств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а сетевых единиц отмечено в 9 муниципальных районах и городском округе (г. Бердск), увеличение – в 1-м муниципальном районе. Изменения произошли в основном за счет закрытия юридических лиц в сельских населенных пунктах в результате оптимизации сети. Сеть т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еатров, концертных организаций, парков культуры и отдыха, прочих организаций не изменилась. Сеть учреждений клубного типа уменьшилась на 6 единиц, сеть музеев – на 1 единицу, сеть библиотек – на 7 единиц, сеть детских школ по видам искусств – на 1 единицу.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Среднесписочная численность работников культуры в Новоси</w:t>
      </w:r>
      <w:r>
        <w:rPr>
          <w:rFonts w:ascii="Times New Roman" w:hAnsi="Times New Roman"/>
          <w:sz w:val="28"/>
          <w:szCs w:val="28"/>
        </w:rPr>
        <w:t xml:space="preserve">бирской области (без учета федеральных учреждений) в 2022 году составила 10727 человек. Численность основного персонала учреждений культуры в муниципальных районах Новосибирской области в настоящее время составляет 8255 человек (включая библиотечных и музе</w:t>
      </w:r>
      <w:r>
        <w:rPr>
          <w:rFonts w:ascii="Times New Roman" w:hAnsi="Times New Roman"/>
          <w:sz w:val="28"/>
          <w:szCs w:val="28"/>
        </w:rPr>
        <w:t xml:space="preserve">йных работников в составе учреждений клубного типа), из них с высшим образованием – 47,2% (с высшим профильным образованием – 30,2%), со средним профессиональным образованием – 41% (по профилю деятельности – 25,5%), имеют среднее общее образование – 11,8%.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государственных и муниципальных учреждениях культуры Новосибирской области работает 10062 клубных формирования, из них для детей до 14 лет – 4632 формирования, для молодежи от 14 до 35 лет –</w:t>
      </w:r>
      <w:r>
        <w:rPr>
          <w:rFonts w:ascii="Times New Roman" w:hAnsi="Times New Roman"/>
          <w:sz w:val="28"/>
          <w:szCs w:val="28"/>
        </w:rPr>
        <w:t xml:space="preserve"> 1943 формирования, где занимается 131 987 человек, из них дети до 14 лет – 58068 человек, молодежь от 14 до 35 лет – 25600 человек, число инклюзивных формирований, включающих в состав инвалидов и лиц с ОВЗ – 495, где занимается 6350 человек. Из общего чис</w:t>
      </w:r>
      <w:r>
        <w:rPr>
          <w:rFonts w:ascii="Times New Roman" w:hAnsi="Times New Roman"/>
          <w:sz w:val="28"/>
          <w:szCs w:val="28"/>
        </w:rPr>
        <w:t xml:space="preserve">ла коллективов самодеятельного народного творчества звание «народный» имеют 246 коллективов, в которых занимается 4590 человек; звание «образцовый» - 113 коллективов, в которых занимается 3401 человек; «заслуженный коллектив народного творчества» - 4 колле</w:t>
      </w:r>
      <w:r>
        <w:rPr>
          <w:rFonts w:ascii="Times New Roman" w:hAnsi="Times New Roman"/>
          <w:sz w:val="28"/>
          <w:szCs w:val="28"/>
        </w:rPr>
        <w:t xml:space="preserve">ктива, в которых занимается 77 человек; лауреатами международного конкурса (фестиваля) являются 546 коллективов, в которых занимается 7263 человека; лауреатами всероссийского конкурса (фестиваля) являются 387 коллективов, в которых занимается 4939 человек.</w:t>
      </w:r>
      <w:r/>
    </w:p>
    <w:p>
      <w:pPr>
        <w:ind w:firstLine="720"/>
        <w:jc w:val="both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Среднемесячная начисленная заработная плата работников государственных и муниципальных учреждений культуры и искусства Новосибирской области составляет 45,4 тыс. рублей. Отношение средней заработной платы рабо</w:t>
      </w:r>
      <w:r>
        <w:rPr>
          <w:rFonts w:ascii="Times New Roman" w:hAnsi="Times New Roman"/>
          <w:sz w:val="28"/>
          <w:szCs w:val="28"/>
        </w:rPr>
        <w:t xml:space="preserve">тников государственных и муниципальных учреждений культуры Новосибирской области к прогнозному значению среднемесячного дохода от трудовой деятельности по Новосибирской области по итогам 2022 года составило 100%. Необходимый объем средств на повышение зара</w:t>
      </w:r>
      <w:r>
        <w:rPr>
          <w:rFonts w:ascii="Times New Roman" w:hAnsi="Times New Roman"/>
          <w:sz w:val="28"/>
          <w:szCs w:val="28"/>
        </w:rPr>
        <w:t xml:space="preserve">ботной платы работников государственных и муниципальных учреждений культуры и достижение среднемесячной заработной платы работников государственных и муниципальных учреждений культуры уровня среднемесячного дохода от трудовой деятельности по Новосибирской </w:t>
      </w:r>
      <w:r>
        <w:rPr>
          <w:rFonts w:ascii="Times New Roman" w:hAnsi="Times New Roman"/>
          <w:sz w:val="28"/>
          <w:szCs w:val="28"/>
        </w:rPr>
        <w:t xml:space="preserve">области в 2022 году был предусмотрен Законом Новосибирской области от 23.12.2021 № 167-ОЗ «Об областном бюджете Новосибирской области на 2022 год и плановый период 2023 и 2024 годов».</w:t>
      </w:r>
      <w:r>
        <w:rPr>
          <w:rFonts w:ascii="Times New Roman" w:hAnsi="Times New Roman"/>
        </w:rPr>
      </w:r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2022 году в рамках реализации регионального проекта «Создание условий для реализации творческого потенциала нации («</w:t>
      </w:r>
      <w:r>
        <w:rPr>
          <w:rFonts w:ascii="Times New Roman" w:hAnsi="Times New Roman"/>
          <w:sz w:val="28"/>
          <w:szCs w:val="28"/>
        </w:rPr>
        <w:t xml:space="preserve">Творческие люди») (Новосибирская область)» национального проекта «Культура» осуществлена поддержка 25 лучших сельских учреждений культуры (13 учреждений клубного типа, 11 библиотек, 1 музей) и 25 сельских работников культуры на общую сумму 4,06 млн рублей.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рамках реализации регионального проекта «Обеспечение качественно нового уровня развития инфраструктуры культуры («Культурная среда») (Новосибирская область)» национального проекта «Культура» построен дом культуры на 50 посадочных мест в с. Веселый Кут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Купинского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и проведен капитальный ремонт дома культуры в с. Бобровка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Сузунского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района. 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Завершен начатый в 2020 году самый масштабный в регионе проект – реконструкция МБУК г. Новосибирска «Новосибирский городской драматический театр под руководством Сергея Афанасьева».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Завершены начатые в 2021 году капитальные ремонты двух детских школ искусств: МБОУ ДО города Новосибирска «Детская музыкальная школа № 5» и МБУ ДО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Посевнинская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детская школа искусств»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Черепановского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Начат новый трехгодичный проект – реконструкция учебного корпуса МБУ ДО «Детская школа искусств»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Купинского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(сдача – декабрь 2024 года).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Создано 6 муниципальных модельных библиотек на базе МКУК</w:t>
      </w:r>
      <w:r>
        <w:t xml:space="preserve"> 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Маслянинская</w:t>
      </w:r>
      <w:r>
        <w:rPr>
          <w:rFonts w:ascii="Times New Roman" w:hAnsi="Times New Roman"/>
          <w:sz w:val="28"/>
          <w:szCs w:val="28"/>
        </w:rPr>
        <w:t xml:space="preserve"> ЦБС» </w:t>
      </w:r>
      <w:r>
        <w:rPr>
          <w:rFonts w:ascii="Times New Roman" w:hAnsi="Times New Roman"/>
          <w:sz w:val="28"/>
          <w:szCs w:val="28"/>
        </w:rPr>
        <w:t xml:space="preserve">Маслянинского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МКУК города Новосибирска «ЦБС им. Л.Н. Толстого Октябрьского района», </w:t>
      </w:r>
      <w:r>
        <w:rPr>
          <w:rFonts w:ascii="Times New Roman" w:hAnsi="Times New Roman"/>
          <w:sz w:val="28"/>
          <w:szCs w:val="28"/>
        </w:rPr>
        <w:t xml:space="preserve">Новотырышинская</w:t>
      </w:r>
      <w:r>
        <w:rPr>
          <w:rFonts w:ascii="Times New Roman" w:hAnsi="Times New Roman"/>
          <w:sz w:val="28"/>
          <w:szCs w:val="28"/>
        </w:rPr>
        <w:t xml:space="preserve"> сельская библиотека МКУ «</w:t>
      </w:r>
      <w:r>
        <w:rPr>
          <w:rFonts w:ascii="Times New Roman" w:hAnsi="Times New Roman"/>
          <w:sz w:val="28"/>
          <w:szCs w:val="28"/>
        </w:rPr>
        <w:t xml:space="preserve">Колыванская</w:t>
      </w:r>
      <w:r>
        <w:rPr>
          <w:rFonts w:ascii="Times New Roman" w:hAnsi="Times New Roman"/>
          <w:sz w:val="28"/>
          <w:szCs w:val="28"/>
        </w:rPr>
        <w:t xml:space="preserve"> ЦБС», филиал «Библиотека-клуб им. Н.Н. Носова» МБУК ЦБС Кировского района города Новосибирска, филиал «Библиотека семейного чтения </w:t>
      </w:r>
      <w:r>
        <w:rPr>
          <w:rFonts w:ascii="Times New Roman" w:hAnsi="Times New Roman"/>
          <w:sz w:val="28"/>
          <w:szCs w:val="28"/>
        </w:rPr>
        <w:t xml:space="preserve">имю</w:t>
      </w:r>
      <w:r>
        <w:rPr>
          <w:rFonts w:ascii="Times New Roman" w:hAnsi="Times New Roman"/>
          <w:sz w:val="28"/>
          <w:szCs w:val="28"/>
        </w:rPr>
        <w:t xml:space="preserve"> Володи Дубинина» МКУК города Новосибирска «ЦБС им. Н.Г. Чернышевского Первомайского района», МКУК города Куйбышева Куйбышевского района Новосибирской области «Централизованная библиотечная система».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Музыкальными инструментами, оборудованием и учебной литературой оснащены три учреждения культуры – ГБУ ДО НСО «</w:t>
      </w:r>
      <w:r>
        <w:rPr>
          <w:rFonts w:ascii="Times New Roman" w:hAnsi="Times New Roman"/>
          <w:sz w:val="28"/>
          <w:szCs w:val="28"/>
        </w:rPr>
        <w:t xml:space="preserve">Маслянинская</w:t>
      </w:r>
      <w:r>
        <w:rPr>
          <w:rFonts w:ascii="Times New Roman" w:hAnsi="Times New Roman"/>
          <w:sz w:val="28"/>
          <w:szCs w:val="28"/>
        </w:rPr>
        <w:t xml:space="preserve"> детская школа искусств», ГАПОУ НСО «Новосибирский областной колледж культуры и искусств», МБУ ДО г. Новосибирска «Детская музыкальная школа № 1».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Оснащен оборудованием кинозал МБУК «Культурно досуговый центр» Куйбышевского района Новосибирской области.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отчетном году завершена реконструкция Дома культуры «Модерн»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Барабинского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 (разрешение на ввод объекта в эксплуатацию 31.08.2022). Продолжается строительство районного дома культуры на 400 мест в г. Карасуке. Завершение строительства планируется в 2023 году.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рамках мероприятий государственной програ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ммы Новосибирской области «Культура Новосибирской области» в 2022 году проводились мероприятия по капитальному ремонту 21 объекта культуры Новосибирской области на общую сумму 196,7 млн рублей, в том числе: в Куйбышевском районе отремонтированы клубы в с.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Кульча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п. Кондусла, с. Отрадное, отремонтирован клуб в с. Покровка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Чановского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проводились работы по капитальному ремонту в районном доме культуры «Юность»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р.п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 Колывань и сельском Доме культуры в с.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Кандаурово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Колыванского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завершен ремонт в с. Еланка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Усть-Таркского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завершены работы Дома культуры в с.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Набержное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Каргатского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отремонтирован клуб в с. Лекарственное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Тогучинского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Коченевском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районе отремонтирован клуб в п. Светлый. 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Продолжаются работы в МКУК «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Решетовский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клуб»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Кочковского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КДК г. Куйбышева и ЦБС г. Куйбышева, в Городском Доме культуры Татарского района, в «Центре культуры и досуга»,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Барабинского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 ремонтируется «Районный социально-культурный центр» им.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Жданько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Черепановского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района, завершается ремонт в с. Благодатное Карасукского района. 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 решению комиссии по предупреждению и ликвидации чрезвычайных ситуаций и обеспечению пожарной безопасности Новосибирской области проведены аварийно-восстановительные работы клубов в с.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Тычкино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Баганского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 и д.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Камышино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д.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Киргинцево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с. Рождественка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Купинского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района.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На территории Новосибирской области расположено 1437 памятников и мемориальных объектов, увековечивающих память о защитниках Отечества (далее – Памятники). В течении 2022 года реализованы мероприятия по сохранению памятников в </w:t>
      </w:r>
      <w:r>
        <w:rPr>
          <w:rFonts w:ascii="Times New Roman" w:hAnsi="Times New Roman"/>
          <w:sz w:val="28"/>
          <w:szCs w:val="28"/>
        </w:rPr>
        <w:t xml:space="preserve">Меретском</w:t>
      </w:r>
      <w:r>
        <w:rPr>
          <w:rFonts w:ascii="Times New Roman" w:hAnsi="Times New Roman"/>
          <w:sz w:val="28"/>
          <w:szCs w:val="28"/>
        </w:rPr>
        <w:t xml:space="preserve"> сельсовете </w:t>
      </w:r>
      <w:r>
        <w:rPr>
          <w:rFonts w:ascii="Times New Roman" w:hAnsi="Times New Roman"/>
          <w:sz w:val="28"/>
          <w:szCs w:val="28"/>
        </w:rPr>
        <w:t xml:space="preserve">Сузунского</w:t>
      </w:r>
      <w:r>
        <w:rPr>
          <w:rFonts w:ascii="Times New Roman" w:hAnsi="Times New Roman"/>
          <w:sz w:val="28"/>
          <w:szCs w:val="28"/>
        </w:rPr>
        <w:t xml:space="preserve"> района, </w:t>
      </w:r>
      <w:r>
        <w:rPr>
          <w:rFonts w:ascii="Times New Roman" w:hAnsi="Times New Roman"/>
          <w:sz w:val="28"/>
          <w:szCs w:val="28"/>
        </w:rPr>
        <w:t xml:space="preserve">Безменовском</w:t>
      </w:r>
      <w:r>
        <w:rPr>
          <w:rFonts w:ascii="Times New Roman" w:hAnsi="Times New Roman"/>
          <w:sz w:val="28"/>
          <w:szCs w:val="28"/>
        </w:rPr>
        <w:t xml:space="preserve"> сельсовете </w:t>
      </w:r>
      <w:r>
        <w:rPr>
          <w:rFonts w:ascii="Times New Roman" w:hAnsi="Times New Roman"/>
          <w:sz w:val="28"/>
          <w:szCs w:val="28"/>
        </w:rPr>
        <w:t xml:space="preserve">Черепановского</w:t>
      </w:r>
      <w:r>
        <w:rPr>
          <w:rFonts w:ascii="Times New Roman" w:hAnsi="Times New Roman"/>
          <w:sz w:val="28"/>
          <w:szCs w:val="28"/>
        </w:rPr>
        <w:t xml:space="preserve"> района и </w:t>
      </w:r>
      <w:r>
        <w:rPr>
          <w:rFonts w:ascii="Times New Roman" w:hAnsi="Times New Roman"/>
          <w:sz w:val="28"/>
          <w:szCs w:val="28"/>
        </w:rPr>
        <w:t xml:space="preserve">р.п</w:t>
      </w:r>
      <w:r>
        <w:rPr>
          <w:rFonts w:ascii="Times New Roman" w:hAnsi="Times New Roman"/>
          <w:sz w:val="28"/>
          <w:szCs w:val="28"/>
        </w:rPr>
        <w:t xml:space="preserve">. Чистоозерное Чистоозерного района.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рамках реализации федерального партийного проекта «Культ</w:t>
      </w:r>
      <w:r>
        <w:rPr>
          <w:rFonts w:ascii="Times New Roman" w:hAnsi="Times New Roman"/>
          <w:sz w:val="28"/>
          <w:szCs w:val="28"/>
        </w:rPr>
        <w:t xml:space="preserve">ура малой Родины» по направлению «Местный Дом культуры» 55 муниципальных домов культуры в 30 районах Новосибирской области были оснащены специализированным оборудованием (световое, звуковое оборудование), приобретены кресла в зрительный зал и одежда сцены.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Ежегодно библиотеки Новосибирской области комплектуются новыми документами, так в 2022 году в библиотеки поступило 339,4 тыс. экземпляров печ</w:t>
      </w:r>
      <w:r>
        <w:rPr>
          <w:rFonts w:ascii="Times New Roman" w:hAnsi="Times New Roman"/>
          <w:sz w:val="28"/>
          <w:szCs w:val="28"/>
        </w:rPr>
        <w:t xml:space="preserve">атных документов. Регулярно пополняется Сводный каталог библиотек Новосибирской области, осуществляется процесс оцифровки книг, газет и журналов, вносятся созданные полнотекстовые базы данных. В настоящее время в регионе действует сеть из 7 цифровых лабора</w:t>
      </w:r>
      <w:r>
        <w:rPr>
          <w:rFonts w:ascii="Times New Roman" w:hAnsi="Times New Roman"/>
          <w:sz w:val="28"/>
          <w:szCs w:val="28"/>
        </w:rPr>
        <w:t xml:space="preserve">торий на базе общедоступных библиотек, работающих по единой методике оцифровки и обработки цифровых копий. Фонд цифровых ресурсов, размещенный в электронных коллекциях общедоступных библиотек Новосибирской области, составляет более 227,7 тыс. документов. К</w:t>
      </w:r>
      <w:r>
        <w:rPr>
          <w:rFonts w:ascii="Times New Roman" w:hAnsi="Times New Roman"/>
          <w:sz w:val="28"/>
        </w:rPr>
        <w:t xml:space="preserve">оличество библиотек, подключенных к информационно-телекоммуникационной сети «Интернет», составляет 819 (или 96,4% от общего числа библиотек).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рамках реализации регионального проекта «</w:t>
      </w:r>
      <w:r>
        <w:rPr>
          <w:rFonts w:ascii="Times New Roman" w:hAnsi="Times New Roman"/>
          <w:sz w:val="28"/>
          <w:szCs w:val="28"/>
        </w:rPr>
        <w:t xml:space="preserve">Цифровизация</w:t>
      </w:r>
      <w:r>
        <w:rPr>
          <w:rFonts w:ascii="Times New Roman" w:hAnsi="Times New Roman"/>
          <w:sz w:val="28"/>
          <w:szCs w:val="28"/>
        </w:rPr>
        <w:t xml:space="preserve"> услуг и формирование информационного пространства в сфере культуры («Цифровая культура») (Новоси</w:t>
      </w:r>
      <w:r>
        <w:rPr>
          <w:rFonts w:ascii="Times New Roman" w:hAnsi="Times New Roman"/>
          <w:sz w:val="28"/>
          <w:szCs w:val="28"/>
        </w:rPr>
        <w:t xml:space="preserve">бирская область)» национального проекта «Культура» реализуется мероприятие «Оцифровка книжных памятников с возможностью включения в Национальную электронную библиотеку»: за 2019 год было оцифровано 50 книжных памятников; за 2020 год - 60, что на 10 памятни</w:t>
      </w:r>
      <w:r>
        <w:rPr>
          <w:rFonts w:ascii="Times New Roman" w:hAnsi="Times New Roman"/>
          <w:sz w:val="28"/>
          <w:szCs w:val="28"/>
        </w:rPr>
        <w:t xml:space="preserve">ков больше планового показателя; за 2021 год – 48 книжных памятников; за 2022 год – 60. Таким образом за 4 года реализации национального проекта «Культура» оцифровано 218 книжных памятников с возможностью их включения в Национальную электронную библиотеку.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Министерством культуры Новосибирской области в рамках государственной программы Новосибирской области «Культура Новосибирской области» при поддержке Губернатора Новосибирской области Травниковым А.А. </w:t>
      </w:r>
      <w:r>
        <w:rPr>
          <w:rFonts w:ascii="Times New Roman" w:hAnsi="Times New Roman"/>
          <w:sz w:val="28"/>
          <w:szCs w:val="28"/>
        </w:rPr>
        <w:t xml:space="preserve">осуществляются мероприятия по оснащению детских школ искусств музыкальными инструментами. Финансирование мероприятия по обеспечению детских школ искусств музыкальными инструментами на три года, начиная с 2021 года, ежегодно составляет 30 000,0 тыс. рублей.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Независимая оценка качества условий оказания услуг организациями культуры в 2022 </w:t>
      </w:r>
      <w:r>
        <w:rPr>
          <w:rFonts w:ascii="Times New Roman" w:hAnsi="Times New Roman"/>
          <w:sz w:val="28"/>
          <w:szCs w:val="28"/>
        </w:rPr>
        <w:t xml:space="preserve">году была проведена относительно 192 организаций культуры (190 учреждений клубного типа и 2 театра), из них 189 муниципальных и 3 государственных. Средний балл по интегральному значению составил 87,17 баллов. Оценку «отлично» получили 167 организаций культ</w:t>
      </w:r>
      <w:r>
        <w:rPr>
          <w:rFonts w:ascii="Times New Roman" w:hAnsi="Times New Roman"/>
          <w:sz w:val="28"/>
          <w:szCs w:val="28"/>
        </w:rPr>
        <w:t xml:space="preserve">уры (87%); оценку «хорошо» - 25 организаций культуры (13%). Рейтинг более 90 баллов имеют 60 организаций культуры. Все организации получили высокие баллы по критериям доброжелательность и вежливость работников организации, удовлетворенность условиями оказа</w:t>
      </w:r>
      <w:r>
        <w:rPr>
          <w:rFonts w:ascii="Times New Roman" w:hAnsi="Times New Roman"/>
          <w:sz w:val="28"/>
          <w:szCs w:val="28"/>
        </w:rPr>
        <w:t xml:space="preserve">ния услуг, комфортность условий предоставлений услуг, открытость и доступность информации об организации, комфортностью условий предоставления услуг и доступность услуг для инвалидов. Рейтинг по интегральному значению по типам организаций показал, что лиди</w:t>
      </w:r>
      <w:r>
        <w:rPr>
          <w:rFonts w:ascii="Times New Roman" w:hAnsi="Times New Roman"/>
          <w:sz w:val="28"/>
          <w:szCs w:val="28"/>
        </w:rPr>
        <w:t xml:space="preserve">руют учреждения клубного типа – 87,28 баллов. Рейтинг театров составляет 77,46 баллов. Организаций, получивших оценки менее 73 баллов, нет. Самый высокий балл получило МКУК «Культурно-досуговый центр» Северного района Новосибирской области – 97,48 баллов. 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Основными проблемами, сдерживающими развитие сферы культуры региона, которые будут решаться в 2023 году, являются: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– географическое неравенство</w:t>
      </w:r>
      <w:r>
        <w:rPr>
          <w:rFonts w:ascii="Times New Roman" w:hAnsi="Times New Roman"/>
          <w:sz w:val="28"/>
          <w:szCs w:val="28"/>
        </w:rPr>
        <w:t xml:space="preserve"> в доступе населения к культурным благам. Недостаток кинозалов, концертных, театральных и выставочных залов сдерживает продвижение вновь создаваемых творческих продуктов; актуальной является проблема отсутствия учреждений культуры в малонаселенных пунктах;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– высокий уровень изношенности зданий муниципальных учреждений культуры. В настоящее время из 1308 зданий муниципальных учреждений культуры, находящихся в оперативном пользовании, 351 требует капитального ремонта, 8 находятся в аварийном состоянии;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– слабое мате</w:t>
      </w:r>
      <w:r>
        <w:rPr>
          <w:rFonts w:ascii="Times New Roman" w:hAnsi="Times New Roman"/>
          <w:sz w:val="28"/>
          <w:szCs w:val="28"/>
        </w:rPr>
        <w:t xml:space="preserve">риально-техническое оснащение и низкий уровень информатизации учреждений культуры не позволяют создавать культурный продукт, отвечающий потребностям современного общества, снижают качество оказываемых услуг и сужают круг потребителей культурного продукта; 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– недостаток проектных мощностей существующих объектов культуры в муниципальных районах: сельских библиотек, учреждений клубного типа, детских школ искусств, музеев и выставочных залов, кинозалов и концертных залов;</w:t>
      </w:r>
      <w:r/>
    </w:p>
    <w:p>
      <w:pPr>
        <w:ind w:firstLine="72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 низкий уровень использ</w:t>
      </w:r>
      <w:r>
        <w:rPr>
          <w:rFonts w:ascii="Times New Roman" w:hAnsi="Times New Roman"/>
          <w:sz w:val="28"/>
          <w:szCs w:val="28"/>
        </w:rPr>
        <w:t xml:space="preserve">ования историко-культурного потенциала объектов культурного наследия, что связано с отсутствием развитой инфраструктуры, отвечающей современным требованиям организации, приема и ознакомления жителей и гостей Новосибирской области с историческим наследием; </w:t>
      </w:r>
      <w:r>
        <w:rPr>
          <w:rFonts w:ascii="Times New Roman" w:hAnsi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 недостатком музейных хранилищ и выставочных пространств на территории региона; </w:t>
      </w:r>
      <w:r>
        <w:rPr>
          <w:rFonts w:ascii="Times New Roman" w:hAnsi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</w:t>
      </w:r>
      <w:r>
        <w:rPr>
          <w:rFonts w:ascii="Times New Roman" w:hAnsi="Times New Roman"/>
          <w:sz w:val="28"/>
          <w:szCs w:val="28"/>
        </w:rPr>
        <w:t xml:space="preserve"> недостаточным уровнем обеспеченности сохранности объектов культурного наследия и отсутствием специализированных реставрационно-художественных мастерских, а также дефицитом подготовленных специалистов-реставраторов и нехваткой оборудования для реставрации;</w:t>
      </w:r>
      <w:r>
        <w:rPr>
          <w:rFonts w:ascii="Times New Roman" w:hAnsi="Times New Roman"/>
          <w:sz w:val="28"/>
          <w:szCs w:val="28"/>
        </w:rPr>
      </w:r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– кадровые проблемы в учреждениях культуры: около четверти специалистов не имеют сп</w:t>
      </w:r>
      <w:r>
        <w:rPr>
          <w:rFonts w:ascii="Times New Roman" w:hAnsi="Times New Roman"/>
          <w:sz w:val="28"/>
          <w:szCs w:val="28"/>
        </w:rPr>
        <w:t xml:space="preserve">ециального образования, одной из наиболее острых проблем остается дефицит молодых управленческих и творческих кадров; недостаточно социальных мер по стимулированию закрепления молодых специалистов в профессии, повышению престижа профессий в сфере культуры.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Важнейшее место в работе по созданию благоприятных условий для повышения эффективности использования потенциала сферы культуры отведено сельским домам культуры, от работы которых зависит не только развитие творческих</w:t>
      </w:r>
      <w:r>
        <w:rPr>
          <w:rFonts w:ascii="Times New Roman" w:hAnsi="Times New Roman"/>
          <w:sz w:val="28"/>
          <w:szCs w:val="28"/>
        </w:rPr>
        <w:t xml:space="preserve"> способностей жителей области, но и гармонизация социально-экономического развития региона, активизация культурного потенциала территорий и улучшение качества жизни. На сегодняшний день в учреждения культуры требуются аккомпаниаторы, концертмейстеры, хорео</w:t>
      </w:r>
      <w:r>
        <w:rPr>
          <w:rFonts w:ascii="Times New Roman" w:hAnsi="Times New Roman"/>
          <w:sz w:val="28"/>
          <w:szCs w:val="28"/>
        </w:rPr>
        <w:t xml:space="preserve">графы, звукорежиссеры и светотехники, методисты, руководители кружков и режиссеры. В связи с этим, органам местного самоуправления муниципальных образований необходимо уделить особое внимание оказанию поддержки молодых специалистов в сельской местности, в </w:t>
      </w:r>
      <w:r>
        <w:rPr>
          <w:rFonts w:ascii="Times New Roman" w:hAnsi="Times New Roman"/>
          <w:sz w:val="28"/>
          <w:szCs w:val="28"/>
        </w:rPr>
        <w:t xml:space="preserve">т.ч</w:t>
      </w:r>
      <w:r>
        <w:rPr>
          <w:rFonts w:ascii="Times New Roman" w:hAnsi="Times New Roman"/>
          <w:sz w:val="28"/>
          <w:szCs w:val="28"/>
        </w:rPr>
        <w:t xml:space="preserve">., предоставлению служебного жилья, материальной поддержке (возмещение затрат по коммунальным услугам) и другим мерам поддержки.</w:t>
      </w:r>
      <w:r/>
    </w:p>
    <w:p>
      <w:pPr>
        <w:ind w:firstLine="720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целях обеспечения выполнения условий финансирования в рамках государственной программы ремонта памятников и</w:t>
      </w:r>
      <w:r>
        <w:rPr>
          <w:rFonts w:ascii="Times New Roman" w:hAnsi="Times New Roman"/>
          <w:sz w:val="28"/>
          <w:szCs w:val="28"/>
        </w:rPr>
        <w:t xml:space="preserve"> других мемориальных объектов, увековечивающих память о новосибирцах – защитниках Отечества, рекомендовать муниципальным образованиям: оформить в собственность муниципального образования земельные участки и мемориальные объекты, находящиеся на территории м</w:t>
      </w:r>
      <w:r>
        <w:rPr>
          <w:rFonts w:ascii="Times New Roman" w:hAnsi="Times New Roman"/>
          <w:sz w:val="28"/>
          <w:szCs w:val="28"/>
        </w:rPr>
        <w:t xml:space="preserve">униципального образования и требующие ремонтных работ; разработать проектно-сметную документацию на проведение работ по ремонту, реконструкции или сооружению мемориальных объектов; получить положительное заключение экспертизы проектно-сметной документации.</w:t>
      </w:r>
      <w:r/>
    </w:p>
    <w:p>
      <w:pPr>
        <w:ind w:firstLine="72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Потребность в расширении сети городских детских школ искусств по видам искусств посредством строительства при 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софинансировании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 за счет средств федерального и регионального бюджетов составляет в Новосибирской области 14 школ, из них миниму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м 4 детские школы искусств с количеством обучающихся до 700 человек в каждой необходимо построить в городе Новосибирске. Это будет способствовать открытию новых отделений, увеличению количества обучающихся, реализации предпрофессиональных образовательных п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рограмм в области искусств, а наличие современных концертных залов на базе новых детских школ искусств позволит активно развивать культурно-просветительскую и творческую деятельность детских школ искусств. Увеличение количества обучающихся по предпрофессио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нальным образовательным программам в области искусств в Новосибирской области, направление дополнительных финансовых средств на приобретение оборудования и музыкальных инструментов благоприятно отразится на уровне удовлетворенности потребности населения в 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художественно-эстетическом и предпрофессиональном образовании детей в области различных видов искусств.</w:t>
      </w:r>
      <w:r>
        <w:rPr>
          <w:rFonts w:ascii="Times New Roman" w:hAnsi="Times New Roman"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</w:r>
      <w:r>
        <w:rPr>
          <w:rFonts w:ascii="Times New Roman" w:hAnsi="Times New Roman" w:cs="Times New Roman"/>
          <w:color w:val="auto"/>
        </w:rPr>
      </w:r>
    </w:p>
    <w:p>
      <w:pPr>
        <w:pStyle w:val="730"/>
        <w:jc w:val="center"/>
        <w:spacing w:before="0" w:line="240" w:lineRule="auto"/>
      </w:pPr>
      <w:r/>
      <w:bookmarkStart w:id="8" w:name="_Toc8"/>
      <w:r>
        <w:rPr>
          <w:rFonts w:ascii="Times New Roman" w:hAnsi="Times New Roman" w:cs="Times New Roman"/>
          <w:color w:val="auto"/>
        </w:rPr>
        <w:t xml:space="preserve">1.5. Физическая культура и спорт</w:t>
      </w:r>
      <w:bookmarkEnd w:id="8"/>
      <w:r/>
      <w:r/>
    </w:p>
    <w:p>
      <w:pPr>
        <w:pStyle w:val="930"/>
        <w:ind w:firstLine="708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Государственная политика в сфере физической культуры и спорта в 2022 году осуществлялась в соответствии с поставленной стратегической целью – вовлечение максимального количества населения региона в систематические занятия физической культурой и спортом.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Были реализованы мероприятия по совершенствованию спортивно-массовой и физкультурно-оздоровительной работы среди всех категорий и возрастных групп населения Новосибирской области, развитию детско-юношеского спорта и спорта высших д</w:t>
      </w:r>
      <w:r>
        <w:rPr>
          <w:color w:val="000000"/>
          <w:sz w:val="28"/>
          <w:szCs w:val="28"/>
          <w:highlight w:val="white"/>
        </w:rPr>
        <w:t xml:space="preserve">остижений, развитию инфраструктуры массового спорта и совершенствованию кадровой политики в рамках реализации государственной программы Новосибирской области «Развитие физической культуры и спорта в Новосибирской области», утвержденной постановлением Прави</w:t>
      </w:r>
      <w:r>
        <w:rPr>
          <w:color w:val="000000"/>
          <w:sz w:val="28"/>
          <w:szCs w:val="28"/>
          <w:highlight w:val="white"/>
        </w:rPr>
        <w:t xml:space="preserve">тельства Новосибирской области от 23.01.2015 № 24-п (далее – государственная программа «Развитие физической культуры»), регионального проекта «Спорт-норма жизни» в рамках национального проекта «Демография» (далее – региональный проект «Спорт-норма жизни»).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результ</w:t>
      </w:r>
      <w:r>
        <w:rPr>
          <w:color w:val="000000"/>
          <w:sz w:val="28"/>
          <w:szCs w:val="28"/>
          <w:highlight w:val="white"/>
        </w:rPr>
        <w:t xml:space="preserve">ате планомерной работы по развитию массового спорта число жителей, занимающихся на постоянной основе физической культурой и спортом, на 1 января 2023 года составило более 1,2 млн человек, или 49,2% от общего числа активного населения Новосибирской области.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2022 году в Новосибирск</w:t>
      </w:r>
      <w:r>
        <w:rPr>
          <w:color w:val="000000"/>
          <w:sz w:val="28"/>
          <w:szCs w:val="28"/>
          <w:highlight w:val="white"/>
        </w:rPr>
        <w:t xml:space="preserve">ой области было проведено 666 мероприятий, из них: 127 мероприятий всероссийского уровня, 126 – межрегионального уровня, 3 – международного уровня, а также 410 областных спортивно-массовых мероприятий, всего количество участников составило 118 891 человек.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отчетном году состоялись: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</w:t>
      </w:r>
      <w:r>
        <w:rPr>
          <w:color w:val="000000"/>
          <w:sz w:val="28"/>
          <w:szCs w:val="28"/>
          <w:highlight w:val="white"/>
          <w:lang w:val="en-US"/>
        </w:rPr>
        <w:t xml:space="preserve"> </w:t>
      </w:r>
      <w:r>
        <w:rPr>
          <w:color w:val="000000"/>
          <w:sz w:val="28"/>
          <w:szCs w:val="28"/>
          <w:highlight w:val="white"/>
        </w:rPr>
        <w:t xml:space="preserve">ХL открытая Всероссийская массовая лыжная гонка «Лыжня России»;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Всероссийское соревнование на «Приз олимпийского чемпиона В.Ф. </w:t>
      </w:r>
      <w:r>
        <w:rPr>
          <w:color w:val="000000"/>
          <w:sz w:val="28"/>
          <w:szCs w:val="28"/>
          <w:highlight w:val="white"/>
        </w:rPr>
        <w:t xml:space="preserve">Маматова</w:t>
      </w:r>
      <w:r>
        <w:rPr>
          <w:color w:val="000000"/>
          <w:sz w:val="28"/>
          <w:szCs w:val="28"/>
          <w:highlight w:val="white"/>
        </w:rPr>
        <w:t xml:space="preserve">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Всероссийское соревнование по фехтованию «Мастерский»;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Всероссийское соревнование по фехтованию на приз четырехкратного олимпийского чемпиона С.А. Позднякова;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Всероссийские соревнования по дзюдо «Дружба народов»;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Кубок России по </w:t>
      </w:r>
      <w:r>
        <w:rPr>
          <w:color w:val="000000"/>
          <w:sz w:val="28"/>
          <w:szCs w:val="28"/>
          <w:highlight w:val="white"/>
        </w:rPr>
        <w:t xml:space="preserve">киокусинкай</w:t>
      </w:r>
      <w:r>
        <w:rPr>
          <w:color w:val="000000"/>
          <w:sz w:val="28"/>
          <w:szCs w:val="28"/>
          <w:highlight w:val="white"/>
        </w:rPr>
        <w:t xml:space="preserve">; всероссийское соревнование по биатлону «Кубок А. </w:t>
      </w:r>
      <w:r>
        <w:rPr>
          <w:color w:val="000000"/>
          <w:sz w:val="28"/>
          <w:szCs w:val="28"/>
          <w:highlight w:val="white"/>
        </w:rPr>
        <w:t xml:space="preserve">Богалий</w:t>
      </w:r>
      <w:r>
        <w:rPr>
          <w:color w:val="000000"/>
          <w:sz w:val="28"/>
          <w:szCs w:val="28"/>
          <w:highlight w:val="white"/>
        </w:rPr>
        <w:t xml:space="preserve">»;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Всероссийские соревнования по каратэ «Кубок Успеха»;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Всероссийские соревнования по сноуборду памяти Полины Петроченко;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- 75 легкоатлетическая эстафета памяти маршала Александра Ивановича </w:t>
      </w:r>
      <w:r>
        <w:rPr>
          <w:color w:val="000000"/>
          <w:sz w:val="28"/>
          <w:szCs w:val="28"/>
          <w:highlight w:val="white"/>
        </w:rPr>
        <w:t xml:space="preserve">Покрышкина</w:t>
      </w:r>
      <w:r>
        <w:rPr>
          <w:color w:val="000000"/>
          <w:sz w:val="28"/>
          <w:szCs w:val="28"/>
          <w:highlight w:val="white"/>
        </w:rPr>
        <w:t xml:space="preserve">, посвященная 77-й годовщине Победы в Великой Отечественной войне;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Всероссийский полумарафон «</w:t>
      </w:r>
      <w:r>
        <w:rPr>
          <w:color w:val="000000"/>
          <w:sz w:val="28"/>
          <w:szCs w:val="28"/>
          <w:highlight w:val="white"/>
        </w:rPr>
        <w:t xml:space="preserve">ЗаБег</w:t>
      </w:r>
      <w:r>
        <w:rPr>
          <w:color w:val="000000"/>
          <w:sz w:val="28"/>
          <w:szCs w:val="28"/>
          <w:highlight w:val="white"/>
        </w:rPr>
        <w:t xml:space="preserve">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XXXVI летние сельские спортивные игры Новосибирской области, посвященные 85-летию образования Новосибирской области;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региональный авиационный спортивный фестиваль «БУДЕМ ЖИТЬ!», посвященный 77-й годовщине Победы в Великой Отечественной войне;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Всероссийский день бега «Кросс нации»;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- Всероссийские соревнования по греко-римской борьбе «СИЛА ТРАДИЦИЙ»;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международные соревнования по каратэ «Кубок маршала А.И. </w:t>
      </w:r>
      <w:r>
        <w:rPr>
          <w:color w:val="000000"/>
          <w:sz w:val="28"/>
          <w:szCs w:val="28"/>
          <w:highlight w:val="white"/>
        </w:rPr>
        <w:t xml:space="preserve">Покрышкина</w:t>
      </w:r>
      <w:r>
        <w:rPr>
          <w:color w:val="000000"/>
          <w:sz w:val="28"/>
          <w:szCs w:val="28"/>
          <w:highlight w:val="white"/>
        </w:rPr>
        <w:t xml:space="preserve">»; 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color w:val="000000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ХII Всероссийские соревнования «Золотая ласта» и другие.</w:t>
      </w:r>
      <w:r>
        <w:rPr>
          <w:color w:val="000000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</w:r>
    </w:p>
    <w:p>
      <w:pPr>
        <w:ind w:firstLine="709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  <w:sectPr>
          <w:footnotePr/>
          <w:endnotePr/>
          <w:type w:val="nextPage"/>
          <w:pgSz w:w="11906" w:h="16838" w:orient="portrait"/>
          <w:pgMar w:top="1134" w:right="567" w:bottom="284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5200" distR="115200" simplePos="0" relativeHeight="251754496" behindDoc="0" locked="0" layoutInCell="1" allowOverlap="1">
            <wp:simplePos x="0" y="0"/>
            <wp:positionH relativeFrom="column">
              <wp:posOffset>632691</wp:posOffset>
            </wp:positionH>
            <wp:positionV relativeFrom="paragraph">
              <wp:posOffset>143423</wp:posOffset>
            </wp:positionV>
            <wp:extent cx="9066068" cy="5779036"/>
            <wp:effectExtent l="4762" t="4762" r="4762" b="4762"/>
            <wp:wrapTight wrapText="bothSides">
              <wp:wrapPolygon edited="1">
                <wp:start x="0" y="0"/>
                <wp:lineTo x="21600" y="0"/>
                <wp:lineTo x="21600" y="21600"/>
                <wp:lineTo x="0" y="21600"/>
              </wp:wrapPolygon>
            </wp:wrapTight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15"/>
        <w:jc w:val="center"/>
        <w:spacing w:after="0" w:line="240" w:lineRule="auto"/>
        <w:rPr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sectPr>
          <w:footnotePr/>
          <w:endnotePr/>
          <w:type w:val="nextPage"/>
          <w:pgSz w:w="16838" w:h="11906" w:orient="landscape"/>
          <w:pgMar w:top="1418" w:right="1134" w:bottom="567" w:left="284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Приоритетной задачей в 2022 году по реализации государственной политики в сфере физи</w:t>
      </w:r>
      <w:r>
        <w:rPr>
          <w:color w:val="000000"/>
          <w:sz w:val="28"/>
          <w:szCs w:val="28"/>
          <w:highlight w:val="white"/>
        </w:rPr>
        <w:t xml:space="preserve">ческой культуры и спорта на территории региона являлась реализация Всероссийского физкультурно-спортивного комплекса «Готов к труду и обороне» (далее – комплекс ГТО), введенного на территории Российской Федерации по Указу Президента РФ от 24.03.2014 № 172.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рамках календарного плана официальных физкультурных </w:t>
      </w:r>
      <w:r>
        <w:rPr>
          <w:color w:val="000000"/>
          <w:sz w:val="28"/>
          <w:szCs w:val="28"/>
          <w:highlight w:val="white"/>
        </w:rPr>
        <w:t xml:space="preserve">мероприятий и спортивных мероприятий Новосибирской области, в том числе включающего в себя физкультурные мероприятия и спортивные мероприятия по реализации комплекса ГТО на 2022 год, календарных планов муниципальных районов и городских округов Новосибирско</w:t>
      </w:r>
      <w:r>
        <w:rPr>
          <w:color w:val="000000"/>
          <w:sz w:val="28"/>
          <w:szCs w:val="28"/>
          <w:highlight w:val="white"/>
        </w:rPr>
        <w:t xml:space="preserve">й области совместно с федерациями по видам спорта с участием детей было организовано и проведено около 2 тыс. мероприятий, в которых приняли участие более 150 тыс. детей, более 810 мероприятий для граждан старшего возраста с участием более 26 тыс. человек.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отчетном год</w:t>
      </w:r>
      <w:r>
        <w:rPr>
          <w:color w:val="000000"/>
          <w:sz w:val="28"/>
          <w:szCs w:val="28"/>
          <w:highlight w:val="white"/>
        </w:rPr>
        <w:t xml:space="preserve">у в рамках реализации мероприятий по поэтапному внедрению комплекса ГТО на территории Новосибирской области были созданы и осуществляли свою деятельность 40 центров тестирования, которыми проведено более 798 мероприятий по оценке выполнения нормативов комп</w:t>
      </w:r>
      <w:r>
        <w:rPr>
          <w:color w:val="000000"/>
          <w:sz w:val="28"/>
          <w:szCs w:val="28"/>
          <w:highlight w:val="white"/>
        </w:rPr>
        <w:t xml:space="preserve">лекса ГТО, в том числе семь областных фестивалей комплекса ГТО, в которых приняли участие 46 970 человек, из них 25 887 получили знаки отличия ГТО, в том числе: золотой знак – 9 693 человека, серебряный знак – 9 198 человек, бронзовый знак – 6 996 человек.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Участие в данных мероприятиях приняли 1 390 человек старшего возраста, из них 875 человек получили знаки отличия ГТО, а также 35 385 детей (6–17 лет), из которых 21 375 детей получили знаки отличия ГТО.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Одним из важных и эффективных мероприятий по развитию адаптивной физической культуры и спорта стало открытие центров тестирования Всероссийского физкультурно-спортивного комплекса «Готов к труду и обор</w:t>
      </w:r>
      <w:r>
        <w:rPr>
          <w:color w:val="000000"/>
          <w:sz w:val="28"/>
          <w:szCs w:val="28"/>
          <w:highlight w:val="white"/>
        </w:rPr>
        <w:t xml:space="preserve">оне» (ГТО) для инвалидов и лиц с ограниченными возможностями здоровья (в соответствии с постановлением Правительства РФ от 06.03.2018 № 231 «О внесении изменений в Положение о Всероссийском физкультурно-спортивном комплексе Готов к труду и обороне (ГТО)»).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По итогам 2022 года 783 инвалида и лиц с ограниченными возможностями здоровья приняли участие в выполнении нормативов комплекса ГТО, из них 571 человек получили знаки отличия ГТО.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2022 году продолжила свою деятельность областная общественная организация студенческого спорта «Буревестник», объединяющая высшие учебные</w:t>
      </w:r>
      <w:r>
        <w:rPr>
          <w:color w:val="000000"/>
          <w:sz w:val="28"/>
          <w:szCs w:val="28"/>
          <w:highlight w:val="white"/>
        </w:rPr>
        <w:t xml:space="preserve"> заведения для более качественной работы со студентами и профессорско-преподавательским составом высших учебных заведений, в которых обучаются более 69 тыс. студентов. Организация входит в Региональную общественную организацию Российский студенческий Союз.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рамках образовательной программы</w:t>
      </w:r>
      <w:r>
        <w:rPr>
          <w:color w:val="000000"/>
          <w:sz w:val="28"/>
          <w:szCs w:val="28"/>
          <w:highlight w:val="white"/>
        </w:rPr>
        <w:t xml:space="preserve"> по физической культуре и спорту, в спортивных секциях вузов по 18 видам спорта занимались 4 590 студентов, в том числе настольным теннисом, волейболом, баскетболом, легкой атлетикой, плаванием, аэробикой, лыжными гонками, мини-футболом, тяжелой атлетикой.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Состоялась областная Универсиада среди студентов высших учебных заведений Новосибирской области (далее – Универсиада). В 2021–2022 учебном </w:t>
      </w:r>
      <w:r>
        <w:rPr>
          <w:color w:val="000000"/>
          <w:sz w:val="28"/>
          <w:szCs w:val="28"/>
          <w:highlight w:val="white"/>
        </w:rPr>
        <w:t xml:space="preserve">году по 20 видам спорта прошла 45 Универсиада, в которой приняли участие 2 900 человек из 14 вузов и ГАПОУ НСО «Новосибирское училище (колледж) олимпийского резерва».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2022 году активными занятиями физической культурой </w:t>
      </w:r>
      <w:r>
        <w:rPr>
          <w:color w:val="000000"/>
          <w:sz w:val="28"/>
          <w:szCs w:val="28"/>
          <w:highlight w:val="white"/>
        </w:rPr>
        <w:t xml:space="preserve">и спортом занимались более 109 тыс. человек пенсионного и пожилого возраста. Во всех районах Новосибирской области были созданы клубы ветеранов и любителей физической культуры, с данной категорией людей проводились оздоровительные и спортивные мероприятия.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Состоялась «XI летняя Спартакиада пенсионеров Нов</w:t>
      </w:r>
      <w:r>
        <w:rPr>
          <w:color w:val="000000"/>
          <w:sz w:val="28"/>
          <w:szCs w:val="28"/>
          <w:highlight w:val="white"/>
        </w:rPr>
        <w:t xml:space="preserve">осибирской области, посвященная 85-летию образования Новосибирской области и 50-летию образования Новосибирской областной ветеранской организации», в которой приняло участие 30 сборных команд муниципальных районов и городских округов Новосибирской области.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Сборная команда Новосибирской области в финальном этапе VII Спартакиады пенсионеров России, которая проходила в г. Тольятти Самарской области, заняла 21 общекомандное место из 75 субъектов РФ.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отчетном году большая часть мероприятий по привлечению граждан пожилого возраста к участию в общественной жизни, пр</w:t>
      </w:r>
      <w:r>
        <w:rPr>
          <w:color w:val="000000"/>
          <w:sz w:val="28"/>
          <w:szCs w:val="28"/>
          <w:highlight w:val="white"/>
        </w:rPr>
        <w:t xml:space="preserve">опаганде активного долголетия и здорового образа жизни проходила совместно с Советом ветеранов физической культуры и спорта Новосибирской области, в который входят 35 советов ветеранов спорта муниципальных районов и городских округов Новосибирской области.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В 2022 году численность спортсменов Новосибирской области, включенных в составы спортивных сборных команд РФ, составила 660 человек.</w:t>
      </w:r>
      <w:r>
        <w:rPr>
          <w:highlight w:val="white"/>
        </w:rPr>
      </w:r>
    </w:p>
    <w:p>
      <w:pPr>
        <w:pStyle w:val="930"/>
        <w:ind w:firstLine="709"/>
        <w:jc w:val="both"/>
        <w:spacing w:before="0" w:beforeAutospacing="0" w:after="0" w:afterAutospacing="0"/>
        <w:rPr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Сп</w:t>
      </w:r>
      <w:r>
        <w:rPr>
          <w:color w:val="000000"/>
          <w:sz w:val="28"/>
          <w:szCs w:val="28"/>
          <w:highlight w:val="white"/>
        </w:rPr>
        <w:t xml:space="preserve">ортсменами Новосибирской области на официальных чемпионатах, первенствах, этапах Кубков мира и Европы, международных и всероссийских соревнованиях в 2022 году было завоевано 3 792 медали, в том числе: золотых – 1 343, серебряных – 1 126, бронзовых – 1 323.</w:t>
      </w:r>
      <w:r>
        <w:rPr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</w:rPr>
      </w:pPr>
      <w:r/>
      <w:bookmarkStart w:id="9" w:name="_Toc9"/>
      <w:r>
        <w:rPr>
          <w:rFonts w:ascii="Times New Roman" w:hAnsi="Times New Roman" w:cs="Times New Roman"/>
          <w:color w:val="auto"/>
        </w:rPr>
        <w:t xml:space="preserve">1.6. Жилищно-коммунальное хозяйство</w:t>
      </w:r>
      <w:bookmarkEnd w:id="9"/>
      <w:r/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Жилищно-коммунальное хозяйство является одной из основных сфер жизнеобеспечения Новосибирской области. Обслуживаемый предприятиями жилищно-коммунального хозяйства Новосибирской области жилищный фонд составляет 78 128,99 тыс. кв. м.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жилищно-коммунальных услуг Новосибирской области, предоставленных населению за 2022 год, составил: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теплоснабжению – 9 066,4 тыс. Гкал;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водоснабжению – 111 885,0 тыс. куб. м;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водоотведению – 114 064,1 тыс. куб. м.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организаций, предоставляющих услуги в сфере жилищно-коммунального хозяйства, 555 единицы, из них: муниципальной и государственной формы собственности – 210 ед. (38%), частной </w:t>
      </w:r>
      <w:r>
        <w:rPr>
          <w:rFonts w:ascii="Times New Roman" w:hAnsi="Times New Roman" w:cs="Times New Roman"/>
          <w:sz w:val="28"/>
          <w:szCs w:val="28"/>
        </w:rPr>
        <w:t xml:space="preserve">формы собственности с долей участия в уставном капитале субъектов Российской Федерации и (или) муниципальных образований не более 25% - 345 ед. (62%). Доля убыточных организаций жилищно-коммунального хозяйства составляет 36,6%. от общего числа организаций.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Региональной программы капиталь</w:t>
      </w:r>
      <w:r>
        <w:rPr>
          <w:rFonts w:ascii="Times New Roman" w:hAnsi="Times New Roman" w:cs="Times New Roman"/>
          <w:sz w:val="28"/>
          <w:szCs w:val="28"/>
        </w:rPr>
        <w:t xml:space="preserve">ного ремонта общего имущества в многоквартирных домах, расположенных на территории Новосибирской области, на 2014-2043 годы (далее – Региональная программа) в 2022 году осуществлялась в соответствии с краткосрочным планом реализации региональной программы.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указанный период произведен капитальный ремонт общего имущества в 429 многоквартирных домах, расположенных на территории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Планирование краткосрочного плана реализации Региональной программы в 2022</w:t>
      </w:r>
      <w:r>
        <w:rPr>
          <w:rFonts w:ascii="Times New Roman" w:hAnsi="Times New Roman" w:cs="Times New Roman"/>
          <w:sz w:val="28"/>
          <w:szCs w:val="28"/>
        </w:rPr>
        <w:t xml:space="preserve"> году осуществлялось с учетом комплексного подхода выполнения работ по капитальному ремонту и финансовых возможностей регионального оператора, на основании прогнозируемого объема сбора за капитальный ремонт и неизрасходованного остатка предыдущего периода.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стоимость мероприятий, реализованных в рамках Региональной программы, в 2022 году составила 2,29 млрд рублей за счет всех источников финансирования. Из областного </w:t>
      </w:r>
      <w:r>
        <w:rPr>
          <w:rFonts w:ascii="Times New Roman" w:hAnsi="Times New Roman" w:cs="Times New Roman"/>
          <w:sz w:val="28"/>
          <w:szCs w:val="28"/>
        </w:rPr>
        <w:t xml:space="preserve">бюджета в 2022 году финансовая поддержка в сумме 23,6 млн рублей на реализацию мероприятий по замене лифтового оборудования в многоквартирных домах и на капитальный ремонт общего имущества в многоквартирных домах, являющихся объектами культурного наследия.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Рекомендации для органов местного самоуправления: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заблаговременное и более тщательное п</w:t>
      </w:r>
      <w:r>
        <w:rPr>
          <w:rFonts w:ascii="Times New Roman" w:hAnsi="Times New Roman" w:cs="Times New Roman"/>
          <w:sz w:val="28"/>
          <w:szCs w:val="28"/>
        </w:rPr>
        <w:t xml:space="preserve">роведение осмотров многоквартирных домов с целью более качественной подготовки и актуализации технических заданий на капитальный ремонт общего имущества в многоквартирных домах, представления достоверных сведений об общем имуществе в многоквартирных домах;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повышение контроля за качеством строительно-монтажных работ;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заблаговременно осуществлять подготовку к реализации программных мероприятий, оценку состояния рынка жилья для принятия решения о</w:t>
      </w:r>
      <w:r>
        <w:rPr>
          <w:rFonts w:ascii="Times New Roman" w:hAnsi="Times New Roman" w:cs="Times New Roman"/>
          <w:sz w:val="28"/>
          <w:szCs w:val="28"/>
        </w:rPr>
        <w:t xml:space="preserve"> целесообразности строительства жилых помещений, приобретение жилых помещений у застройщика, в том числе в целях последующего предоставления гражданам по договорам найма жилых помещений социального использования, либо приобретения на вторичном рынке жилья;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мероприятия по переселению граждан из аварийного жилищного фонда, осуществлялись в рамках: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рамках подпрограммы «Безопасность жилищно-коммунального хозяйства» государственной программы НСО «Жилищно</w:t>
      </w:r>
      <w:r>
        <w:rPr>
          <w:rFonts w:ascii="Times New Roman" w:hAnsi="Times New Roman" w:cs="Times New Roman"/>
          <w:sz w:val="28"/>
          <w:szCs w:val="28"/>
        </w:rPr>
        <w:t xml:space="preserve">-коммунальное хозяйство НСО» направлено 188,2 млн рублей, в том числе за счет средств областного бюджета 175,8 млн рублей, местных бюджетов 12,4 млн рублей для расселения 3,413 тыс. кв. м., в результате 197 человек переселено из аварийного жилищного фонда;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регионального проекта «Обеспечение устойчивого сокращения непригодного для проживания жил</w:t>
      </w:r>
      <w:r>
        <w:rPr>
          <w:rFonts w:ascii="Times New Roman" w:hAnsi="Times New Roman" w:cs="Times New Roman"/>
          <w:sz w:val="28"/>
          <w:szCs w:val="28"/>
        </w:rPr>
        <w:t xml:space="preserve">ищного фонда» национального проекта «Жилье и городская среда» Новосибирской области удалось превысить исполнение намеченных Минстроем РФ целевых показателей, фактически расселив с начала реализации регионального проекта 91,82 тыс. кв. м аварийного жилья и </w:t>
      </w:r>
      <w:r>
        <w:rPr>
          <w:rFonts w:ascii="Times New Roman" w:hAnsi="Times New Roman" w:cs="Times New Roman"/>
          <w:sz w:val="28"/>
          <w:szCs w:val="28"/>
        </w:rPr>
        <w:t xml:space="preserve">5,950 тыс. человек при плане 79,50 тыс. кв. м аварийного жилья и 4,430 тыс. человек. Мероприятия осуществлялись за счет средств публично-правовой компании «Фонд ра</w:t>
      </w:r>
      <w:r>
        <w:rPr>
          <w:rFonts w:ascii="Times New Roman" w:hAnsi="Times New Roman" w:cs="Times New Roman"/>
          <w:sz w:val="28"/>
          <w:szCs w:val="28"/>
        </w:rPr>
        <w:t xml:space="preserve">звития территорий» (1 357,00 млн рублей), за счет средств областного бюджета (259,50 млн рублей), за счет средств местных бюджетов (89,73 млн рублей) и за счет средств строительных организаций в рамках заключенных договоров развития застроенных территорий.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жилищно-коммунальной сфере продолжена реорганизация системы управления, направленная на активное привлечение граждан к управлению сво</w:t>
      </w:r>
      <w:r>
        <w:rPr>
          <w:rFonts w:ascii="Times New Roman" w:hAnsi="Times New Roman" w:cs="Times New Roman"/>
          <w:sz w:val="28"/>
          <w:szCs w:val="28"/>
        </w:rPr>
        <w:t xml:space="preserve">ей собственностью. Одним из этапов реформирования ЖКХ стало укрупнение предприятий жилищно-коммунального комплекса за счет действующих. По состоянию на 01.01.2023 на территории Новосибирской области осуществляют свою деятельность 831 ТСЖ и 250 ЖК, ЖСК, ПК.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Подпрограмма «Благоустройство территорий населенных пунктов» (да</w:t>
      </w:r>
      <w:r>
        <w:rPr>
          <w:rFonts w:ascii="Times New Roman" w:hAnsi="Times New Roman" w:cs="Times New Roman"/>
          <w:sz w:val="28"/>
          <w:szCs w:val="28"/>
        </w:rPr>
        <w:t xml:space="preserve">лее – подпрограмма) государственной программы Новосибирской области «Жилищно-коммунальное хозяйство Новосибирской области» направлена на повышение уровня комплексного благоустройства для повышения качества жизни граждан на территории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Задачей подпрограммы является совершенствовани</w:t>
      </w:r>
      <w:r>
        <w:rPr>
          <w:rFonts w:ascii="Times New Roman" w:hAnsi="Times New Roman" w:cs="Times New Roman"/>
          <w:sz w:val="28"/>
          <w:szCs w:val="28"/>
        </w:rPr>
        <w:t xml:space="preserve">е благоустройства территорий путем содействия в организации обустройства дворовых территорий многоквартирных домов, общественных пространств населенных пунктов Новосибирской области с вовлечением заинтересованных граждан и организаций в процесс реализации.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мероприятия по благоустройству дворовых территорий многоквартирных жилых домов и общественных пространств на территории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в рамках подпрограммы «Благоустройство территорий населенных пунктов» профинансированы в объеме в объеме 1 914,9 млн рублей (90,8%) в том числе за счет федерального бюджета – 743,6 млн рублей, областного бюджета Новосибирской области – 1 087,1 млн рублей.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паспортом регионального проекта «Формирование комфортной городской среды» на 2022 год были запланированы мероприятия по благоустройству 184 объектов: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115 придомовых территорий многоквартирных жилых домов;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69 общественных пространств.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регионального проекта «Формирование комфортной городской среды» благоустроено 185 объектов: 116 дворовых территорий МКД и 69 общественных пространств.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Благоустроено 3 объекта победителя Всероссийского конкурса лучших проектов создания комфортной городской среды: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«Общественное пространство по ул. Переездный переулок» в г. Купино </w:t>
      </w:r>
      <w:r>
        <w:rPr>
          <w:rFonts w:ascii="Times New Roman" w:hAnsi="Times New Roman" w:cs="Times New Roman"/>
          <w:sz w:val="28"/>
          <w:szCs w:val="28"/>
        </w:rPr>
        <w:t xml:space="preserve">Купинского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«Благоустройство центральной площади» в г. Карасук Карасукского района Новосибирской области;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«Концепт-проект формирования территориального оздоровительного многофункционального природного комплекса «Савка» в г. Куйбышев Куйбышевского района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Также в рамках подпрограммы выполнены работы по: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благоустройству более 210 проектов благоустройства, в том числе: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городской парк, прилегающий к новой Ледовой арене в Кировском районе;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сквер «Гвардейский» жилого района Пашино в Новосибирске;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общественных пространств – зон гостеприимства в рамках реализации проекта «Новогодняя столица России» в 2022-2023 годах в городе Новосибирске;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общественной территории по ул. Молодежная, 24 в </w:t>
      </w:r>
      <w:r>
        <w:rPr>
          <w:rFonts w:ascii="Times New Roman" w:hAnsi="Times New Roman" w:cs="Times New Roman"/>
          <w:sz w:val="28"/>
          <w:szCs w:val="28"/>
        </w:rPr>
        <w:t xml:space="preserve">р.п</w:t>
      </w:r>
      <w:r>
        <w:rPr>
          <w:rFonts w:ascii="Times New Roman" w:hAnsi="Times New Roman" w:cs="Times New Roman"/>
          <w:sz w:val="28"/>
          <w:szCs w:val="28"/>
        </w:rPr>
        <w:t xml:space="preserve">. Сузун </w:t>
      </w:r>
      <w:r>
        <w:rPr>
          <w:rFonts w:ascii="Times New Roman" w:hAnsi="Times New Roman" w:cs="Times New Roman"/>
          <w:sz w:val="28"/>
          <w:szCs w:val="28"/>
        </w:rPr>
        <w:t xml:space="preserve">Сузунского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реализация 193-х объектов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Новосибирска, в том числе в рамках исполнения наказов избирателей депутатов Законодательного Собрания Новосибирской области в сфере благоустройства;</w:t>
      </w:r>
      <w:r/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разработке 3 проектных документаций на благоустройство общественных пространств.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Рекомендации для органов местного самоуправления: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Рекомендации для органов местного самоуправления: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согласование работ по благоустройству с </w:t>
      </w:r>
      <w:r>
        <w:rPr>
          <w:rFonts w:ascii="Times New Roman" w:hAnsi="Times New Roman" w:cs="Times New Roman"/>
          <w:sz w:val="28"/>
          <w:szCs w:val="28"/>
        </w:rPr>
        <w:t xml:space="preserve">ресурсоснабжающими</w:t>
      </w:r>
      <w:r>
        <w:rPr>
          <w:rFonts w:ascii="Times New Roman" w:hAnsi="Times New Roman" w:cs="Times New Roman"/>
          <w:sz w:val="28"/>
          <w:szCs w:val="28"/>
        </w:rPr>
        <w:t xml:space="preserve"> организациями;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синхронизация объектов благоустройства, реализуемых в рамках феде</w:t>
      </w:r>
      <w:r>
        <w:rPr>
          <w:rFonts w:ascii="Times New Roman" w:hAnsi="Times New Roman" w:cs="Times New Roman"/>
          <w:sz w:val="28"/>
          <w:szCs w:val="28"/>
        </w:rPr>
        <w:t xml:space="preserve">р</w:t>
      </w:r>
      <w:r>
        <w:rPr>
          <w:rFonts w:ascii="Times New Roman" w:hAnsi="Times New Roman" w:cs="Times New Roman"/>
          <w:sz w:val="28"/>
          <w:szCs w:val="28"/>
        </w:rPr>
        <w:t xml:space="preserve">ального проекта с другими национальными проектами;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предусматривать в контрактах на выполнение работ по благоустройству авансовые платежи и возможность финансирования фактически выполненных работ (промежуточная оплата);</w:t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подготовка проектной документации с учетом требований комплексности, доступности для лиц с ограниченными возможностями и круглогодичного использования благоустраиваемых территорий;</w:t>
      </w:r>
      <w:r/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 по дальнейшему содержанию благоустроенных территорий.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01.01.</w:t>
      </w:r>
      <w:r>
        <w:rPr>
          <w:rFonts w:ascii="Times New Roman" w:hAnsi="Times New Roman" w:cs="Times New Roman"/>
          <w:sz w:val="28"/>
          <w:szCs w:val="28"/>
        </w:rPr>
        <w:t xml:space="preserve">2022 коммунальный комплекс Новосибирской области насчитывает 1134 отопительных котельных, из них работающих на твердом топливе 858 единиц и работающих на жидком топливе и природном газе 276 единиц. Суммарная мощность котельных составляет 83299,84 Гкал/час.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Протяженность тепловых сетей составляет 5,1 тыс. км, а также функционирует 10,57 тыс. км водопроводных и 2,4 тыс. км канализационных сетей.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Протяженность тепловых сетей по Новосибирской области составляет 5,1 тыс. км. Протяженность ветхих тепловых сетей, по состоянию на 01.01.2022 года составляет 2,1 тыс. км.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31.12.2022 полномочия в части организации коммунальных услуг переданы на уровень муниципальных районов Новосибирской области по 263 сельским муниципальным образованиям, что составляет 70,4%.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предприятий коммунального комплекса посредством укрупнения сократилось на 170 единиц или 68,1%.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01.01.2022 выполнена регистрац</w:t>
      </w:r>
      <w:r>
        <w:rPr>
          <w:rFonts w:ascii="Times New Roman" w:hAnsi="Times New Roman" w:cs="Times New Roman"/>
          <w:sz w:val="28"/>
          <w:szCs w:val="28"/>
        </w:rPr>
        <w:t xml:space="preserve">ия 4977 единиц коммунального имущества сельских муниципальных образований районов Новосибирской области. От общего количества коммунального имущества Уровень регистрации коммунального имущества составляет 96,4% от общего количества коммунального имущества.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Органам местного самоуправления муниципальных образований Новосибирской области необходимо реализовать следующие меры, направленные на обеспечение устойчивости и эффективности работы систем жизнеобеспечения и социальной инфраструктуры: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подготовка необходимых документов для участия в федеральных программах и проектах комплексной модернизации систем теплоснабжения;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мероприятий по переводу ненадежных и малонадежных систем теплоснабжения в надежные;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 xml:space="preserve">низкозатратных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энергоэффективных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со сроком окупаемости 1-2 года, в том числе наладка гидравлического режима тепловых сетей;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перевод населения, проживающего в индивидуальном жилом фонде и многоквартирных малоэтажных домах (1-2 этажа), с централизованного теплоснабжения на индивидуальное отопление, в первую очередь в газифицированных районах;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увеличение доходной части теплоснабжающих организа</w:t>
      </w:r>
      <w:r>
        <w:rPr>
          <w:rFonts w:ascii="Times New Roman" w:hAnsi="Times New Roman" w:cs="Times New Roman"/>
          <w:sz w:val="28"/>
          <w:szCs w:val="28"/>
        </w:rPr>
        <w:t xml:space="preserve">ций за счет формирования цены на тепловую энергию в нерегулируемых системах теплоснабжения (поселение, в которых отсутствует централизованное теплоснабжение населения), обеспечивающей покрытие затрат на производство, передачу и реализацию тепловой энергии;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сокращение издержек теплоснабжающих организаций за счет укрупнения теплоснабжающих организаций, тарифной дисциплины (соблюдения плановых показателей, предусмотренных тарифными решениями), исключения коммерческих потерь («</w:t>
      </w:r>
      <w:r>
        <w:rPr>
          <w:rFonts w:ascii="Times New Roman" w:hAnsi="Times New Roman" w:cs="Times New Roman"/>
          <w:sz w:val="28"/>
          <w:szCs w:val="28"/>
        </w:rPr>
        <w:t xml:space="preserve">перетопов</w:t>
      </w:r>
      <w:r>
        <w:rPr>
          <w:rFonts w:ascii="Times New Roman" w:hAnsi="Times New Roman" w:cs="Times New Roman"/>
          <w:sz w:val="28"/>
          <w:szCs w:val="28"/>
        </w:rPr>
        <w:t xml:space="preserve">») тепловой энергии.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/>
      <w:bookmarkStart w:id="10" w:name="_Toc10"/>
      <w:r>
        <w:rPr>
          <w:rFonts w:ascii="Times New Roman" w:hAnsi="Times New Roman" w:cs="Times New Roman"/>
          <w:color w:val="auto"/>
        </w:rPr>
        <w:t xml:space="preserve">1.7. Организация муниципального управления</w:t>
      </w:r>
      <w:bookmarkEnd w:id="10"/>
      <w:r/>
      <w:r>
        <w:rPr>
          <w:rFonts w:ascii="Times New Roman" w:hAnsi="Times New Roman" w:cs="Times New Roman"/>
          <w:color w:val="auto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Показатели эффективности в сфере организации муниципального управления характеризуют качество всей системы управления муниципальных районов и городских округов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За 2022 г</w:t>
      </w:r>
      <w:r>
        <w:rPr>
          <w:rFonts w:ascii="Times New Roman" w:hAnsi="Times New Roman" w:cs="Times New Roman"/>
          <w:sz w:val="28"/>
          <w:szCs w:val="28"/>
        </w:rPr>
        <w:t xml:space="preserve">од доходная часть местных бюджетов исполнена в сравнении с утвержденными значениями по муниципальным районам на 98,8%, по городским округам – на 97,6%, в том числе по налоговым и неналоговым доходам исполнена на 131,8% по муниципальным районам, по городски</w:t>
      </w:r>
      <w:r>
        <w:rPr>
          <w:rFonts w:ascii="Times New Roman" w:hAnsi="Times New Roman" w:cs="Times New Roman"/>
          <w:sz w:val="28"/>
          <w:szCs w:val="28"/>
        </w:rPr>
        <w:t xml:space="preserve">м округам – на 100,9%. Темп роста всех доходов муниципальных районов и городских округов Новосибирской области в 2022 году по отношению к 2021 году составил 118,9% по районам и округам, а темп роста величины налоговых и неналоговых доходов составил 116,8%.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Наибольший рост собственных доходов в 2022 году по отношению к 2021 году среди муниципальных районов наблюдался в </w:t>
      </w:r>
      <w:r>
        <w:rPr>
          <w:rFonts w:ascii="Times New Roman" w:hAnsi="Times New Roman" w:cs="Times New Roman"/>
          <w:sz w:val="28"/>
          <w:szCs w:val="28"/>
        </w:rPr>
        <w:t xml:space="preserve">Искитимском</w:t>
      </w:r>
      <w:r>
        <w:rPr>
          <w:rFonts w:ascii="Times New Roman" w:hAnsi="Times New Roman" w:cs="Times New Roman"/>
          <w:sz w:val="28"/>
          <w:szCs w:val="28"/>
        </w:rPr>
        <w:t xml:space="preserve"> (212,5%), </w:t>
      </w:r>
      <w:r>
        <w:rPr>
          <w:rFonts w:ascii="Times New Roman" w:hAnsi="Times New Roman" w:cs="Times New Roman"/>
          <w:sz w:val="28"/>
          <w:szCs w:val="28"/>
        </w:rPr>
        <w:t xml:space="preserve">Сузунском</w:t>
      </w:r>
      <w:r>
        <w:rPr>
          <w:rFonts w:ascii="Times New Roman" w:hAnsi="Times New Roman" w:cs="Times New Roman"/>
          <w:sz w:val="28"/>
          <w:szCs w:val="28"/>
        </w:rPr>
        <w:t xml:space="preserve"> (140,5%), </w:t>
      </w:r>
      <w:r>
        <w:rPr>
          <w:rFonts w:ascii="Times New Roman" w:hAnsi="Times New Roman" w:cs="Times New Roman"/>
          <w:sz w:val="28"/>
          <w:szCs w:val="28"/>
        </w:rPr>
        <w:t xml:space="preserve">Доволенском</w:t>
      </w:r>
      <w:r>
        <w:rPr>
          <w:rFonts w:ascii="Times New Roman" w:hAnsi="Times New Roman" w:cs="Times New Roman"/>
          <w:sz w:val="28"/>
          <w:szCs w:val="28"/>
        </w:rPr>
        <w:t xml:space="preserve"> (138,2%), </w:t>
      </w:r>
      <w:r>
        <w:rPr>
          <w:rFonts w:ascii="Times New Roman" w:hAnsi="Times New Roman" w:cs="Times New Roman"/>
          <w:sz w:val="28"/>
          <w:szCs w:val="28"/>
        </w:rPr>
        <w:t xml:space="preserve">Коченевском</w:t>
      </w:r>
      <w:r>
        <w:rPr>
          <w:rFonts w:ascii="Times New Roman" w:hAnsi="Times New Roman" w:cs="Times New Roman"/>
          <w:sz w:val="28"/>
          <w:szCs w:val="28"/>
        </w:rPr>
        <w:t xml:space="preserve"> (138,2%) и Татарском (138,0%) районах Новосибирской области, среди городских округов – в г. Оби (193,4%), в г. Новосибирске (118,9%), в г. </w:t>
      </w:r>
      <w:r>
        <w:rPr>
          <w:rFonts w:ascii="Times New Roman" w:hAnsi="Times New Roman" w:cs="Times New Roman"/>
          <w:sz w:val="28"/>
          <w:szCs w:val="28"/>
        </w:rPr>
        <w:t xml:space="preserve">Искитиме</w:t>
      </w:r>
      <w:r>
        <w:rPr>
          <w:rFonts w:ascii="Times New Roman" w:hAnsi="Times New Roman" w:cs="Times New Roman"/>
          <w:sz w:val="28"/>
          <w:szCs w:val="28"/>
        </w:rPr>
        <w:t xml:space="preserve"> (113,3%).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Доля налоговых и неналоговых </w:t>
      </w:r>
      <w:r>
        <w:rPr>
          <w:rFonts w:ascii="Times New Roman" w:hAnsi="Times New Roman" w:cs="Times New Roman"/>
          <w:sz w:val="28"/>
          <w:szCs w:val="28"/>
        </w:rPr>
        <w:t xml:space="preserve">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муниципальных образований (без учета субвенций) в 2022 году составила 39,9% в целом по муниципальным </w:t>
      </w:r>
      <w:r>
        <w:rPr>
          <w:rFonts w:ascii="Times New Roman" w:hAnsi="Times New Roman" w:cs="Times New Roman"/>
          <w:sz w:val="28"/>
          <w:szCs w:val="28"/>
        </w:rPr>
        <w:t xml:space="preserve">образованиям, в том числе 21,3% для муниципальных районов и 66,6% для городских округов. Наибольшая доля по данному показателю среди муниципальных районов в 2022 году наблюдалась у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(61,9%) и Новосибирского (51,6%) районов, среди городских округов – у г. Новосибирска (70,1%) и у </w:t>
      </w:r>
      <w:r>
        <w:rPr>
          <w:rFonts w:ascii="Times New Roman" w:hAnsi="Times New Roman" w:cs="Times New Roman"/>
          <w:sz w:val="28"/>
          <w:szCs w:val="28"/>
        </w:rPr>
        <w:t xml:space="preserve">р.п</w:t>
      </w:r>
      <w:r>
        <w:rPr>
          <w:rFonts w:ascii="Times New Roman" w:hAnsi="Times New Roman" w:cs="Times New Roman"/>
          <w:sz w:val="28"/>
          <w:szCs w:val="28"/>
        </w:rPr>
        <w:t xml:space="preserve">. Кольцово (55,6%).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 источником собствен</w:t>
      </w:r>
      <w:r>
        <w:rPr>
          <w:rFonts w:ascii="Times New Roman" w:hAnsi="Times New Roman" w:cs="Times New Roman"/>
          <w:sz w:val="28"/>
          <w:szCs w:val="28"/>
        </w:rPr>
        <w:t xml:space="preserve">ных доходов местных бюджетов продолжает оставаться налог на доходы физических лиц. Доля поступлений от этого налога в общем объеме налоговых и неналоговых доходов муниципальных районов и городских округов составила 61,1% в 2022 году (в 2021 году – 57,7%).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1906" w:h="16838" w:orient="portrait"/>
          <w:pgMar w:top="1134" w:right="567" w:bottom="567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lang w:val="en-US" w:eastAsia="ru-RU"/>
        </w:rPr>
        <w:sectPr>
          <w:footnotePr/>
          <w:endnotePr/>
          <w:type w:val="nextPage"/>
          <w:pgSz w:w="16838" w:h="11906" w:orient="landscape"/>
          <w:pgMar w:top="1418" w:right="1134" w:bottom="567" w:left="567" w:header="708" w:footer="708" w:gutter="0"/>
          <w:cols w:num="1" w:sep="0" w:space="708" w:equalWidth="1"/>
          <w:docGrid w:linePitch="360"/>
        </w:sectPr>
      </w:pPr>
      <w:r>
        <w:rPr>
          <w:lang w:eastAsia="ru-RU"/>
        </w:rPr>
        <w:drawing>
          <wp:inline distT="0" distB="0" distL="0" distR="0">
            <wp:extent cx="9168152" cy="5843682"/>
            <wp:effectExtent l="4762" t="4762" r="4762" b="4762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en-US" w:eastAsia="ru-RU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За 2022 год объём недоимки по платежам в консолидированный бюджет Новосибирской области в разрезе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районов и городских округов Новосибирской области (далее – недоимка) составил 7 204,0 млн рублей, что выше уровня 2021 года на 101,8% (на 3 634,6 млн рублей). Снижение недоимки наблюдается в Чистоозерном (на 13,1%), Куйбышевском (на 12,7%), </w:t>
      </w:r>
      <w:r>
        <w:rPr>
          <w:rFonts w:ascii="Times New Roman" w:hAnsi="Times New Roman" w:cs="Times New Roman"/>
          <w:sz w:val="28"/>
          <w:szCs w:val="28"/>
        </w:rPr>
        <w:t xml:space="preserve">Купинском</w:t>
      </w:r>
      <w:r>
        <w:rPr>
          <w:rFonts w:ascii="Times New Roman" w:hAnsi="Times New Roman" w:cs="Times New Roman"/>
          <w:sz w:val="28"/>
          <w:szCs w:val="28"/>
        </w:rPr>
        <w:t xml:space="preserve"> (на 11,6%) районах и </w:t>
      </w:r>
      <w:r>
        <w:rPr>
          <w:rFonts w:ascii="Times New Roman" w:hAnsi="Times New Roman" w:cs="Times New Roman"/>
          <w:sz w:val="28"/>
          <w:szCs w:val="28"/>
        </w:rPr>
        <w:t xml:space="preserve">р.п</w:t>
      </w:r>
      <w:r>
        <w:rPr>
          <w:rFonts w:ascii="Times New Roman" w:hAnsi="Times New Roman" w:cs="Times New Roman"/>
          <w:sz w:val="28"/>
          <w:szCs w:val="28"/>
        </w:rPr>
        <w:t xml:space="preserve">. Кольцово (на 9,8%). Кроме того, несмотря на проводимую налоговыми органами работу, по ряду районов наблюдается рост недоимки. Наибольший рост недоимки среди муниципальных районов произошел в </w:t>
      </w:r>
      <w:r>
        <w:rPr>
          <w:rFonts w:ascii="Times New Roman" w:hAnsi="Times New Roman" w:cs="Times New Roman"/>
          <w:sz w:val="28"/>
          <w:szCs w:val="28"/>
        </w:rPr>
        <w:t xml:space="preserve">Сузунском</w:t>
      </w:r>
      <w:r>
        <w:rPr>
          <w:rFonts w:ascii="Times New Roman" w:hAnsi="Times New Roman" w:cs="Times New Roman"/>
          <w:sz w:val="28"/>
          <w:szCs w:val="28"/>
        </w:rPr>
        <w:t xml:space="preserve"> районе (122,3%) и Новосибирском районе (111,2%), среди городских округов – в г. Обь (778,3%).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2022 г</w:t>
      </w:r>
      <w:r>
        <w:rPr>
          <w:rFonts w:ascii="Times New Roman" w:hAnsi="Times New Roman" w:cs="Times New Roman"/>
          <w:sz w:val="28"/>
          <w:szCs w:val="28"/>
        </w:rPr>
        <w:t xml:space="preserve">оду доля межбюджетных трансфертов в доходах местных бюджетов по муниципальным районам уменьшалась, по городским округам увеличилась, что составляет 84,0% для муниципальных районов и 54,3% для городских округов (в 2021 году – 86,3% и 51,9%, соответственно).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Расходная часть местных бюджетов за 2022 год исполнена в сравнен</w:t>
      </w:r>
      <w:r>
        <w:rPr>
          <w:rFonts w:ascii="Times New Roman" w:hAnsi="Times New Roman" w:cs="Times New Roman"/>
          <w:sz w:val="28"/>
          <w:szCs w:val="28"/>
        </w:rPr>
        <w:t xml:space="preserve">ии с запланированным объемом по муниципальным районам на 92,4%, по городским округам на 96,1%. В целом, в 2022 году по городским округам расходы местных бюджетов увеличились на 17,8%, по муниципальным районам увеличились на 19,3% по сравнению с 2021 годом.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2022 году наибольший удельный вес расходов в общем объеме расходов бюджетов муниц</w:t>
      </w:r>
      <w:r>
        <w:rPr>
          <w:rFonts w:ascii="Times New Roman" w:hAnsi="Times New Roman" w:cs="Times New Roman"/>
          <w:sz w:val="28"/>
          <w:szCs w:val="28"/>
        </w:rPr>
        <w:t xml:space="preserve">ипальных районов приходился на расходы на образование – 54,2%, жилищно-коммунальное хозяйство – 12,6%, социальную политику – 7,1%; по городским округам – расходы на образование – 52,1%, национальную экономику – 17,7%, жилищно-коммунальное хозяйство – 9,7%.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долг за 2022 год увеличился на 0,94% по отношению к 2021 году, или в абсолютном выражении на 220,2 млн рублей и составил 23 596,2 млн рублей. Основная долговая нагрузка приходится на горо</w:t>
      </w:r>
      <w:r>
        <w:rPr>
          <w:rFonts w:ascii="Times New Roman" w:hAnsi="Times New Roman" w:cs="Times New Roman"/>
          <w:sz w:val="28"/>
          <w:szCs w:val="28"/>
        </w:rPr>
        <w:t xml:space="preserve">дские округа, в том числе муниципальный долг г. Новосибирска от общего объема муниципального долга районов и городов Новосибирской области составляет по итогу 2022 года 98,3%. Среди муниципальных районов наибольший объем муниципального долга наблюдается у </w:t>
      </w:r>
      <w:r>
        <w:rPr>
          <w:rFonts w:ascii="Times New Roman" w:hAnsi="Times New Roman" w:cs="Times New Roman"/>
          <w:sz w:val="28"/>
          <w:szCs w:val="28"/>
        </w:rPr>
        <w:t xml:space="preserve">Болотнинского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64 млн рублей и </w:t>
      </w:r>
      <w:r>
        <w:rPr>
          <w:rFonts w:ascii="Times New Roman" w:hAnsi="Times New Roman" w:cs="Times New Roman"/>
          <w:sz w:val="28"/>
          <w:szCs w:val="28"/>
        </w:rPr>
        <w:t xml:space="preserve">Чановского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20 млн рублей – на них приходится 56,0% и 17,5% долга муниципальных районов соответственно. Главная причина этой задолженности – разрыв межд</w:t>
      </w:r>
      <w:r>
        <w:rPr>
          <w:rFonts w:ascii="Times New Roman" w:hAnsi="Times New Roman" w:cs="Times New Roman"/>
          <w:sz w:val="28"/>
          <w:szCs w:val="28"/>
        </w:rPr>
        <w:t xml:space="preserve">у высоким объёмом социальных обязательств, возложенных на районы, и уровнем собственных доходных средств. Отношение муниципального долга к общему объему налоговых и неналоговых доходов муниципальных районов и городских округов за 2022 год составляет 52,0%.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Часть муниципальных образований Новосибирской области продолжает ос</w:t>
      </w:r>
      <w:r>
        <w:rPr>
          <w:rFonts w:ascii="Times New Roman" w:hAnsi="Times New Roman" w:cs="Times New Roman"/>
          <w:sz w:val="28"/>
          <w:szCs w:val="28"/>
        </w:rPr>
        <w:t xml:space="preserve">таваться высокодотационными (доля дотаций в бюджете которых из областного бюджета Новосибирской области в течение двух из трех последних финансовых лет превышала 50% объема собственных доходов местных бюджетов). В 2022 году 96 сельских советов (19,7% от об</w:t>
      </w:r>
      <w:r>
        <w:rPr>
          <w:rFonts w:ascii="Times New Roman" w:hAnsi="Times New Roman" w:cs="Times New Roman"/>
          <w:sz w:val="28"/>
          <w:szCs w:val="28"/>
        </w:rPr>
        <w:t xml:space="preserve">щего числа муниципальных образований) относились к высокодотационным, высокодотационных муниципальных районов и городских округов в Новосибирской области в 2022 году не было. Среди городских округов Новосибирской области в 2022 году доля дотаций превышала </w:t>
      </w:r>
      <w:r>
        <w:rPr>
          <w:rFonts w:ascii="Times New Roman" w:hAnsi="Times New Roman" w:cs="Times New Roman"/>
          <w:sz w:val="28"/>
          <w:szCs w:val="28"/>
        </w:rPr>
        <w:t xml:space="preserve">20% объема собственных доходов местных бюджетов в г. Бердске и в г. </w:t>
      </w:r>
      <w:r>
        <w:rPr>
          <w:rFonts w:ascii="Times New Roman" w:hAnsi="Times New Roman" w:cs="Times New Roman"/>
          <w:sz w:val="28"/>
          <w:szCs w:val="28"/>
        </w:rPr>
        <w:t xml:space="preserve">Искитиме</w:t>
      </w:r>
      <w:r>
        <w:rPr>
          <w:rFonts w:ascii="Times New Roman" w:hAnsi="Times New Roman" w:cs="Times New Roman"/>
          <w:sz w:val="28"/>
          <w:szCs w:val="28"/>
        </w:rPr>
        <w:t xml:space="preserve">. Городские округа Новосибирской области, где доля дотаций не превышала 5% объема собственных доходов местных бюджетов – г. Новосибирск, г. Обь и </w:t>
      </w:r>
      <w:r>
        <w:rPr>
          <w:rFonts w:ascii="Times New Roman" w:hAnsi="Times New Roman" w:cs="Times New Roman"/>
          <w:sz w:val="28"/>
          <w:szCs w:val="28"/>
        </w:rPr>
        <w:t xml:space="preserve">р.п</w:t>
      </w:r>
      <w:r>
        <w:rPr>
          <w:rFonts w:ascii="Times New Roman" w:hAnsi="Times New Roman" w:cs="Times New Roman"/>
          <w:sz w:val="28"/>
          <w:szCs w:val="28"/>
        </w:rPr>
        <w:t xml:space="preserve">. Кольцово.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Большинство муниципальных бюджетов сталкиваются с двумя основными пробле</w:t>
      </w:r>
      <w:r>
        <w:rPr>
          <w:rFonts w:ascii="Times New Roman" w:hAnsi="Times New Roman" w:cs="Times New Roman"/>
          <w:sz w:val="28"/>
          <w:szCs w:val="28"/>
        </w:rPr>
        <w:t xml:space="preserve">мами. Во-первых, они не имеют достаточной доходной базы, чтобы обеспечить свои финансовые потребности. Во-вторых, они сильно зависят от вышестоящих бюджетов, что ограничивает их финансовую независимость. Эти проблемы можно объяснить несколькими факторами.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Во-первых, предпринимательство в муниципальных образованиях развито слабо, что сказывается на доходах бюджета. Недостаточное количество предприятий и ограниченные возможности для развития бизнеса ограничивают источники доходов муниципалитетов. 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Во-вторых, низкий уровень развития перерабатывающих производств также влияет на финансовую ситуацию муниципальных образований. Они не могут получить значительные доходы от переработки сырья или производства товаров с высокой добавленной стоимостью. Кром</w:t>
      </w:r>
      <w:r>
        <w:rPr>
          <w:rFonts w:ascii="Times New Roman" w:hAnsi="Times New Roman" w:cs="Times New Roman"/>
          <w:sz w:val="28"/>
          <w:szCs w:val="28"/>
        </w:rPr>
        <w:t xml:space="preserve">е того, слабая инвестиционная активность в муниципальных образованиях создает проблемы для их бюджетов. Отсутствие инвестиций ограничивает развитие экономики и создание новых рабочих мест, что в свою очередь сказывается на доходах муниципалитетов. Наконец,</w:t>
      </w:r>
      <w:r>
        <w:rPr>
          <w:rFonts w:ascii="Times New Roman" w:hAnsi="Times New Roman" w:cs="Times New Roman"/>
          <w:sz w:val="28"/>
          <w:szCs w:val="28"/>
        </w:rPr>
        <w:t xml:space="preserve"> удаленность многих муниципальных образований от рынков сбыта продукции также играет роль в ограничении доходов бюджетов. Транспортные и логистические проблемы затрудняют экспорт товаров и услуг, что снижает потенциальные источники доходов муниципалитетов.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Для того чтобы муниципалитеты стали финансово независимыми, им необходимо предпринять дополнительные усилия для увеличения доходов местных бюджетов. Это можно достичь путем улучшения работы о</w:t>
      </w:r>
      <w:r>
        <w:rPr>
          <w:rFonts w:ascii="Times New Roman" w:hAnsi="Times New Roman" w:cs="Times New Roman"/>
          <w:sz w:val="28"/>
          <w:szCs w:val="28"/>
        </w:rPr>
        <w:t xml:space="preserve">рганов местного самоуправления по уменьшению недоимки по налоговым и неналоговым поступлениям, повышению эффективности использования муниципального имущества, созданию благоприятных условий для развития малого и среднего бизнеса, а также сотрудничеству с р</w:t>
      </w:r>
      <w:r>
        <w:rPr>
          <w:rFonts w:ascii="Times New Roman" w:hAnsi="Times New Roman" w:cs="Times New Roman"/>
          <w:sz w:val="28"/>
          <w:szCs w:val="28"/>
        </w:rPr>
        <w:t xml:space="preserve">уководителями предприятий и индивидуальными предпринимателями для повышения зарплаты работников. Также важно вести работу с населением в соответствии с законодательством по регистрации земельных участков и недвижимости, находящихся в частной собственности.</w:t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Кроме того, низкий уровень благосостояния определенных муниципальных образований, особенно сельских, может приводить</w:t>
      </w:r>
      <w:r>
        <w:rPr>
          <w:rFonts w:ascii="Times New Roman" w:hAnsi="Times New Roman" w:cs="Times New Roman"/>
          <w:sz w:val="28"/>
          <w:szCs w:val="28"/>
        </w:rPr>
        <w:t xml:space="preserve"> к миграции населения в крупные города, отчего уменьшается население и соответственно ослабевает потенциал экономического роста. Так в 2022 году численность жителей в целом по муниципальным районам сократилась на 5,2 тыс. человек по сравнению с 2021 годом.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малочисленных населенных пунк</w:t>
      </w:r>
      <w:r>
        <w:rPr>
          <w:rFonts w:ascii="Times New Roman" w:hAnsi="Times New Roman" w:cs="Times New Roman"/>
          <w:sz w:val="28"/>
          <w:szCs w:val="28"/>
        </w:rPr>
        <w:t xml:space="preserve">тах наблюдается нарушение нормативов на формирование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в целом расходов на содержание местных </w:t>
      </w:r>
      <w:r>
        <w:rPr>
          <w:rFonts w:ascii="Times New Roman" w:hAnsi="Times New Roman" w:cs="Times New Roman"/>
          <w:sz w:val="28"/>
          <w:szCs w:val="28"/>
        </w:rPr>
        <w:t xml:space="preserve">органов власти, установленных Постановлением Правительства Новосибирской области от 31.01.2017 № 20-п. Одни</w:t>
      </w:r>
      <w:r>
        <w:rPr>
          <w:rFonts w:ascii="Times New Roman" w:hAnsi="Times New Roman" w:cs="Times New Roman"/>
          <w:sz w:val="28"/>
          <w:szCs w:val="28"/>
        </w:rPr>
        <w:t xml:space="preserve">м из направлений для устранения сложившейся проблемы должно стать объединение малочисленных муниципальных образований Новосибирской области с объединением их администраций, что позволит сконцентрировать имеющиеся бюджетные ресурсы, исключив часть расходов </w:t>
      </w:r>
      <w:r>
        <w:rPr>
          <w:rFonts w:ascii="Times New Roman" w:hAnsi="Times New Roman" w:cs="Times New Roman"/>
          <w:sz w:val="28"/>
          <w:szCs w:val="28"/>
        </w:rPr>
        <w:t xml:space="preserve">на содержание органов местного самоуправления, в связи с их уменьшением, сделает возможным более рационально использовать налогооблагаемую базу территории и оптимизировать систему управления, повысит качество муниципальных услуг, предоставляемых населению.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/>
      <w:bookmarkStart w:id="11" w:name="_Toc11"/>
      <w:r>
        <w:rPr>
          <w:rFonts w:ascii="Times New Roman" w:hAnsi="Times New Roman" w:cs="Times New Roman"/>
          <w:color w:val="000000" w:themeColor="text1"/>
        </w:rPr>
        <w:t xml:space="preserve">2. ИТОГИ СОЦИОЛОГИЧЕСКИХ ОПРОСОВ НАСЕЛЕНИЯ</w:t>
      </w:r>
      <w:bookmarkEnd w:id="11"/>
      <w:r/>
      <w:r>
        <w:rPr>
          <w:rFonts w:ascii="Times New Roman" w:hAnsi="Times New Roman" w:cs="Times New Roman"/>
          <w:color w:val="000000" w:themeColor="text1"/>
        </w:rPr>
      </w:r>
    </w:p>
    <w:p>
      <w:pPr>
        <w:pStyle w:val="908"/>
        <w:ind w:left="600" w:firstLine="709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всего от</w:t>
      </w:r>
      <w:r>
        <w:rPr>
          <w:rFonts w:ascii="Times New Roman" w:hAnsi="Times New Roman" w:cs="Times New Roman"/>
          <w:sz w:val="28"/>
          <w:szCs w:val="28"/>
        </w:rPr>
        <w:t xml:space="preserve">четного периода в Новосибирской области было организовано проведение социологического опроса по оценке населением эффективности деятельности руководителей органов местного самоуправления городских округов и муниципальных районов Новосибирской области и рук</w:t>
      </w:r>
      <w:r>
        <w:rPr>
          <w:rFonts w:ascii="Times New Roman" w:hAnsi="Times New Roman" w:cs="Times New Roman"/>
          <w:sz w:val="28"/>
          <w:szCs w:val="28"/>
        </w:rPr>
        <w:t xml:space="preserve">оводителей унитарных предприятий и учреждений, действующих на муниципальном уровне, осуществляющих оказание услуг населению муниципальных образований Новосибирской области. Опрос проводился с применением информационно-телекоммуникационной сети «Интернет».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Деятельность руководителей органов местного самоуправления оценивалась по трем критериям: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транспортного обслуживания;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качество автомобильных дорог;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жилищно-коммунальные услуги.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населением оценивалась степень доверия к главе муниципального района и городского округа.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жителей Новосибирской области, принявших участие в интернет-опросе в 2022 году, составило 20714 человек.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уровню удовлетворенности населения работой руководителей органов местного самоуправления можно выделить три группы: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муниципальные районы и городские округа с низкой оценкой удовлетворенности (значения оценки удовлетворенности ниже 60%): </w:t>
      </w:r>
      <w:r>
        <w:rPr>
          <w:rFonts w:ascii="Times New Roman" w:hAnsi="Times New Roman" w:cs="Times New Roman"/>
          <w:sz w:val="28"/>
          <w:szCs w:val="28"/>
        </w:rPr>
        <w:t xml:space="preserve">Барабинский</w:t>
      </w:r>
      <w:r>
        <w:rPr>
          <w:rFonts w:ascii="Times New Roman" w:hAnsi="Times New Roman" w:cs="Times New Roman"/>
          <w:sz w:val="28"/>
          <w:szCs w:val="28"/>
        </w:rPr>
        <w:t xml:space="preserve">, район, город Новосибирск;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муниципальные районы и городские округа с оценкой удовлетворенности, тяготеющей к высокой (значения оценки удовлетворенности в интервале от 60% до 70%): </w:t>
      </w:r>
      <w:r>
        <w:rPr>
          <w:rFonts w:ascii="Times New Roman" w:hAnsi="Times New Roman" w:cs="Times New Roman"/>
          <w:sz w:val="28"/>
          <w:szCs w:val="28"/>
        </w:rPr>
        <w:t xml:space="preserve">Коченёвский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Колыванский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Кочковский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Чистоозёрный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Чулымский,районы</w:t>
      </w:r>
      <w:r>
        <w:rPr>
          <w:rFonts w:ascii="Times New Roman" w:hAnsi="Times New Roman" w:cs="Times New Roman"/>
          <w:sz w:val="28"/>
          <w:szCs w:val="28"/>
        </w:rPr>
        <w:t xml:space="preserve">, город Бердск, город Обь, город </w:t>
      </w:r>
      <w:r>
        <w:rPr>
          <w:rFonts w:ascii="Times New Roman" w:hAnsi="Times New Roman" w:cs="Times New Roman"/>
          <w:sz w:val="28"/>
          <w:szCs w:val="28"/>
        </w:rPr>
        <w:t xml:space="preserve">Искитим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муниципальные районы и городские округа с высокой оценкой удовлетворенности (значения оценки удовлетворенности выше 70%)</w:t>
      </w:r>
      <w:r>
        <w:rPr>
          <w:rFonts w:ascii="Times New Roman" w:hAnsi="Times New Roman" w:cs="Times New Roman"/>
          <w:sz w:val="28"/>
          <w:szCs w:val="28"/>
        </w:rPr>
        <w:t xml:space="preserve">: 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Болотнинский</w:t>
      </w:r>
      <w:r>
        <w:rPr>
          <w:rFonts w:ascii="Times New Roman" w:hAnsi="Times New Roman" w:cs="Times New Roman"/>
          <w:sz w:val="28"/>
          <w:szCs w:val="28"/>
        </w:rPr>
        <w:t xml:space="preserve">, Венгеровский, </w:t>
      </w:r>
      <w:r>
        <w:rPr>
          <w:rFonts w:ascii="Times New Roman" w:hAnsi="Times New Roman" w:cs="Times New Roman"/>
          <w:sz w:val="28"/>
          <w:szCs w:val="28"/>
        </w:rPr>
        <w:t xml:space="preserve">Доволенский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Здвинский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Искитимский</w:t>
      </w:r>
      <w:r>
        <w:rPr>
          <w:rFonts w:ascii="Times New Roman" w:hAnsi="Times New Roman" w:cs="Times New Roman"/>
          <w:sz w:val="28"/>
          <w:szCs w:val="28"/>
        </w:rPr>
        <w:t xml:space="preserve">, Карасукский, </w:t>
      </w:r>
      <w:r>
        <w:rPr>
          <w:rFonts w:ascii="Times New Roman" w:hAnsi="Times New Roman" w:cs="Times New Roman"/>
          <w:sz w:val="28"/>
          <w:szCs w:val="28"/>
        </w:rPr>
        <w:t xml:space="preserve">Каргатский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Краснозёрский</w:t>
      </w:r>
      <w:r>
        <w:rPr>
          <w:rFonts w:ascii="Times New Roman" w:hAnsi="Times New Roman" w:cs="Times New Roman"/>
          <w:sz w:val="28"/>
          <w:szCs w:val="28"/>
        </w:rPr>
        <w:t xml:space="preserve">, Куйбышевский, </w:t>
      </w:r>
      <w:r>
        <w:rPr>
          <w:rFonts w:ascii="Times New Roman" w:hAnsi="Times New Roman" w:cs="Times New Roman"/>
          <w:sz w:val="28"/>
          <w:szCs w:val="28"/>
        </w:rPr>
        <w:t xml:space="preserve">Купинский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Кыштовский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Маслянинский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Мошковский</w:t>
      </w:r>
      <w:r>
        <w:rPr>
          <w:rFonts w:ascii="Times New Roman" w:hAnsi="Times New Roman" w:cs="Times New Roman"/>
          <w:sz w:val="28"/>
          <w:szCs w:val="28"/>
        </w:rPr>
        <w:t xml:space="preserve">, Новосибирский, Ордынский, Северный, </w:t>
      </w:r>
      <w:r>
        <w:rPr>
          <w:rFonts w:ascii="Times New Roman" w:hAnsi="Times New Roman" w:cs="Times New Roman"/>
          <w:sz w:val="28"/>
          <w:szCs w:val="28"/>
        </w:rPr>
        <w:t xml:space="preserve">Сузунский</w:t>
      </w:r>
      <w:r>
        <w:rPr>
          <w:rFonts w:ascii="Times New Roman" w:hAnsi="Times New Roman" w:cs="Times New Roman"/>
          <w:sz w:val="28"/>
          <w:szCs w:val="28"/>
        </w:rPr>
        <w:t xml:space="preserve">, Татарский, </w:t>
      </w:r>
      <w:r>
        <w:rPr>
          <w:rFonts w:ascii="Times New Roman" w:hAnsi="Times New Roman" w:cs="Times New Roman"/>
          <w:sz w:val="28"/>
          <w:szCs w:val="28"/>
        </w:rPr>
        <w:t xml:space="preserve">Тогучинский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Убинский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Усть-Таркский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Чановский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Черепановский</w:t>
      </w:r>
      <w:r>
        <w:rPr>
          <w:rFonts w:ascii="Times New Roman" w:hAnsi="Times New Roman" w:cs="Times New Roman"/>
          <w:sz w:val="28"/>
          <w:szCs w:val="28"/>
        </w:rPr>
        <w:t xml:space="preserve"> районы и рабочий поселок Кольцово.</w:t>
      </w:r>
      <w:r/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51756544" behindDoc="0" locked="0" layoutInCell="1" allowOverlap="1">
                <wp:simplePos x="0" y="0"/>
                <wp:positionH relativeFrom="column">
                  <wp:posOffset>103579</wp:posOffset>
                </wp:positionH>
                <wp:positionV relativeFrom="paragraph">
                  <wp:posOffset>409575</wp:posOffset>
                </wp:positionV>
                <wp:extent cx="9044792" cy="5696619"/>
                <wp:effectExtent l="0" t="0" r="0" b="0"/>
                <wp:wrapSquare wrapText="bothSides"/>
                <wp:docPr id="8" name="Рисунок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83297283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48"/>
                        <a:stretch/>
                      </pic:blipFill>
                      <pic:spPr bwMode="auto">
                        <a:xfrm flipH="0" flipV="0">
                          <a:off x="0" y="0"/>
                          <a:ext cx="9044791" cy="56966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251756544;o:allowoverlap:true;o:allowincell:true;mso-position-horizontal-relative:text;margin-left:8.16pt;mso-position-horizontal:absolute;mso-position-vertical-relative:text;margin-top:32.25pt;mso-position-vertical:absolute;width:712.19pt;height:448.55pt;mso-wrap-distance-left:9.07pt;mso-wrap-distance-top:0.00pt;mso-wrap-distance-right:9.07pt;mso-wrap-distance-bottom:0.00pt;" stroked="false">
                <v:path textboxrect="0,0,0,0"/>
                <w10:wrap type="square"/>
                <v:imagedata r:id="rId48" o:title=""/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Сводная таблица удовлетворенности населения деятельностью руководителей органов местного самоуправления городских округов и муниципальных районов Новосибирской области</w:t>
      </w:r>
      <w:r/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  <w:highlight w:val="none"/>
        </w:rPr>
        <w:sectPr>
          <w:footnotePr/>
          <w:endnotePr/>
          <w:type w:val="nextPage"/>
          <w:pgSz w:w="16838" w:h="11906" w:orient="landscape"/>
          <w:pgMar w:top="1418" w:right="1134" w:bottom="567" w:left="1134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целом по Новосибирской области больше половины опрошенных удовлетворены работой глав муниципальных районов и городских округов (77,2%). 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причинами неудовлетворенности населения 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 транспортного обслуживания, по мнению респондентов, являются: неудобный график движения транспорта, плохое состояние транспорта либо отсутствие рейсов в нужный день, нужное время суток. Кроме того, респондентами были отмечены необходимость в прямом трансп</w:t>
      </w:r>
      <w:r>
        <w:rPr>
          <w:rFonts w:ascii="Times New Roman" w:hAnsi="Times New Roman" w:cs="Times New Roman"/>
          <w:sz w:val="28"/>
          <w:szCs w:val="28"/>
        </w:rPr>
        <w:t xml:space="preserve">ортном сообщении с некоторыми точками муниципального образования и высокая стоимость проезда. Проведенный опрос показал, что подавляющее большинство претензий населения к качеству автомобильных дорог связано с плохим состоянием дорожного полотна (выбоины, </w:t>
      </w:r>
      <w:r>
        <w:rPr>
          <w:rFonts w:ascii="Times New Roman" w:hAnsi="Times New Roman" w:cs="Times New Roman"/>
          <w:sz w:val="28"/>
          <w:szCs w:val="28"/>
        </w:rPr>
        <w:t xml:space="preserve">просадки, другие повреждения), отсутствием или малой протяженностью дорог с асфальтовым покрытием, плохой уборка дорог от снега.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недостатков и актуальных проблем в сфере жилищно-коммунального хозяйства в полной мере отражает картину, характерную для данной сферы большинства регионов страны. В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качестве основных проблем в сфере жилищно-коммунального хозяйства респондентами указаны следующие: моральный и физический износ жилого фонда и основных коммуникаций, а также высокая стоимость предоставляемых услуг.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августе 2023 года состоялось очередное заседание экспертной комиссии по рассмотрению и анализу результатов оценки населением эффективности деятельности руко</w:t>
      </w:r>
      <w:r>
        <w:rPr>
          <w:rFonts w:ascii="Times New Roman" w:hAnsi="Times New Roman" w:cs="Times New Roman"/>
          <w:sz w:val="28"/>
          <w:szCs w:val="28"/>
        </w:rPr>
        <w:t xml:space="preserve">водителей органов местного самоуправления муниципальных образований Новосибирской области, унитарных предприятий и учреждений, действующих на региональном и муниципальном уровнях, акционерных обществ, контрольный пакет акций которых находится в собственнос</w:t>
      </w:r>
      <w:r>
        <w:rPr>
          <w:rFonts w:ascii="Times New Roman" w:hAnsi="Times New Roman" w:cs="Times New Roman"/>
          <w:sz w:val="28"/>
          <w:szCs w:val="28"/>
        </w:rPr>
        <w:t xml:space="preserve">ти Новосибирской области или в муниципальной собственности, осуществляющих оказание услуг населению муниципальных образований Новосибирской области, при Губернаторе Новосибирской области, на котором были рассмотрены результаты проведенного интернет-опроса.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итогу заседания экспертной комиссии главам администраций муниципальных районов и городских округов Новосибирской области были даны рекомендации по повышению эффективности своей деятельности.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</w:rPr>
        <w:br w:type="page" w:clear="all"/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p>
      <w:pPr>
        <w:pStyle w:val="730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/>
      <w:bookmarkStart w:id="12" w:name="_Toc12"/>
      <w:r>
        <w:rPr>
          <w:rFonts w:ascii="Times New Roman" w:hAnsi="Times New Roman" w:cs="Times New Roman"/>
          <w:color w:val="000000" w:themeColor="text1"/>
        </w:rPr>
        <w:t xml:space="preserve">3. РЕЗУЛЬТАТЫ ОЦЕНКИ ЭФФЕКТИВНОСТИ ДЕЯТЕЛЬНОСТИ ОРГАНОВ МЕСТНОГО САМОУПРАВЛЕНИЯ ГОРОДСКИХ ОКРУГОВ И МУНИЦИПАЛЬНЫХ РАЙОНОВ В </w:t>
      </w:r>
      <w:r>
        <w:rPr>
          <w:rFonts w:ascii="Times New Roman" w:hAnsi="Times New Roman" w:cs="Times New Roman"/>
          <w:color w:val="000000" w:themeColor="text1"/>
        </w:rPr>
        <w:t xml:space="preserve">202</w:t>
      </w:r>
      <w:r>
        <w:rPr>
          <w:rFonts w:ascii="Times New Roman" w:hAnsi="Times New Roman" w:cs="Times New Roman"/>
          <w:color w:val="000000" w:themeColor="text1"/>
        </w:rPr>
        <w:t xml:space="preserve">2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 xml:space="preserve">ГОДУ</w:t>
      </w:r>
      <w:bookmarkEnd w:id="12"/>
      <w:r/>
      <w:r>
        <w:rPr>
          <w:rFonts w:ascii="Times New Roman" w:hAnsi="Times New Roman" w:cs="Times New Roman"/>
          <w:color w:val="000000" w:themeColor="text1"/>
        </w:rPr>
      </w:r>
    </w:p>
    <w:p>
      <w:pPr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Рейтинг муниципальных районов и городских округов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</w:r>
    </w:p>
    <w:p>
      <w:pPr>
        <w:jc w:val="center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по комплексной оценке </w:t>
      </w:r>
      <w:r>
        <w:rPr>
          <w:rFonts w:ascii="Symbol" w:hAnsi="Symbol" w:eastAsia="Symbol" w:cs="Symbol"/>
          <w:b/>
          <w:bCs/>
          <w:iCs/>
          <w:sz w:val="28"/>
          <w:szCs w:val="28"/>
        </w:rPr>
        <w:t xml:space="preserve">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914"/>
        <w:tblW w:w="0" w:type="auto"/>
        <w:tblLayout w:type="fixed"/>
        <w:tblLook w:val="04A0" w:firstRow="1" w:lastRow="0" w:firstColumn="1" w:lastColumn="0" w:noHBand="0" w:noVBand="1"/>
      </w:tblPr>
      <w:tblGrid>
        <w:gridCol w:w="2325"/>
        <w:gridCol w:w="2068"/>
        <w:gridCol w:w="2409"/>
        <w:gridCol w:w="2835"/>
      </w:tblGrid>
      <w:tr>
        <w:trPr>
          <w:trHeight w:val="570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Муниципальный район-лидер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Место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Муниципальный район-аутсайдер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Место</w:t>
            </w:r>
            <w:r/>
          </w:p>
        </w:tc>
      </w:tr>
      <w:tr>
        <w:trPr>
          <w:trHeight w:val="293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Новосибирский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Искитимский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16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Чановский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Карасукский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17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Северный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3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Колыванский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18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Венгеровский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4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Мошковский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19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Ордынский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5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Тогучинский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20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Здвинский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6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Чулымский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21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Сузунский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7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Болотнинский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22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Усть-Таркский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8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Маслянинский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23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Татарский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9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Чистоозерный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24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Куйбышевский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10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Баганский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25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Убинский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11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Кыштовский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26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Доволенский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12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Купинский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27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Черепановский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13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Каргатский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28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Краснозерский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14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Коченевский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29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Кочковский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15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Барабинский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30</w:t>
            </w:r>
            <w:r/>
          </w:p>
        </w:tc>
      </w:tr>
      <w:tr>
        <w:trPr>
          <w:trHeight w:val="570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Городской округ -лидер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Место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Городской округ - аутсайдер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b/>
                <w:color w:val="000000"/>
              </w:rPr>
              <w:t xml:space="preserve">Место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center"/>
            <w:vMerge w:val="restart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р.п</w:t>
            </w: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. Кольцово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1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г. Бердск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3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Borders>
              <w:top w:val="none" w:color="000000" w:sz="4" w:space="0"/>
              <w:left w:val="single" w:color="000000" w:themeColor="text1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г. Новосибирск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4</w:t>
            </w:r>
            <w:r/>
          </w:p>
        </w:tc>
      </w:tr>
      <w:tr>
        <w:trPr>
          <w:trHeight w:val="285"/>
        </w:trPr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25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г. Обь</w:t>
            </w:r>
            <w:r/>
          </w:p>
        </w:tc>
        <w:tc>
          <w:tcPr>
            <w:shd w:val="clear" w:color="eaf1dd" w:themeColor="accent3" w:themeTint="33" w:fill="eaf1dd" w:themeFill="accent3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68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2</w:t>
            </w:r>
            <w:r/>
          </w:p>
        </w:tc>
        <w:tc>
          <w:tcPr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409" w:type="dxa"/>
            <w:vAlign w:val="bottom"/>
            <w:textDirection w:val="lrTb"/>
            <w:noWrap w:val="false"/>
          </w:tcPr>
          <w:p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г. </w:t>
            </w: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Искитим</w:t>
            </w:r>
            <w:r/>
          </w:p>
        </w:tc>
        <w:tc>
          <w:tcPr>
            <w:shd w:val="clear" w:color="fde9d9" w:themeColor="accent6" w:themeTint="33" w:fill="fde9d9" w:themeFill="accent6" w:themeFillTint="3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Liberation Serif" w:hAnsi="Liberation Serif" w:eastAsia="Liberation Serif" w:cs="Liberation Serif"/>
                <w:color w:val="000000"/>
              </w:rPr>
              <w:t xml:space="preserve">5</w:t>
            </w:r>
            <w:r/>
          </w:p>
        </w:tc>
      </w:tr>
    </w:tbl>
    <w:p>
      <w:pPr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567"/>
        <w:jc w:val="both"/>
        <w:spacing w:after="0" w:line="240" w:lineRule="auto"/>
        <w:tabs>
          <w:tab w:val="left" w:pos="3767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Symbol" w:hAnsi="Symbol" w:eastAsia="Symbol" w:cs="Symbol"/>
          <w:sz w:val="24"/>
          <w:szCs w:val="24"/>
        </w:rPr>
        <w:t xml:space="preserve"></w:t>
      </w:r>
      <w:r>
        <w:rPr>
          <w:rFonts w:ascii="Times New Roman" w:hAnsi="Times New Roman" w:cs="Times New Roman"/>
          <w:sz w:val="24"/>
          <w:szCs w:val="24"/>
        </w:rPr>
        <w:t xml:space="preserve"> Рейтинг муниципальных районов и городских округов, по комплексной</w:t>
      </w:r>
      <w:r>
        <w:rPr>
          <w:rFonts w:ascii="Times New Roman" w:hAnsi="Times New Roman" w:cs="Times New Roman"/>
          <w:sz w:val="24"/>
          <w:szCs w:val="24"/>
        </w:rPr>
        <w:t xml:space="preserve"> оценке, построен на основании комплексной оценки эффективности деятельности органов местного самоуправления, рассчитанной в соответствии с методическими рекомендациями, утвержденными постановлением Правительства Российской Федерации от 17.12.2012 № 1317.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п. 5 Порядка предоставления из областного бюджета Новосибирской области бюджетам городских округов и муниципальных районов Новосибирской области грантов в целях поощрения достижения наилучших значений показателей дея</w:t>
      </w:r>
      <w:r>
        <w:rPr>
          <w:rFonts w:ascii="Times New Roman" w:hAnsi="Times New Roman" w:cs="Times New Roman"/>
          <w:sz w:val="28"/>
          <w:szCs w:val="28"/>
        </w:rPr>
        <w:t xml:space="preserve">тельности органов местного самоуправления городских округов и муниципальных районов Новосибирской области, утвержденного постановлением Губернатора Новосибирской области от 29.12.2018 № 277, комплексная оценка эффективности деятельности органов местного са</w:t>
      </w:r>
      <w:r>
        <w:rPr>
          <w:rFonts w:ascii="Times New Roman" w:hAnsi="Times New Roman" w:cs="Times New Roman"/>
          <w:sz w:val="28"/>
          <w:szCs w:val="28"/>
        </w:rPr>
        <w:t xml:space="preserve">моуправления городских округов и муниципальных районов Новосибирской области (далее – комплексная оценка) проводится в соответствии с перечнем показателей, используемых для определения размера грантов, приведенным в приложении № 1 к вышеуказанному Порядку.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расчета комплексной оценки эффективности деятельности органов местного самоуправления использовалось 12 показателей для муниципальных районов и 11 показателей для городских округов.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Комплексная оценка проводилась по следующим показателям: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 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 (процентов).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 Число субъектов малого и среднего предпринимательства в расчете на 10 тыс. человек населения (единиц).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 Объем инвестиций в основной капитал (за исключением бюджетных средств) в расчете на 1 жителя (рублей).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 Доля налоговых и неналоговых доходов местного бюджета (за 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 (процентов).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 Среднемесячная номинальная начисленная заработная плата работников муниципальных учреждений культуры и искусства (рублей).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 Доля детей в возрасте 1-6 лет, стоящих на учете для определения </w:t>
      </w:r>
      <w:r>
        <w:rPr>
          <w:rFonts w:ascii="Times New Roman" w:hAnsi="Times New Roman" w:cs="Times New Roman"/>
          <w:bCs/>
          <w:sz w:val="28"/>
          <w:szCs w:val="28"/>
        </w:rPr>
        <w:br/>
        <w:t xml:space="preserve">в муниципальные дошкольные образовательные учреждения, в общей численности детей в возрасте 1-6 лет (процентов).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7. Доля детей в возрасте 5-18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(процентов).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8. Общая площадь жилых помещений, введенная в действие за один год в среднем на 1 жителя (кв. метров).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9. Доля населения, систематически занимающегося физической культурой и спортом (процентов).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10. Удовлетворенность населения деятельностью органов местного самоуправления (процентов от числа опрошенных).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11. Доля прибыльных сельскохозяйственных организаций в общем их числе (для муниципальных районов (процентов) (для муниципальных районов Новосибирской области).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12. Среднемесячная номинальная начисленная заработная плата работников крупных и средних предприятий и некоммерческих организаций (рублей).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908"/>
        <w:ind w:left="0"/>
        <w:jc w:val="center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________________________________</w:t>
      </w:r>
      <w:r>
        <w:rPr>
          <w:rFonts w:ascii="Times New Roman" w:hAnsi="Times New Roman" w:cs="Times New Roman"/>
          <w:bCs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Symbol">
    <w:panose1 w:val="05010000000000000000"/>
  </w:font>
  <w:font w:name="Wingdings">
    <w:panose1 w:val="05010000000000000000"/>
  </w:font>
  <w:font w:name="Calibri">
    <w:panose1 w:val="020F0502020204030204"/>
  </w:font>
  <w:font w:name="Courier New">
    <w:panose1 w:val="02070409020205020404"/>
  </w:font>
  <w:font w:name="Trebuchet MS">
    <w:panose1 w:val="020B0603020203020204"/>
  </w:font>
  <w:font w:name="Tahoma">
    <w:panose1 w:val="020B0606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554589214"/>
      <w:docPartObj>
        <w:docPartGallery w:val="Page Numbers (Top of Page)"/>
        <w:docPartUnique w:val="true"/>
      </w:docPartObj>
      <w:rPr/>
    </w:sdtPr>
    <w:sdtContent>
      <w:p>
        <w:pPr>
          <w:pStyle w:val="910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 xml:space="preserve">21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  <w:r>
          <w:rPr>
            <w:rFonts w:ascii="Times New Roman" w:hAnsi="Times New Roman" w:cs="Times New Roman"/>
            <w:sz w:val="20"/>
            <w:szCs w:val="20"/>
          </w:rPr>
        </w:r>
      </w:p>
    </w:sdtContent>
  </w:sdt>
  <w:p>
    <w:pPr>
      <w:pStyle w:val="91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017459471"/>
      <w:docPartObj>
        <w:docPartGallery w:val="Page Numbers (Top of Page)"/>
        <w:docPartUnique w:val="true"/>
      </w:docPartObj>
      <w:rPr/>
    </w:sdtPr>
    <w:sdtContent>
      <w:p>
        <w:pPr>
          <w:pStyle w:val="91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11</w:t>
        </w:r>
        <w:r>
          <w:fldChar w:fldCharType="end"/>
        </w:r>
        <w:r/>
      </w:p>
    </w:sdtContent>
  </w:sdt>
  <w:p>
    <w:pPr>
      <w:pStyle w:val="91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117" w:hanging="216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720" w:hanging="360"/>
        <w:tabs>
          <w:tab w:val="num" w:pos="720" w:leader="none"/>
        </w:tabs>
      </w:pPr>
      <w:rPr>
        <w:rFonts w:hint="default" w:ascii="Arial" w:hAnsi="Arial"/>
      </w:rPr>
    </w:lvl>
    <w:lvl w:ilvl="1">
      <w:start w:val="1"/>
      <w:numFmt w:val="bullet"/>
      <w:isLgl w:val="false"/>
      <w:suff w:val="tab"/>
      <w:lvlText w:val="•"/>
      <w:lvlJc w:val="left"/>
      <w:pPr>
        <w:ind w:left="1440" w:hanging="360"/>
        <w:tabs>
          <w:tab w:val="num" w:pos="1440" w:leader="none"/>
        </w:tabs>
      </w:pPr>
      <w:rPr>
        <w:rFonts w:hint="default" w:ascii="Arial" w:hAnsi="Arial"/>
      </w:rPr>
    </w:lvl>
    <w:lvl w:ilvl="2">
      <w:start w:val="1"/>
      <w:numFmt w:val="bullet"/>
      <w:isLgl w:val="false"/>
      <w:suff w:val="tab"/>
      <w:lvlText w:val="•"/>
      <w:lvlJc w:val="left"/>
      <w:pPr>
        <w:ind w:left="2160" w:hanging="360"/>
        <w:tabs>
          <w:tab w:val="num" w:pos="2160" w:leader="none"/>
        </w:tabs>
      </w:pPr>
      <w:rPr>
        <w:rFonts w:hint="default" w:ascii="Arial" w:hAnsi="Arial"/>
      </w:rPr>
    </w:lvl>
    <w:lvl w:ilvl="3">
      <w:start w:val="1"/>
      <w:numFmt w:val="bullet"/>
      <w:isLgl w:val="false"/>
      <w:suff w:val="tab"/>
      <w:lvlText w:val="•"/>
      <w:lvlJc w:val="left"/>
      <w:pPr>
        <w:ind w:left="2880" w:hanging="360"/>
        <w:tabs>
          <w:tab w:val="num" w:pos="2880" w:leader="none"/>
        </w:tabs>
      </w:pPr>
      <w:rPr>
        <w:rFonts w:hint="default" w:ascii="Arial" w:hAnsi="Arial"/>
      </w:rPr>
    </w:lvl>
    <w:lvl w:ilvl="4">
      <w:start w:val="1"/>
      <w:numFmt w:val="bullet"/>
      <w:isLgl w:val="false"/>
      <w:suff w:val="tab"/>
      <w:lvlText w:val="•"/>
      <w:lvlJc w:val="left"/>
      <w:pPr>
        <w:ind w:left="3600" w:hanging="360"/>
        <w:tabs>
          <w:tab w:val="num" w:pos="3600" w:leader="none"/>
        </w:tabs>
      </w:pPr>
      <w:rPr>
        <w:rFonts w:hint="default" w:ascii="Arial" w:hAnsi="Arial"/>
      </w:rPr>
    </w:lvl>
    <w:lvl w:ilvl="5">
      <w:start w:val="1"/>
      <w:numFmt w:val="bullet"/>
      <w:isLgl w:val="false"/>
      <w:suff w:val="tab"/>
      <w:lvlText w:val="•"/>
      <w:lvlJc w:val="left"/>
      <w:pPr>
        <w:ind w:left="4320" w:hanging="360"/>
        <w:tabs>
          <w:tab w:val="num" w:pos="4320" w:leader="none"/>
        </w:tabs>
      </w:pPr>
      <w:rPr>
        <w:rFonts w:hint="default" w:ascii="Arial" w:hAnsi="Arial"/>
      </w:rPr>
    </w:lvl>
    <w:lvl w:ilvl="6">
      <w:start w:val="1"/>
      <w:numFmt w:val="bullet"/>
      <w:isLgl w:val="false"/>
      <w:suff w:val="tab"/>
      <w:lvlText w:val="•"/>
      <w:lvlJc w:val="left"/>
      <w:pPr>
        <w:ind w:left="5040" w:hanging="360"/>
        <w:tabs>
          <w:tab w:val="num" w:pos="5040" w:leader="none"/>
        </w:tabs>
      </w:pPr>
      <w:rPr>
        <w:rFonts w:hint="default" w:ascii="Arial" w:hAnsi="Arial"/>
      </w:rPr>
    </w:lvl>
    <w:lvl w:ilvl="7">
      <w:start w:val="1"/>
      <w:numFmt w:val="bullet"/>
      <w:isLgl w:val="false"/>
      <w:suff w:val="tab"/>
      <w:lvlText w:val="•"/>
      <w:lvlJc w:val="left"/>
      <w:pPr>
        <w:ind w:left="5760" w:hanging="360"/>
        <w:tabs>
          <w:tab w:val="num" w:pos="5760" w:leader="none"/>
        </w:tabs>
      </w:pPr>
      <w:rPr>
        <w:rFonts w:hint="default" w:ascii="Arial" w:hAnsi="Arial"/>
      </w:rPr>
    </w:lvl>
    <w:lvl w:ilvl="8">
      <w:start w:val="1"/>
      <w:numFmt w:val="bullet"/>
      <w:isLgl w:val="false"/>
      <w:suff w:val="tab"/>
      <w:lvlText w:val="•"/>
      <w:lvlJc w:val="left"/>
      <w:pPr>
        <w:ind w:left="6480" w:hanging="360"/>
        <w:tabs>
          <w:tab w:val="num" w:pos="6480" w:leader="none"/>
        </w:tabs>
      </w:pPr>
      <w:rPr>
        <w:rFonts w:hint="default" w:ascii="Arial" w:hAnsi="Arial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 w:asciiTheme="majorHAnsi" w:hAnsiTheme="majorHAnsi" w:eastAsiaTheme="majorEastAsia" w:cstheme="majorBidi"/>
        <w:color w:val="365f91" w:themeColor="accent1" w:themeShade="BF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720" w:hanging="360"/>
      </w:pPr>
      <w:rPr>
        <w:rFonts w:hint="default" w:ascii="Arial" w:hAnsi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1">
      <w:start w:val="1"/>
      <w:numFmt w:val="decimal"/>
      <w:isLgl w:val="false"/>
      <w:suff w:val="tab"/>
      <w:lvlText w:val="%1.%2."/>
      <w:lvlJc w:val="left"/>
      <w:pPr>
        <w:ind w:left="102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04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0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72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38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40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06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080" w:hanging="180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720" w:hanging="360"/>
      </w:pPr>
      <w:rPr>
        <w:rFonts w:hint="default" w:ascii="Arial" w:hAnsi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916" w:hanging="106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93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65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37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09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1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3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25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971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1">
      <w:start w:val="1"/>
      <w:numFmt w:val="decimal"/>
      <w:isLgl w:val="false"/>
      <w:suff w:val="tab"/>
      <w:lvlText w:val="%1.%2."/>
      <w:lvlJc w:val="left"/>
      <w:pPr>
        <w:ind w:left="102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04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0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72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38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40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06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080" w:hanging="180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1">
      <w:start w:val="1"/>
      <w:numFmt w:val="decimal"/>
      <w:isLgl w:val="false"/>
      <w:suff w:val="tab"/>
      <w:lvlText w:val="%1.%2."/>
      <w:lvlJc w:val="left"/>
      <w:pPr>
        <w:ind w:left="1020" w:hanging="36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04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00" w:hanging="72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72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380" w:hanging="108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40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060" w:hanging="144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080" w:hanging="1800"/>
      </w:pPr>
      <w:rPr>
        <w:rFonts w:hint="default" w:ascii="Times New Roman" w:hAnsi="Times New Roman" w:cs="Times New Roman" w:eastAsiaTheme="minorHAnsi"/>
        <w:b/>
        <w:color w:val="0000ff" w:themeColor="hyperlink"/>
        <w:u w:val="single"/>
      </w:rPr>
    </w:lvl>
  </w:abstractNum>
  <w:num w:numId="1">
    <w:abstractNumId w:val="12"/>
  </w:num>
  <w:num w:numId="2">
    <w:abstractNumId w:val="10"/>
  </w:num>
  <w:num w:numId="3">
    <w:abstractNumId w:val="1"/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9"/>
  </w:num>
  <w:num w:numId="9">
    <w:abstractNumId w:val="5"/>
  </w:num>
  <w:num w:numId="10">
    <w:abstractNumId w:val="13"/>
  </w:num>
  <w:num w:numId="11">
    <w:abstractNumId w:val="4"/>
  </w:num>
  <w:num w:numId="12">
    <w:abstractNumId w:val="6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6">
    <w:name w:val="Heading 2 Char"/>
    <w:basedOn w:val="739"/>
    <w:link w:val="731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739"/>
    <w:link w:val="732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39"/>
    <w:link w:val="733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739"/>
    <w:link w:val="734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739"/>
    <w:link w:val="735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739"/>
    <w:link w:val="73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739"/>
    <w:link w:val="737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739"/>
    <w:link w:val="738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739"/>
    <w:link w:val="751"/>
    <w:uiPriority w:val="10"/>
    <w:rPr>
      <w:sz w:val="48"/>
      <w:szCs w:val="48"/>
    </w:rPr>
  </w:style>
  <w:style w:type="character" w:styleId="39">
    <w:name w:val="Quote Char"/>
    <w:link w:val="754"/>
    <w:uiPriority w:val="29"/>
    <w:rPr>
      <w:i/>
    </w:rPr>
  </w:style>
  <w:style w:type="character" w:styleId="41">
    <w:name w:val="Intense Quote Char"/>
    <w:link w:val="756"/>
    <w:uiPriority w:val="30"/>
    <w:rPr>
      <w:i/>
    </w:rPr>
  </w:style>
  <w:style w:type="character" w:styleId="176">
    <w:name w:val="Footnote Text Char"/>
    <w:link w:val="887"/>
    <w:uiPriority w:val="99"/>
    <w:rPr>
      <w:sz w:val="18"/>
    </w:rPr>
  </w:style>
  <w:style w:type="character" w:styleId="179">
    <w:name w:val="Endnote Text Char"/>
    <w:link w:val="890"/>
    <w:uiPriority w:val="99"/>
    <w:rPr>
      <w:sz w:val="20"/>
    </w:rPr>
  </w:style>
  <w:style w:type="paragraph" w:styleId="729" w:default="1">
    <w:name w:val="Normal"/>
    <w:qFormat/>
  </w:style>
  <w:style w:type="paragraph" w:styleId="730">
    <w:name w:val="Heading 1"/>
    <w:basedOn w:val="729"/>
    <w:next w:val="729"/>
    <w:link w:val="901"/>
    <w:uiPriority w:val="9"/>
    <w:qFormat/>
    <w:pPr>
      <w:keepLines/>
      <w:keepNext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731">
    <w:name w:val="Heading 2"/>
    <w:basedOn w:val="729"/>
    <w:next w:val="729"/>
    <w:link w:val="743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732">
    <w:name w:val="Heading 3"/>
    <w:basedOn w:val="729"/>
    <w:next w:val="729"/>
    <w:link w:val="744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733">
    <w:name w:val="Heading 4"/>
    <w:basedOn w:val="729"/>
    <w:next w:val="729"/>
    <w:link w:val="745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34">
    <w:name w:val="Heading 5"/>
    <w:basedOn w:val="729"/>
    <w:next w:val="729"/>
    <w:link w:val="746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35">
    <w:name w:val="Heading 6"/>
    <w:basedOn w:val="729"/>
    <w:next w:val="729"/>
    <w:link w:val="747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736">
    <w:name w:val="Heading 7"/>
    <w:basedOn w:val="729"/>
    <w:next w:val="729"/>
    <w:link w:val="748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737">
    <w:name w:val="Heading 8"/>
    <w:basedOn w:val="729"/>
    <w:next w:val="729"/>
    <w:link w:val="749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738">
    <w:name w:val="Heading 9"/>
    <w:basedOn w:val="729"/>
    <w:next w:val="729"/>
    <w:link w:val="750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9" w:default="1">
    <w:name w:val="Default Paragraph Font"/>
    <w:uiPriority w:val="1"/>
    <w:semiHidden/>
    <w:unhideWhenUsed/>
  </w:style>
  <w:style w:type="table" w:styleId="74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41" w:default="1">
    <w:name w:val="No List"/>
    <w:uiPriority w:val="99"/>
    <w:semiHidden/>
    <w:unhideWhenUsed/>
  </w:style>
  <w:style w:type="character" w:styleId="742" w:customStyle="1">
    <w:name w:val="Heading 1 Char"/>
    <w:basedOn w:val="739"/>
    <w:uiPriority w:val="9"/>
    <w:rPr>
      <w:rFonts w:ascii="Arial" w:hAnsi="Arial" w:eastAsia="Arial" w:cs="Arial"/>
      <w:sz w:val="40"/>
      <w:szCs w:val="40"/>
    </w:rPr>
  </w:style>
  <w:style w:type="character" w:styleId="743" w:customStyle="1">
    <w:name w:val="Заголовок 2 Знак"/>
    <w:basedOn w:val="739"/>
    <w:link w:val="731"/>
    <w:uiPriority w:val="9"/>
    <w:rPr>
      <w:rFonts w:ascii="Arial" w:hAnsi="Arial" w:eastAsia="Arial" w:cs="Arial"/>
      <w:sz w:val="34"/>
    </w:rPr>
  </w:style>
  <w:style w:type="character" w:styleId="744" w:customStyle="1">
    <w:name w:val="Заголовок 3 Знак"/>
    <w:basedOn w:val="739"/>
    <w:link w:val="732"/>
    <w:uiPriority w:val="9"/>
    <w:rPr>
      <w:rFonts w:ascii="Arial" w:hAnsi="Arial" w:eastAsia="Arial" w:cs="Arial"/>
      <w:sz w:val="30"/>
      <w:szCs w:val="30"/>
    </w:rPr>
  </w:style>
  <w:style w:type="character" w:styleId="745" w:customStyle="1">
    <w:name w:val="Заголовок 4 Знак"/>
    <w:basedOn w:val="739"/>
    <w:link w:val="733"/>
    <w:uiPriority w:val="9"/>
    <w:rPr>
      <w:rFonts w:ascii="Arial" w:hAnsi="Arial" w:eastAsia="Arial" w:cs="Arial"/>
      <w:b/>
      <w:bCs/>
      <w:sz w:val="26"/>
      <w:szCs w:val="26"/>
    </w:rPr>
  </w:style>
  <w:style w:type="character" w:styleId="746" w:customStyle="1">
    <w:name w:val="Заголовок 5 Знак"/>
    <w:basedOn w:val="739"/>
    <w:link w:val="734"/>
    <w:uiPriority w:val="9"/>
    <w:rPr>
      <w:rFonts w:ascii="Arial" w:hAnsi="Arial" w:eastAsia="Arial" w:cs="Arial"/>
      <w:b/>
      <w:bCs/>
      <w:sz w:val="24"/>
      <w:szCs w:val="24"/>
    </w:rPr>
  </w:style>
  <w:style w:type="character" w:styleId="747" w:customStyle="1">
    <w:name w:val="Заголовок 6 Знак"/>
    <w:basedOn w:val="739"/>
    <w:link w:val="735"/>
    <w:uiPriority w:val="9"/>
    <w:rPr>
      <w:rFonts w:ascii="Arial" w:hAnsi="Arial" w:eastAsia="Arial" w:cs="Arial"/>
      <w:b/>
      <w:bCs/>
      <w:sz w:val="22"/>
      <w:szCs w:val="22"/>
    </w:rPr>
  </w:style>
  <w:style w:type="character" w:styleId="748" w:customStyle="1">
    <w:name w:val="Заголовок 7 Знак"/>
    <w:basedOn w:val="739"/>
    <w:link w:val="73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49" w:customStyle="1">
    <w:name w:val="Заголовок 8 Знак"/>
    <w:basedOn w:val="739"/>
    <w:link w:val="737"/>
    <w:uiPriority w:val="9"/>
    <w:rPr>
      <w:rFonts w:ascii="Arial" w:hAnsi="Arial" w:eastAsia="Arial" w:cs="Arial"/>
      <w:i/>
      <w:iCs/>
      <w:sz w:val="22"/>
      <w:szCs w:val="22"/>
    </w:rPr>
  </w:style>
  <w:style w:type="character" w:styleId="750" w:customStyle="1">
    <w:name w:val="Заголовок 9 Знак"/>
    <w:basedOn w:val="739"/>
    <w:link w:val="738"/>
    <w:uiPriority w:val="9"/>
    <w:rPr>
      <w:rFonts w:ascii="Arial" w:hAnsi="Arial" w:eastAsia="Arial" w:cs="Arial"/>
      <w:i/>
      <w:iCs/>
      <w:sz w:val="21"/>
      <w:szCs w:val="21"/>
    </w:rPr>
  </w:style>
  <w:style w:type="paragraph" w:styleId="751">
    <w:name w:val="Title"/>
    <w:basedOn w:val="729"/>
    <w:next w:val="729"/>
    <w:link w:val="752"/>
    <w:uiPriority w:val="10"/>
    <w:qFormat/>
    <w:pPr>
      <w:contextualSpacing/>
      <w:spacing w:before="300"/>
    </w:pPr>
    <w:rPr>
      <w:sz w:val="48"/>
      <w:szCs w:val="48"/>
    </w:rPr>
  </w:style>
  <w:style w:type="character" w:styleId="752" w:customStyle="1">
    <w:name w:val="Заголовок Знак"/>
    <w:basedOn w:val="739"/>
    <w:link w:val="751"/>
    <w:uiPriority w:val="10"/>
    <w:rPr>
      <w:sz w:val="48"/>
      <w:szCs w:val="48"/>
    </w:rPr>
  </w:style>
  <w:style w:type="character" w:styleId="753" w:customStyle="1">
    <w:name w:val="Subtitle Char"/>
    <w:basedOn w:val="739"/>
    <w:uiPriority w:val="11"/>
    <w:rPr>
      <w:sz w:val="24"/>
      <w:szCs w:val="24"/>
    </w:rPr>
  </w:style>
  <w:style w:type="paragraph" w:styleId="754">
    <w:name w:val="Quote"/>
    <w:basedOn w:val="729"/>
    <w:next w:val="729"/>
    <w:link w:val="755"/>
    <w:uiPriority w:val="29"/>
    <w:qFormat/>
    <w:pPr>
      <w:ind w:left="720" w:right="720"/>
    </w:pPr>
    <w:rPr>
      <w:i/>
    </w:rPr>
  </w:style>
  <w:style w:type="character" w:styleId="755" w:customStyle="1">
    <w:name w:val="Цитата 2 Знак"/>
    <w:link w:val="754"/>
    <w:uiPriority w:val="29"/>
    <w:rPr>
      <w:i/>
    </w:rPr>
  </w:style>
  <w:style w:type="paragraph" w:styleId="756">
    <w:name w:val="Intense Quote"/>
    <w:basedOn w:val="729"/>
    <w:next w:val="729"/>
    <w:link w:val="75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57" w:customStyle="1">
    <w:name w:val="Выделенная цитата Знак"/>
    <w:link w:val="756"/>
    <w:uiPriority w:val="30"/>
    <w:rPr>
      <w:i/>
    </w:rPr>
  </w:style>
  <w:style w:type="character" w:styleId="758" w:customStyle="1">
    <w:name w:val="Header Char"/>
    <w:basedOn w:val="739"/>
    <w:uiPriority w:val="99"/>
  </w:style>
  <w:style w:type="character" w:styleId="759" w:customStyle="1">
    <w:name w:val="Footer Char"/>
    <w:basedOn w:val="739"/>
    <w:uiPriority w:val="99"/>
  </w:style>
  <w:style w:type="paragraph" w:styleId="760">
    <w:name w:val="Caption"/>
    <w:basedOn w:val="729"/>
    <w:next w:val="729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61" w:customStyle="1">
    <w:name w:val="Caption Char"/>
    <w:uiPriority w:val="99"/>
  </w:style>
  <w:style w:type="table" w:styleId="762" w:customStyle="1">
    <w:name w:val="Table Grid Light"/>
    <w:basedOn w:val="74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63">
    <w:name w:val="Plain Table 1"/>
    <w:basedOn w:val="74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4">
    <w:name w:val="Plain Table 2"/>
    <w:basedOn w:val="740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5">
    <w:name w:val="Plain Table 3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6">
    <w:name w:val="Plain Table 4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Plain Table 5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8">
    <w:name w:val="Grid Table 1 Light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1 Light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Grid Table 1 Light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Grid Table 1 Light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Grid Table 1 Light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Grid Table 1 Light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 w:customStyle="1">
    <w:name w:val="Grid Table 1 Light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Grid Table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2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2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2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2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2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2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3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Grid Table 3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Grid Table 3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3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Grid Table 3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Grid Table 3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4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0" w:customStyle="1">
    <w:name w:val="Grid Table 4 - Accent 1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91" w:customStyle="1">
    <w:name w:val="Grid Table 4 - Accent 2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92" w:customStyle="1">
    <w:name w:val="Grid Table 4 - Accent 3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93" w:customStyle="1">
    <w:name w:val="Grid Table 4 - Accent 4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94" w:customStyle="1">
    <w:name w:val="Grid Table 4 - Accent 5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95" w:customStyle="1">
    <w:name w:val="Grid Table 4 - Accent 6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96">
    <w:name w:val="Grid Table 5 Dark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5 Dark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8" w:customStyle="1">
    <w:name w:val="Grid Table 5 Dark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9" w:customStyle="1">
    <w:name w:val="Grid Table 5 Dark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00" w:customStyle="1">
    <w:name w:val="Grid Table 5 Dark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01" w:customStyle="1">
    <w:name w:val="Grid Table 5 Dark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02" w:customStyle="1">
    <w:name w:val="Grid Table 5 Dark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03">
    <w:name w:val="Grid Table 6 Colorful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04" w:customStyle="1">
    <w:name w:val="Grid Table 6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05" w:customStyle="1">
    <w:name w:val="Grid Table 6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06" w:customStyle="1">
    <w:name w:val="Grid Table 6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07" w:customStyle="1">
    <w:name w:val="Grid Table 6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8" w:customStyle="1">
    <w:name w:val="Grid Table 6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9" w:customStyle="1">
    <w:name w:val="Grid Table 6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10">
    <w:name w:val="Grid Table 7 Colorful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Grid Table 7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Grid Table 7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Grid Table 7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Grid Table 7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Grid Table 7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Grid Table 7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List Table 1 Light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1 Light - Accent 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1 Light - Accent 2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1 Light - Accent 3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1 Light - Accent 4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List Table 1 Light - Accent 5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List Table 1 Light - Accent 6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List Table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25" w:customStyle="1">
    <w:name w:val="List Table 2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26" w:customStyle="1">
    <w:name w:val="List Table 2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27" w:customStyle="1">
    <w:name w:val="List Table 2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8" w:customStyle="1">
    <w:name w:val="List Table 2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9" w:customStyle="1">
    <w:name w:val="List Table 2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30" w:customStyle="1">
    <w:name w:val="List Table 2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31">
    <w:name w:val="List Table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3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3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3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3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3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3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4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List Table 4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List Table 4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List Table 4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 w:customStyle="1">
    <w:name w:val="List Table 4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 w:customStyle="1">
    <w:name w:val="List Table 4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5 Dark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6" w:customStyle="1">
    <w:name w:val="List Table 5 Dark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7" w:customStyle="1">
    <w:name w:val="List Table 5 Dark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8" w:customStyle="1">
    <w:name w:val="List Table 5 Dark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9" w:customStyle="1">
    <w:name w:val="List Table 5 Dark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0" w:customStyle="1">
    <w:name w:val="List Table 5 Dark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1" w:customStyle="1">
    <w:name w:val="List Table 5 Dark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2">
    <w:name w:val="List Table 6 Colorful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53" w:customStyle="1">
    <w:name w:val="List Table 6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54" w:customStyle="1">
    <w:name w:val="List Table 6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55" w:customStyle="1">
    <w:name w:val="List Table 6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56" w:customStyle="1">
    <w:name w:val="List Table 6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57" w:customStyle="1">
    <w:name w:val="List Table 6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8" w:customStyle="1">
    <w:name w:val="List Table 6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9">
    <w:name w:val="List Table 7 Colorful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 w:customStyle="1">
    <w:name w:val="List Table 7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List Table 7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List Table 7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 w:customStyle="1">
    <w:name w:val="List Table 7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List Table 7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 w:customStyle="1">
    <w:name w:val="List Table 7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 w:customStyle="1">
    <w:name w:val="Lined - Accent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7" w:customStyle="1">
    <w:name w:val="Lined - Accent 1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8" w:customStyle="1">
    <w:name w:val="Lined - Accent 2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9" w:customStyle="1">
    <w:name w:val="Lined - Accent 3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0" w:customStyle="1">
    <w:name w:val="Lined - Accent 4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1" w:customStyle="1">
    <w:name w:val="Lined - Accent 5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2" w:customStyle="1">
    <w:name w:val="Lined - Accent 6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3" w:customStyle="1">
    <w:name w:val="Bordered &amp; Lined - Accent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74" w:customStyle="1">
    <w:name w:val="Bordered &amp; Lined - Accent 1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75" w:customStyle="1">
    <w:name w:val="Bordered &amp; Lined - Accent 2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76" w:customStyle="1">
    <w:name w:val="Bordered &amp; Lined - Accent 3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7" w:customStyle="1">
    <w:name w:val="Bordered &amp; Lined - Accent 4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8" w:customStyle="1">
    <w:name w:val="Bordered &amp; Lined - Accent 5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9" w:customStyle="1">
    <w:name w:val="Bordered &amp; Lined - Accent 6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80" w:customStyle="1">
    <w:name w:val="Bordered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81" w:customStyle="1">
    <w:name w:val="Bordered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82" w:customStyle="1">
    <w:name w:val="Bordered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83" w:customStyle="1">
    <w:name w:val="Bordered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84" w:customStyle="1">
    <w:name w:val="Bordered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85" w:customStyle="1">
    <w:name w:val="Bordered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86" w:customStyle="1">
    <w:name w:val="Bordered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87">
    <w:name w:val="footnote text"/>
    <w:basedOn w:val="729"/>
    <w:link w:val="888"/>
    <w:uiPriority w:val="99"/>
    <w:semiHidden/>
    <w:unhideWhenUsed/>
    <w:pPr>
      <w:spacing w:after="40" w:line="240" w:lineRule="auto"/>
    </w:pPr>
    <w:rPr>
      <w:sz w:val="18"/>
    </w:rPr>
  </w:style>
  <w:style w:type="character" w:styleId="888" w:customStyle="1">
    <w:name w:val="Текст сноски Знак"/>
    <w:link w:val="887"/>
    <w:uiPriority w:val="99"/>
    <w:rPr>
      <w:sz w:val="18"/>
    </w:rPr>
  </w:style>
  <w:style w:type="character" w:styleId="889">
    <w:name w:val="footnote reference"/>
    <w:basedOn w:val="739"/>
    <w:uiPriority w:val="99"/>
    <w:unhideWhenUsed/>
    <w:rPr>
      <w:vertAlign w:val="superscript"/>
    </w:rPr>
  </w:style>
  <w:style w:type="paragraph" w:styleId="890">
    <w:name w:val="endnote text"/>
    <w:basedOn w:val="729"/>
    <w:link w:val="891"/>
    <w:uiPriority w:val="99"/>
    <w:semiHidden/>
    <w:unhideWhenUsed/>
    <w:pPr>
      <w:spacing w:after="0" w:line="240" w:lineRule="auto"/>
    </w:pPr>
    <w:rPr>
      <w:sz w:val="20"/>
    </w:rPr>
  </w:style>
  <w:style w:type="character" w:styleId="891" w:customStyle="1">
    <w:name w:val="Текст концевой сноски Знак"/>
    <w:link w:val="890"/>
    <w:uiPriority w:val="99"/>
    <w:rPr>
      <w:sz w:val="20"/>
    </w:rPr>
  </w:style>
  <w:style w:type="character" w:styleId="892">
    <w:name w:val="endnote reference"/>
    <w:basedOn w:val="739"/>
    <w:uiPriority w:val="99"/>
    <w:semiHidden/>
    <w:unhideWhenUsed/>
    <w:rPr>
      <w:vertAlign w:val="superscript"/>
    </w:rPr>
  </w:style>
  <w:style w:type="paragraph" w:styleId="893">
    <w:name w:val="toc 5"/>
    <w:basedOn w:val="729"/>
    <w:next w:val="729"/>
    <w:uiPriority w:val="39"/>
    <w:unhideWhenUsed/>
    <w:pPr>
      <w:ind w:left="1134"/>
      <w:spacing w:after="57"/>
    </w:pPr>
  </w:style>
  <w:style w:type="paragraph" w:styleId="894">
    <w:name w:val="toc 6"/>
    <w:basedOn w:val="729"/>
    <w:next w:val="729"/>
    <w:uiPriority w:val="39"/>
    <w:unhideWhenUsed/>
    <w:pPr>
      <w:ind w:left="1417"/>
      <w:spacing w:after="57"/>
    </w:pPr>
  </w:style>
  <w:style w:type="paragraph" w:styleId="895">
    <w:name w:val="toc 7"/>
    <w:basedOn w:val="729"/>
    <w:next w:val="729"/>
    <w:uiPriority w:val="39"/>
    <w:unhideWhenUsed/>
    <w:pPr>
      <w:ind w:left="1701"/>
      <w:spacing w:after="57"/>
    </w:pPr>
  </w:style>
  <w:style w:type="paragraph" w:styleId="896">
    <w:name w:val="toc 8"/>
    <w:basedOn w:val="729"/>
    <w:next w:val="729"/>
    <w:uiPriority w:val="39"/>
    <w:unhideWhenUsed/>
    <w:pPr>
      <w:ind w:left="1984"/>
      <w:spacing w:after="57"/>
    </w:pPr>
  </w:style>
  <w:style w:type="paragraph" w:styleId="897">
    <w:name w:val="toc 9"/>
    <w:basedOn w:val="729"/>
    <w:next w:val="729"/>
    <w:uiPriority w:val="39"/>
    <w:unhideWhenUsed/>
    <w:pPr>
      <w:ind w:left="2268"/>
      <w:spacing w:after="57"/>
    </w:pPr>
  </w:style>
  <w:style w:type="paragraph" w:styleId="898">
    <w:name w:val="table of figures"/>
    <w:basedOn w:val="729"/>
    <w:next w:val="729"/>
    <w:uiPriority w:val="99"/>
    <w:unhideWhenUsed/>
    <w:pPr>
      <w:spacing w:after="0"/>
    </w:pPr>
  </w:style>
  <w:style w:type="character" w:styleId="899">
    <w:name w:val="Hyperlink"/>
    <w:basedOn w:val="739"/>
    <w:uiPriority w:val="99"/>
    <w:unhideWhenUsed/>
    <w:rPr>
      <w:color w:val="0000ff" w:themeColor="hyperlink"/>
      <w:u w:val="single"/>
    </w:rPr>
  </w:style>
  <w:style w:type="paragraph" w:styleId="900">
    <w:name w:val="Normal (Web)"/>
    <w:basedOn w:val="729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901" w:customStyle="1">
    <w:name w:val="Заголовок 1 Знак"/>
    <w:basedOn w:val="739"/>
    <w:link w:val="730"/>
    <w:uiPriority w:val="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902">
    <w:name w:val="TOC Heading"/>
    <w:basedOn w:val="730"/>
    <w:next w:val="729"/>
    <w:uiPriority w:val="39"/>
    <w:unhideWhenUsed/>
    <w:qFormat/>
    <w:pPr>
      <w:outlineLvl w:val="9"/>
    </w:pPr>
    <w:rPr>
      <w:lang w:eastAsia="ru-RU"/>
    </w:rPr>
  </w:style>
  <w:style w:type="paragraph" w:styleId="903">
    <w:name w:val="toc 2"/>
    <w:basedOn w:val="729"/>
    <w:next w:val="729"/>
    <w:uiPriority w:val="39"/>
    <w:semiHidden/>
    <w:unhideWhenUsed/>
    <w:qFormat/>
    <w:pPr>
      <w:ind w:left="220"/>
      <w:spacing w:after="100"/>
    </w:pPr>
    <w:rPr>
      <w:rFonts w:eastAsiaTheme="minorEastAsia"/>
      <w:lang w:eastAsia="ru-RU"/>
    </w:rPr>
  </w:style>
  <w:style w:type="paragraph" w:styleId="904">
    <w:name w:val="toc 1"/>
    <w:basedOn w:val="729"/>
    <w:next w:val="729"/>
    <w:uiPriority w:val="39"/>
    <w:unhideWhenUsed/>
    <w:qFormat/>
    <w:pPr>
      <w:spacing w:after="0" w:line="240" w:lineRule="auto"/>
      <w:tabs>
        <w:tab w:val="right" w:pos="9911" w:leader="dot"/>
      </w:tabs>
    </w:pPr>
    <w:rPr>
      <w:rFonts w:eastAsiaTheme="minorEastAsia"/>
      <w:lang w:eastAsia="ru-RU"/>
    </w:rPr>
  </w:style>
  <w:style w:type="paragraph" w:styleId="905">
    <w:name w:val="toc 3"/>
    <w:basedOn w:val="729"/>
    <w:next w:val="729"/>
    <w:uiPriority w:val="39"/>
    <w:unhideWhenUsed/>
    <w:qFormat/>
    <w:pPr>
      <w:ind w:left="440"/>
      <w:spacing w:after="100"/>
    </w:pPr>
    <w:rPr>
      <w:rFonts w:eastAsiaTheme="minorEastAsia"/>
      <w:lang w:eastAsia="ru-RU"/>
    </w:rPr>
  </w:style>
  <w:style w:type="paragraph" w:styleId="906">
    <w:name w:val="Balloon Text"/>
    <w:basedOn w:val="729"/>
    <w:link w:val="90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907" w:customStyle="1">
    <w:name w:val="Текст выноски Знак"/>
    <w:basedOn w:val="739"/>
    <w:link w:val="906"/>
    <w:uiPriority w:val="99"/>
    <w:semiHidden/>
    <w:rPr>
      <w:rFonts w:ascii="Tahoma" w:hAnsi="Tahoma" w:cs="Tahoma"/>
      <w:sz w:val="16"/>
      <w:szCs w:val="16"/>
    </w:rPr>
  </w:style>
  <w:style w:type="paragraph" w:styleId="908">
    <w:name w:val="List Paragraph"/>
    <w:basedOn w:val="729"/>
    <w:uiPriority w:val="34"/>
    <w:qFormat/>
    <w:pPr>
      <w:contextualSpacing/>
      <w:ind w:left="720"/>
    </w:pPr>
  </w:style>
  <w:style w:type="character" w:styleId="909" w:customStyle="1">
    <w:name w:val="A9"/>
    <w:uiPriority w:val="99"/>
    <w:rPr>
      <w:rFonts w:cs="Trebuchet MS"/>
      <w:color w:val="000000"/>
    </w:rPr>
  </w:style>
  <w:style w:type="paragraph" w:styleId="910">
    <w:name w:val="Header"/>
    <w:basedOn w:val="729"/>
    <w:link w:val="91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11" w:customStyle="1">
    <w:name w:val="Верхний колонтитул Знак"/>
    <w:basedOn w:val="739"/>
    <w:link w:val="910"/>
    <w:uiPriority w:val="99"/>
  </w:style>
  <w:style w:type="paragraph" w:styleId="912">
    <w:name w:val="Footer"/>
    <w:basedOn w:val="729"/>
    <w:link w:val="91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13" w:customStyle="1">
    <w:name w:val="Нижний колонтитул Знак"/>
    <w:basedOn w:val="739"/>
    <w:link w:val="912"/>
    <w:uiPriority w:val="99"/>
  </w:style>
  <w:style w:type="table" w:styleId="914">
    <w:name w:val="Table Grid"/>
    <w:basedOn w:val="740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15">
    <w:name w:val="Subtitle"/>
    <w:basedOn w:val="729"/>
    <w:next w:val="729"/>
    <w:link w:val="916"/>
    <w:uiPriority w:val="11"/>
    <w:qFormat/>
    <w:pPr>
      <w:numPr>
        <w:ilvl w:val="1"/>
      </w:numPr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916" w:customStyle="1">
    <w:name w:val="Подзаголовок Знак"/>
    <w:basedOn w:val="739"/>
    <w:link w:val="915"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917">
    <w:name w:val="toc 4"/>
    <w:basedOn w:val="729"/>
    <w:next w:val="729"/>
    <w:uiPriority w:val="39"/>
    <w:unhideWhenUsed/>
    <w:pPr>
      <w:ind w:left="660"/>
      <w:spacing w:after="0" w:line="240" w:lineRule="auto"/>
      <w:tabs>
        <w:tab w:val="right" w:pos="9911" w:leader="dot"/>
      </w:tabs>
    </w:pPr>
  </w:style>
  <w:style w:type="character" w:styleId="918">
    <w:name w:val="annotation reference"/>
    <w:basedOn w:val="739"/>
    <w:uiPriority w:val="99"/>
    <w:semiHidden/>
    <w:unhideWhenUsed/>
    <w:rPr>
      <w:sz w:val="16"/>
      <w:szCs w:val="16"/>
    </w:rPr>
  </w:style>
  <w:style w:type="paragraph" w:styleId="919">
    <w:name w:val="annotation text"/>
    <w:basedOn w:val="729"/>
    <w:link w:val="920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920" w:customStyle="1">
    <w:name w:val="Текст примечания Знак"/>
    <w:basedOn w:val="739"/>
    <w:link w:val="919"/>
    <w:uiPriority w:val="99"/>
    <w:semiHidden/>
    <w:rPr>
      <w:sz w:val="20"/>
      <w:szCs w:val="20"/>
    </w:rPr>
  </w:style>
  <w:style w:type="paragraph" w:styleId="921">
    <w:name w:val="annotation subject"/>
    <w:basedOn w:val="919"/>
    <w:next w:val="919"/>
    <w:link w:val="922"/>
    <w:uiPriority w:val="99"/>
    <w:semiHidden/>
    <w:unhideWhenUsed/>
    <w:rPr>
      <w:b/>
      <w:bCs/>
    </w:rPr>
  </w:style>
  <w:style w:type="character" w:styleId="922" w:customStyle="1">
    <w:name w:val="Тема примечания Знак"/>
    <w:basedOn w:val="920"/>
    <w:link w:val="921"/>
    <w:uiPriority w:val="99"/>
    <w:semiHidden/>
    <w:rPr>
      <w:b/>
      <w:bCs/>
      <w:sz w:val="20"/>
      <w:szCs w:val="20"/>
    </w:rPr>
  </w:style>
  <w:style w:type="paragraph" w:styleId="923" w:customStyle="1">
    <w:name w:val="Default"/>
    <w:pPr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924" w:customStyle="1">
    <w:name w:val="Сетка таблицы1"/>
    <w:basedOn w:val="740"/>
    <w:next w:val="91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25">
    <w:name w:val="Revision"/>
    <w:hidden/>
    <w:uiPriority w:val="99"/>
    <w:semiHidden/>
    <w:pPr>
      <w:spacing w:after="0" w:line="240" w:lineRule="auto"/>
    </w:pPr>
  </w:style>
  <w:style w:type="table" w:styleId="926" w:customStyle="1">
    <w:name w:val="Сетка таблицы11"/>
    <w:basedOn w:val="740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27">
    <w:name w:val="No Spacing"/>
    <w:link w:val="928"/>
    <w:uiPriority w:val="1"/>
    <w:qFormat/>
    <w:pPr>
      <w:spacing w:after="0" w:line="240" w:lineRule="auto"/>
    </w:pPr>
    <w:rPr>
      <w:rFonts w:ascii="Calibri" w:hAnsi="Calibri" w:eastAsia="Times New Roman" w:cs="Times New Roman"/>
      <w:lang w:eastAsia="ru-RU"/>
    </w:rPr>
  </w:style>
  <w:style w:type="character" w:styleId="928" w:customStyle="1">
    <w:name w:val="Без интервала Знак"/>
    <w:link w:val="927"/>
    <w:uiPriority w:val="1"/>
    <w:rPr>
      <w:rFonts w:ascii="Calibri" w:hAnsi="Calibri" w:eastAsia="Times New Roman" w:cs="Times New Roman"/>
      <w:lang w:eastAsia="ru-RU"/>
    </w:rPr>
  </w:style>
  <w:style w:type="paragraph" w:styleId="929" w:customStyle="1">
    <w:name w:val="Без интервала1"/>
    <w:uiPriority w:val="1"/>
    <w:qFormat/>
    <w:pPr>
      <w:spacing w:after="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eastAsia="Times New Roman" w:cs="Times New Roman"/>
      <w:lang w:eastAsia="ru-RU"/>
    </w:rPr>
  </w:style>
  <w:style w:type="paragraph" w:styleId="930" w:customStyle="1">
    <w:name w:val="Обычный (веб)1"/>
    <w:pPr>
      <w:ind w:firstLine="200"/>
      <w:spacing w:before="100" w:beforeAutospacing="1" w:after="100" w:afterAutospacing="1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 w:eastAsia="Calibri" w:cs="Times New Roman"/>
      <w:sz w:val="24"/>
      <w:szCs w:val="24"/>
      <w:lang w:eastAsia="ru-RU"/>
    </w:rPr>
  </w:style>
  <w:style w:type="paragraph" w:styleId="931" w:customStyle="1">
    <w:name w:val="msonormal_mr_css_attr"/>
    <w:basedOn w:val="732"/>
    <w:pPr>
      <w:keepLines w:val="0"/>
      <w:keepNext w:val="0"/>
      <w:spacing w:before="100" w:beforeAutospacing="1" w:after="100" w:afterAutospacing="1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 w:cs="Times New Roman" w:eastAsiaTheme="minorHAnsi"/>
      <w:sz w:val="24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image" Target="media/image1.png"/><Relationship Id="rId13" Type="http://schemas.openxmlformats.org/officeDocument/2006/relationships/hyperlink" Target="http://bagan.nso.ru/" TargetMode="External"/><Relationship Id="rId14" Type="http://schemas.openxmlformats.org/officeDocument/2006/relationships/hyperlink" Target="http://vengerovo.ru/" TargetMode="External"/><Relationship Id="rId15" Type="http://schemas.openxmlformats.org/officeDocument/2006/relationships/hyperlink" Target="http://vengerovo.ru/" TargetMode="External"/><Relationship Id="rId16" Type="http://schemas.openxmlformats.org/officeDocument/2006/relationships/hyperlink" Target="http://vengerovo.ru/" TargetMode="External"/><Relationship Id="rId17" Type="http://schemas.openxmlformats.org/officeDocument/2006/relationships/hyperlink" Target="http://vengerovo.ru/" TargetMode="External"/><Relationship Id="rId18" Type="http://schemas.openxmlformats.org/officeDocument/2006/relationships/hyperlink" Target="http://www.zdvinsk.nso.ru/" TargetMode="External"/><Relationship Id="rId19" Type="http://schemas.openxmlformats.org/officeDocument/2006/relationships/hyperlink" Target="http://www.kochenevo.su/" TargetMode="External"/><Relationship Id="rId20" Type="http://schemas.openxmlformats.org/officeDocument/2006/relationships/hyperlink" Target="http://www.kochenevo.su/" TargetMode="External"/><Relationship Id="rId21" Type="http://schemas.openxmlformats.org/officeDocument/2006/relationships/hyperlink" Target="http://www.kochki.oblnso.ru/" TargetMode="External"/><Relationship Id="rId22" Type="http://schemas.openxmlformats.org/officeDocument/2006/relationships/hyperlink" Target="http://www.kochki.oblnso.ru/" TargetMode="External"/><Relationship Id="rId23" Type="http://schemas.openxmlformats.org/officeDocument/2006/relationships/hyperlink" Target="http://www.kochki.oblnso.ru/" TargetMode="External"/><Relationship Id="rId24" Type="http://schemas.openxmlformats.org/officeDocument/2006/relationships/hyperlink" Target="http://www.krasnozerskoe.nsknet.ru/" TargetMode="External"/><Relationship Id="rId25" Type="http://schemas.openxmlformats.org/officeDocument/2006/relationships/hyperlink" Target="http://www.krasnozerskoe.nsknet.ru/" TargetMode="External"/><Relationship Id="rId26" Type="http://schemas.openxmlformats.org/officeDocument/2006/relationships/hyperlink" Target="http://www.kochki.oblnso.ru/" TargetMode="External"/><Relationship Id="rId27" Type="http://schemas.openxmlformats.org/officeDocument/2006/relationships/hyperlink" Target="http://kuibyshev.nso.ru/" TargetMode="External"/><Relationship Id="rId28" Type="http://schemas.openxmlformats.org/officeDocument/2006/relationships/hyperlink" Target="http://www.kyshtovka.nsknet.ru/" TargetMode="External"/><Relationship Id="rId29" Type="http://schemas.openxmlformats.org/officeDocument/2006/relationships/hyperlink" Target="http://www.kyshtovka.nsknet.ru/" TargetMode="External"/><Relationship Id="rId30" Type="http://schemas.openxmlformats.org/officeDocument/2006/relationships/hyperlink" Target="http://n-adm.n-sk.net/" TargetMode="External"/><Relationship Id="rId31" Type="http://schemas.openxmlformats.org/officeDocument/2006/relationships/hyperlink" Target="http://www.ordynsk.nso.ru/" TargetMode="External"/><Relationship Id="rId32" Type="http://schemas.openxmlformats.org/officeDocument/2006/relationships/hyperlink" Target="http://www.severnoe.nso.ru/" TargetMode="External"/><Relationship Id="rId33" Type="http://schemas.openxmlformats.org/officeDocument/2006/relationships/hyperlink" Target="http://www.suzun.nso.ru/" TargetMode="External"/><Relationship Id="rId34" Type="http://schemas.openxmlformats.org/officeDocument/2006/relationships/hyperlink" Target="http://cherepanovo.nso.ru/" TargetMode="External"/><Relationship Id="rId35" Type="http://schemas.openxmlformats.org/officeDocument/2006/relationships/hyperlink" Target="http://chistoozerniy.oblnso.ru/" TargetMode="External"/><Relationship Id="rId36" Type="http://schemas.openxmlformats.org/officeDocument/2006/relationships/hyperlink" Target="http://chistoozerniy.oblnso.ru/" TargetMode="External"/><Relationship Id="rId37" Type="http://schemas.openxmlformats.org/officeDocument/2006/relationships/hyperlink" Target="http://chistoozerniy.oblnso.ru/" TargetMode="External"/><Relationship Id="rId38" Type="http://schemas.openxmlformats.org/officeDocument/2006/relationships/hyperlink" Target="https://berdsk.nso.ru/" TargetMode="External"/><Relationship Id="rId39" Type="http://schemas.openxmlformats.org/officeDocument/2006/relationships/hyperlink" Target="https://iskitim.nso.ru/" TargetMode="External"/><Relationship Id="rId40" Type="http://schemas.openxmlformats.org/officeDocument/2006/relationships/hyperlink" Target="http://www.novo-sibirsk.ru/" TargetMode="External"/><Relationship Id="rId41" Type="http://schemas.openxmlformats.org/officeDocument/2006/relationships/hyperlink" Target="http://gorodob.nso.ru/" TargetMode="External"/><Relationship Id="rId42" Type="http://schemas.openxmlformats.org/officeDocument/2006/relationships/chart" Target="charts/chart1.xml" /><Relationship Id="rId43" Type="http://schemas.openxmlformats.org/officeDocument/2006/relationships/chart" Target="charts/chart2.xml" /><Relationship Id="rId44" Type="http://schemas.openxmlformats.org/officeDocument/2006/relationships/chart" Target="charts/chart3.xml" /><Relationship Id="rId45" Type="http://schemas.openxmlformats.org/officeDocument/2006/relationships/chart" Target="charts/chart4.xml" /><Relationship Id="rId46" Type="http://schemas.openxmlformats.org/officeDocument/2006/relationships/chart" Target="charts/chart5.xml" /><Relationship Id="rId47" Type="http://schemas.openxmlformats.org/officeDocument/2006/relationships/chart" Target="charts/chart6.xml" /><Relationship Id="rId48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3.xlsx" /></Relationships>
</file>

<file path=word/charts/_rels/chart4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4.xlsx" /></Relationships>
</file>

<file path=word/charts/_rels/chart5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5.xlsx" /></Relationships>
</file>

<file path=word/charts/_rels/chart6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6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ru-RU" sz="1100" b="0" i="0">
                <a:solidFill>
                  <a:schemeClr val="tx1"/>
                </a:solidFill>
                <a:latin typeface="Times New Roman"/>
                <a:cs typeface="Times New Roman"/>
              </a:rPr>
              <a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организаций, процентов   </a:t>
            </a:r>
            <a:endParaRPr lang="ru-RU">
              <a:solidFill>
                <a:schemeClr val="tx1"/>
              </a:solidFill>
              <a:latin typeface="Times New Roman"/>
              <a:cs typeface="Times New Roman"/>
            </a:endParaRPr>
          </a:p>
        </c:rich>
      </c:tx>
      <c:layout/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'Лист2'!$B$2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tx2">
                <a:lumMod val="60000"/>
                <a:lumOff val="40000"/>
              </a:schemeClr>
            </a:solidFill>
            <a:ln>
              <a:noFill/>
            </a:ln>
          </c:spPr>
          <c:invertIfNegative val="0"/>
          <c:cat>
            <c:strRef>
              <c:f>'Лист2'!$A$3:$A$37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'Лист2'!$B$3:$B$37</c:f>
              <c:numCache>
                <c:formatCode>General</c:formatCode>
                <c:ptCount val="35"/>
                <c:pt idx="0">
                  <c:v>31.47</c:v>
                </c:pt>
                <c:pt idx="1">
                  <c:v>10.39</c:v>
                </c:pt>
                <c:pt idx="2">
                  <c:v>12.49</c:v>
                </c:pt>
                <c:pt idx="3">
                  <c:v>28.49</c:v>
                </c:pt>
                <c:pt idx="4">
                  <c:v>19</c:v>
                </c:pt>
                <c:pt idx="5">
                  <c:v>36.6</c:v>
                </c:pt>
                <c:pt idx="6">
                  <c:v>11.57</c:v>
                </c:pt>
                <c:pt idx="7">
                  <c:v>17.03</c:v>
                </c:pt>
                <c:pt idx="8">
                  <c:v>17.43</c:v>
                </c:pt>
                <c:pt idx="9">
                  <c:v>29.01</c:v>
                </c:pt>
                <c:pt idx="10">
                  <c:v>19.75</c:v>
                </c:pt>
                <c:pt idx="11">
                  <c:v>12.22</c:v>
                </c:pt>
                <c:pt idx="12">
                  <c:v>30.44</c:v>
                </c:pt>
                <c:pt idx="13">
                  <c:v>19.64</c:v>
                </c:pt>
                <c:pt idx="14">
                  <c:v>20.58</c:v>
                </c:pt>
                <c:pt idx="15">
                  <c:v>5.33</c:v>
                </c:pt>
                <c:pt idx="16">
                  <c:v>19.34</c:v>
                </c:pt>
                <c:pt idx="17">
                  <c:v>14.23</c:v>
                </c:pt>
                <c:pt idx="18">
                  <c:v>33.17</c:v>
                </c:pt>
                <c:pt idx="19">
                  <c:v>16.76</c:v>
                </c:pt>
                <c:pt idx="20">
                  <c:v>18.99</c:v>
                </c:pt>
                <c:pt idx="21">
                  <c:v>35.82</c:v>
                </c:pt>
                <c:pt idx="22">
                  <c:v>25.63</c:v>
                </c:pt>
                <c:pt idx="23">
                  <c:v>18.14</c:v>
                </c:pt>
                <c:pt idx="24">
                  <c:v>9.77</c:v>
                </c:pt>
                <c:pt idx="25">
                  <c:v>34.45</c:v>
                </c:pt>
                <c:pt idx="26">
                  <c:v>16.59</c:v>
                </c:pt>
                <c:pt idx="27">
                  <c:v>22.17</c:v>
                </c:pt>
                <c:pt idx="28">
                  <c:v>12.49</c:v>
                </c:pt>
                <c:pt idx="29">
                  <c:v>12.96</c:v>
                </c:pt>
                <c:pt idx="30">
                  <c:v>42.8</c:v>
                </c:pt>
                <c:pt idx="31">
                  <c:v>39.93</c:v>
                </c:pt>
                <c:pt idx="32">
                  <c:v>25.4</c:v>
                </c:pt>
                <c:pt idx="33">
                  <c:v>14.23</c:v>
                </c:pt>
                <c:pt idx="34">
                  <c:v>24.37</c:v>
                </c:pt>
              </c:numCache>
            </c:numRef>
          </c:val>
        </c:ser>
        <c:ser>
          <c:idx val="1"/>
          <c:order val="1"/>
          <c:tx>
            <c:strRef>
              <c:f>'Лист2'!$C$2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</a:ln>
          </c:spPr>
          <c:invertIfNegative val="0"/>
          <c:cat>
            <c:strRef>
              <c:f>'Лист2'!$A$3:$A$37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'Лист2'!$C$3:$C$37</c:f>
              <c:numCache>
                <c:formatCode>General</c:formatCode>
                <c:ptCount val="35"/>
                <c:pt idx="0">
                  <c:v>26.4</c:v>
                </c:pt>
                <c:pt idx="1">
                  <c:v>9.61</c:v>
                </c:pt>
                <c:pt idx="2">
                  <c:v>12.3</c:v>
                </c:pt>
                <c:pt idx="3">
                  <c:v>28.84</c:v>
                </c:pt>
                <c:pt idx="4">
                  <c:v>17.4</c:v>
                </c:pt>
                <c:pt idx="5">
                  <c:v>30.65</c:v>
                </c:pt>
                <c:pt idx="6">
                  <c:v>11.51</c:v>
                </c:pt>
                <c:pt idx="7">
                  <c:v>14.76</c:v>
                </c:pt>
                <c:pt idx="8">
                  <c:v>17.1</c:v>
                </c:pt>
                <c:pt idx="9">
                  <c:v>26.52</c:v>
                </c:pt>
                <c:pt idx="10">
                  <c:v>19.19</c:v>
                </c:pt>
                <c:pt idx="11">
                  <c:v>25.84</c:v>
                </c:pt>
                <c:pt idx="12">
                  <c:v>22.99</c:v>
                </c:pt>
                <c:pt idx="13">
                  <c:v>18.75</c:v>
                </c:pt>
                <c:pt idx="14">
                  <c:v>19.75</c:v>
                </c:pt>
                <c:pt idx="15">
                  <c:v>5.39</c:v>
                </c:pt>
                <c:pt idx="16">
                  <c:v>19.97</c:v>
                </c:pt>
                <c:pt idx="17">
                  <c:v>13.42</c:v>
                </c:pt>
                <c:pt idx="18">
                  <c:v>31.12</c:v>
                </c:pt>
                <c:pt idx="19">
                  <c:v>17.58</c:v>
                </c:pt>
                <c:pt idx="20">
                  <c:v>17.41</c:v>
                </c:pt>
                <c:pt idx="21">
                  <c:v>34.01</c:v>
                </c:pt>
                <c:pt idx="22">
                  <c:v>24.71</c:v>
                </c:pt>
                <c:pt idx="23">
                  <c:v>18.54</c:v>
                </c:pt>
                <c:pt idx="24">
                  <c:v>12.38</c:v>
                </c:pt>
                <c:pt idx="25">
                  <c:v>31.62</c:v>
                </c:pt>
                <c:pt idx="26">
                  <c:v>16.38</c:v>
                </c:pt>
                <c:pt idx="27">
                  <c:v>21.15</c:v>
                </c:pt>
                <c:pt idx="28">
                  <c:v>15.15</c:v>
                </c:pt>
                <c:pt idx="29">
                  <c:v>12.33</c:v>
                </c:pt>
                <c:pt idx="30">
                  <c:v>42.09</c:v>
                </c:pt>
                <c:pt idx="31">
                  <c:v>38.06</c:v>
                </c:pt>
                <c:pt idx="32">
                  <c:v>24.15</c:v>
                </c:pt>
                <c:pt idx="33">
                  <c:v>13.51</c:v>
                </c:pt>
                <c:pt idx="34">
                  <c:v>26.86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663"/>
        <c:axId val="1998337664"/>
      </c:barChart>
      <c:catAx>
        <c:axId val="199833766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98337664"/>
        <c:crosses val="autoZero"/>
        <c:auto val="1"/>
        <c:lblAlgn val="ctr"/>
        <c:lblOffset val="100"/>
        <c:noMultiLvlLbl val="0"/>
      </c:catAx>
      <c:valAx>
        <c:axId val="1998337664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663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813266" cy="5510307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0" spc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/>
                </a:solidFill>
                <a:latin typeface="Times New Roman"/>
                <a:cs typeface="Times New Roman"/>
              </a:rPr>
              <a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значения, процентов</a:t>
            </a:r>
            <a:endParaRPr lang="ru-RU">
              <a:solidFill>
                <a:schemeClr val="tx1"/>
              </a:solidFill>
            </a:endParaRPr>
          </a:p>
        </c:rich>
      </c:tx>
      <c:layout>
        <c:manualLayout>
          <c:xMode val="edge"/>
          <c:yMode val="edge"/>
          <c:x val="0.135112"/>
          <c:y val="0.015961"/>
        </c:manualLayout>
      </c:layout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'Лист2'!$B$41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/>
            </a:solidFill>
            <a:ln>
              <a:noFill/>
            </a:ln>
          </c:spPr>
          <c:invertIfNegative val="0"/>
          <c:cat>
            <c:strRef>
              <c:f>'Лист2'!$A$42:$A$76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'Лист2'!$B$42:$B$76</c:f>
              <c:numCache>
                <c:formatCode>General</c:formatCode>
                <c:ptCount val="35"/>
                <c:pt idx="0">
                  <c:v>61.4</c:v>
                </c:pt>
                <c:pt idx="1">
                  <c:v>83.2</c:v>
                </c:pt>
                <c:pt idx="2">
                  <c:v>65.8</c:v>
                </c:pt>
                <c:pt idx="3">
                  <c:v>39.6</c:v>
                </c:pt>
                <c:pt idx="4">
                  <c:v>61.6</c:v>
                </c:pt>
                <c:pt idx="5">
                  <c:v>61.9</c:v>
                </c:pt>
                <c:pt idx="6">
                  <c:v>4.3</c:v>
                </c:pt>
                <c:pt idx="7">
                  <c:v>57</c:v>
                </c:pt>
                <c:pt idx="8">
                  <c:v>47.6</c:v>
                </c:pt>
                <c:pt idx="9">
                  <c:v>47.9</c:v>
                </c:pt>
                <c:pt idx="10">
                  <c:v>48.7</c:v>
                </c:pt>
                <c:pt idx="11">
                  <c:v>84.3</c:v>
                </c:pt>
                <c:pt idx="12">
                  <c:v>57.5</c:v>
                </c:pt>
                <c:pt idx="13">
                  <c:v>37.8</c:v>
                </c:pt>
                <c:pt idx="14">
                  <c:v>61.5</c:v>
                </c:pt>
                <c:pt idx="15">
                  <c:v>75.4</c:v>
                </c:pt>
                <c:pt idx="16">
                  <c:v>67.6</c:v>
                </c:pt>
                <c:pt idx="17">
                  <c:v>37.7</c:v>
                </c:pt>
                <c:pt idx="18">
                  <c:v>24.3</c:v>
                </c:pt>
                <c:pt idx="19">
                  <c:v>61.5</c:v>
                </c:pt>
                <c:pt idx="20">
                  <c:v>32.3</c:v>
                </c:pt>
                <c:pt idx="21">
                  <c:v>48.9</c:v>
                </c:pt>
                <c:pt idx="22">
                  <c:v>30.6</c:v>
                </c:pt>
                <c:pt idx="23">
                  <c:v>26.2</c:v>
                </c:pt>
                <c:pt idx="24">
                  <c:v>46.9</c:v>
                </c:pt>
                <c:pt idx="25">
                  <c:v>68</c:v>
                </c:pt>
                <c:pt idx="26">
                  <c:v>13.9</c:v>
                </c:pt>
                <c:pt idx="27">
                  <c:v>93.6</c:v>
                </c:pt>
                <c:pt idx="28">
                  <c:v>74.9</c:v>
                </c:pt>
                <c:pt idx="29">
                  <c:v>59.7</c:v>
                </c:pt>
                <c:pt idx="30">
                  <c:v>27</c:v>
                </c:pt>
                <c:pt idx="31">
                  <c:v>71.3</c:v>
                </c:pt>
                <c:pt idx="32">
                  <c:v>79.3</c:v>
                </c:pt>
                <c:pt idx="33">
                  <c:v>68.4</c:v>
                </c:pt>
                <c:pt idx="34">
                  <c:v>9.9</c:v>
                </c:pt>
              </c:numCache>
            </c:numRef>
          </c:val>
        </c:ser>
        <c:ser>
          <c:idx val="1"/>
          <c:order val="1"/>
          <c:tx>
            <c:strRef>
              <c:f>'Лист2'!$C$41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</a:ln>
          </c:spPr>
          <c:invertIfNegative val="0"/>
          <c:cat>
            <c:strRef>
              <c:f>'Лист2'!$A$42:$A$76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'Лист2'!$C$42:$C$76</c:f>
              <c:numCache>
                <c:formatCode>General</c:formatCode>
                <c:ptCount val="35"/>
                <c:pt idx="0">
                  <c:v>61.6</c:v>
                </c:pt>
                <c:pt idx="1">
                  <c:v>82.5</c:v>
                </c:pt>
                <c:pt idx="2">
                  <c:v>65.3</c:v>
                </c:pt>
                <c:pt idx="3">
                  <c:v>53.9</c:v>
                </c:pt>
                <c:pt idx="4">
                  <c:v>72.8</c:v>
                </c:pt>
                <c:pt idx="5">
                  <c:v>61.5</c:v>
                </c:pt>
                <c:pt idx="6">
                  <c:v>16.8</c:v>
                </c:pt>
                <c:pt idx="7">
                  <c:v>56.7</c:v>
                </c:pt>
                <c:pt idx="8">
                  <c:v>46.8</c:v>
                </c:pt>
                <c:pt idx="9">
                  <c:v>48.4</c:v>
                </c:pt>
                <c:pt idx="10">
                  <c:v>48.8</c:v>
                </c:pt>
                <c:pt idx="11">
                  <c:v>82.7</c:v>
                </c:pt>
                <c:pt idx="12">
                  <c:v>62.9</c:v>
                </c:pt>
                <c:pt idx="13">
                  <c:v>36</c:v>
                </c:pt>
                <c:pt idx="14">
                  <c:v>58.1</c:v>
                </c:pt>
                <c:pt idx="15">
                  <c:v>75.4</c:v>
                </c:pt>
                <c:pt idx="16">
                  <c:v>65.9</c:v>
                </c:pt>
                <c:pt idx="17">
                  <c:v>36.7</c:v>
                </c:pt>
                <c:pt idx="18">
                  <c:v>23.6</c:v>
                </c:pt>
                <c:pt idx="19">
                  <c:v>61.3</c:v>
                </c:pt>
                <c:pt idx="20">
                  <c:v>49.5</c:v>
                </c:pt>
                <c:pt idx="21">
                  <c:v>24.6</c:v>
                </c:pt>
                <c:pt idx="22">
                  <c:v>30.4</c:v>
                </c:pt>
                <c:pt idx="23">
                  <c:v>35.3</c:v>
                </c:pt>
                <c:pt idx="24">
                  <c:v>43</c:v>
                </c:pt>
                <c:pt idx="25">
                  <c:v>73.7</c:v>
                </c:pt>
                <c:pt idx="26">
                  <c:v>15.7</c:v>
                </c:pt>
                <c:pt idx="27">
                  <c:v>91.7</c:v>
                </c:pt>
                <c:pt idx="28">
                  <c:v>75</c:v>
                </c:pt>
                <c:pt idx="29">
                  <c:v>57.2</c:v>
                </c:pt>
                <c:pt idx="30">
                  <c:v>27</c:v>
                </c:pt>
                <c:pt idx="31">
                  <c:v>67.1</c:v>
                </c:pt>
                <c:pt idx="32">
                  <c:v>77.4</c:v>
                </c:pt>
                <c:pt idx="33">
                  <c:v>80.1</c:v>
                </c:pt>
                <c:pt idx="34">
                  <c:v>14.6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673"/>
        <c:axId val="1998337674"/>
      </c:barChart>
      <c:catAx>
        <c:axId val="199833767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98337674"/>
        <c:crosses val="autoZero"/>
        <c:auto val="1"/>
        <c:lblAlgn val="ctr"/>
        <c:lblOffset val="100"/>
        <c:noMultiLvlLbl val="0"/>
      </c:catAx>
      <c:valAx>
        <c:axId val="1998337674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673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648824" cy="6110382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0" spc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rPr lang="ru-RU" sz="1100" b="0" i="0" u="none" strike="noStrike">
                <a:solidFill>
                  <a:schemeClr val="tx1"/>
                </a:solidFill>
                <a:latin typeface="Times New Roman"/>
                <a:cs typeface="Times New Roman"/>
              </a:rPr>
              <a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 в общей численности детей в возрасте 1 - 6 лет, процентов</a:t>
            </a:r>
            <a:endParaRPr lang="ru-RU">
              <a:solidFill>
                <a:schemeClr val="tx1"/>
              </a:solidFill>
            </a:endParaRPr>
          </a:p>
        </c:rich>
      </c:tx>
      <c:layout/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043440"/>
          <c:y val="0.101810"/>
          <c:w val="0.943100"/>
          <c:h val="0.728650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'Лист2'!$B$118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/>
            </a:solidFill>
            <a:ln>
              <a:noFill/>
            </a:ln>
          </c:spPr>
          <c:invertIfNegative val="0"/>
          <c:cat>
            <c:strRef>
              <c:f>'Лист2'!$A$119:$A$153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'Лист2'!$B$119:$B$153</c:f>
              <c:numCache>
                <c:formatCode>General</c:formatCode>
                <c:ptCount val="35"/>
                <c:pt idx="0">
                  <c:v>55</c:v>
                </c:pt>
                <c:pt idx="1">
                  <c:v>54.6</c:v>
                </c:pt>
                <c:pt idx="2">
                  <c:v>48.7</c:v>
                </c:pt>
                <c:pt idx="3">
                  <c:v>39.9</c:v>
                </c:pt>
                <c:pt idx="4">
                  <c:v>41.7</c:v>
                </c:pt>
                <c:pt idx="5">
                  <c:v>79.04</c:v>
                </c:pt>
                <c:pt idx="6">
                  <c:v>65.76</c:v>
                </c:pt>
                <c:pt idx="7">
                  <c:v>71</c:v>
                </c:pt>
                <c:pt idx="8">
                  <c:v>46.2</c:v>
                </c:pt>
                <c:pt idx="9">
                  <c:v>62.7</c:v>
                </c:pt>
                <c:pt idx="10">
                  <c:v>63.4</c:v>
                </c:pt>
                <c:pt idx="11">
                  <c:v>64.9</c:v>
                </c:pt>
                <c:pt idx="12">
                  <c:v>57.5</c:v>
                </c:pt>
                <c:pt idx="13">
                  <c:v>57.54</c:v>
                </c:pt>
                <c:pt idx="14">
                  <c:v>71</c:v>
                </c:pt>
                <c:pt idx="15">
                  <c:v>65</c:v>
                </c:pt>
                <c:pt idx="16">
                  <c:v>64</c:v>
                </c:pt>
                <c:pt idx="17">
                  <c:v>53.85</c:v>
                </c:pt>
                <c:pt idx="18">
                  <c:v>56.6</c:v>
                </c:pt>
                <c:pt idx="19">
                  <c:v>54</c:v>
                </c:pt>
                <c:pt idx="20">
                  <c:v>53</c:v>
                </c:pt>
                <c:pt idx="21">
                  <c:v>53.1</c:v>
                </c:pt>
                <c:pt idx="22">
                  <c:v>53.5</c:v>
                </c:pt>
                <c:pt idx="23">
                  <c:v>48.2</c:v>
                </c:pt>
                <c:pt idx="24">
                  <c:v>74.3</c:v>
                </c:pt>
                <c:pt idx="25">
                  <c:v>58.7</c:v>
                </c:pt>
                <c:pt idx="26">
                  <c:v>66</c:v>
                </c:pt>
                <c:pt idx="27">
                  <c:v>52.5</c:v>
                </c:pt>
                <c:pt idx="28">
                  <c:v>69.5</c:v>
                </c:pt>
                <c:pt idx="29">
                  <c:v>54</c:v>
                </c:pt>
                <c:pt idx="30">
                  <c:v>75.98</c:v>
                </c:pt>
                <c:pt idx="31">
                  <c:v>80</c:v>
                </c:pt>
                <c:pt idx="32">
                  <c:v>80</c:v>
                </c:pt>
                <c:pt idx="33">
                  <c:v>60.5</c:v>
                </c:pt>
                <c:pt idx="34">
                  <c:v>80</c:v>
                </c:pt>
              </c:numCache>
            </c:numRef>
          </c:val>
        </c:ser>
        <c:ser>
          <c:idx val="1"/>
          <c:order val="1"/>
          <c:tx>
            <c:strRef>
              <c:f>'Лист2'!$C$118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</a:ln>
          </c:spPr>
          <c:invertIfNegative val="0"/>
          <c:cat>
            <c:strRef>
              <c:f>'Лист2'!$A$119:$A$153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'Лист2'!$C$119:$C$153</c:f>
              <c:numCache>
                <c:formatCode>General</c:formatCode>
                <c:ptCount val="35"/>
                <c:pt idx="0">
                  <c:v>54.2</c:v>
                </c:pt>
                <c:pt idx="1">
                  <c:v>63.4</c:v>
                </c:pt>
                <c:pt idx="2">
                  <c:v>48.7</c:v>
                </c:pt>
                <c:pt idx="3">
                  <c:v>40.1</c:v>
                </c:pt>
                <c:pt idx="4">
                  <c:v>42</c:v>
                </c:pt>
                <c:pt idx="5">
                  <c:v>86.75</c:v>
                </c:pt>
                <c:pt idx="6">
                  <c:v>71.44</c:v>
                </c:pt>
                <c:pt idx="7">
                  <c:v>76</c:v>
                </c:pt>
                <c:pt idx="8">
                  <c:v>50.2</c:v>
                </c:pt>
                <c:pt idx="10">
                  <c:v>64.8</c:v>
                </c:pt>
                <c:pt idx="11">
                  <c:v>48.84</c:v>
                </c:pt>
                <c:pt idx="12">
                  <c:v>56</c:v>
                </c:pt>
                <c:pt idx="13">
                  <c:v>62</c:v>
                </c:pt>
                <c:pt idx="14">
                  <c:v>73</c:v>
                </c:pt>
                <c:pt idx="15">
                  <c:v>51.7</c:v>
                </c:pt>
                <c:pt idx="16">
                  <c:v>64</c:v>
                </c:pt>
                <c:pt idx="17">
                  <c:v>55.6</c:v>
                </c:pt>
                <c:pt idx="18">
                  <c:v>51</c:v>
                </c:pt>
                <c:pt idx="19">
                  <c:v>52.04</c:v>
                </c:pt>
                <c:pt idx="20">
                  <c:v>58.7</c:v>
                </c:pt>
                <c:pt idx="21">
                  <c:v>70</c:v>
                </c:pt>
                <c:pt idx="22">
                  <c:v>56.7</c:v>
                </c:pt>
                <c:pt idx="23">
                  <c:v>50.2</c:v>
                </c:pt>
                <c:pt idx="24">
                  <c:v>77.8</c:v>
                </c:pt>
                <c:pt idx="25">
                  <c:v>56.2</c:v>
                </c:pt>
                <c:pt idx="26">
                  <c:v>70</c:v>
                </c:pt>
                <c:pt idx="27">
                  <c:v>54.4</c:v>
                </c:pt>
                <c:pt idx="28">
                  <c:v>69.9</c:v>
                </c:pt>
                <c:pt idx="29">
                  <c:v>54.2</c:v>
                </c:pt>
                <c:pt idx="30">
                  <c:v>73.86</c:v>
                </c:pt>
                <c:pt idx="31">
                  <c:v>80</c:v>
                </c:pt>
                <c:pt idx="32">
                  <c:v>80</c:v>
                </c:pt>
                <c:pt idx="33">
                  <c:v>62.9</c:v>
                </c:pt>
                <c:pt idx="34">
                  <c:v>107.9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683"/>
        <c:axId val="1998337684"/>
      </c:barChart>
      <c:catAx>
        <c:axId val="199833768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98337684"/>
        <c:crosses val="autoZero"/>
        <c:auto val="1"/>
        <c:lblAlgn val="ctr"/>
        <c:lblOffset val="100"/>
        <c:noMultiLvlLbl val="0"/>
      </c:catAx>
      <c:valAx>
        <c:axId val="1998337684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683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207510" cy="5948457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0" spc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0" i="0">
                <a:solidFill>
                  <a:srgbClr val="000000"/>
                </a:solidFill>
                <a:latin typeface="Times New Roman"/>
                <a:cs typeface="Times New Roman"/>
              </a:rPr>
              <a:t>Доля детей в возрасте 5–18 лет, получающих услуги по дополнительному образованию в организациях различной организационно–правовой формы и формы собственности, в общей численности детей данной возрастной группы, процентов</a:t>
            </a:r>
            <a:endParaRPr lang="ru-RU"/>
          </a:p>
        </c:rich>
      </c:tx>
      <c:layout>
        <c:manualLayout>
          <c:xMode val="edge"/>
          <c:yMode val="edge"/>
          <c:x val="0.117438"/>
          <c:y val="0.012894"/>
        </c:manualLayout>
      </c:layout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'Лист2'!$B$160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/>
            </a:solidFill>
            <a:ln>
              <a:noFill/>
            </a:ln>
          </c:spPr>
          <c:invertIfNegative val="0"/>
          <c:cat>
            <c:strRef>
              <c:f>'Лист2'!$A$161:$A$195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'Лист2'!$B$161:$B$195</c:f>
              <c:numCache>
                <c:formatCode>General</c:formatCode>
                <c:ptCount val="35"/>
                <c:pt idx="0">
                  <c:v>82.98</c:v>
                </c:pt>
                <c:pt idx="1">
                  <c:v>75.32</c:v>
                </c:pt>
                <c:pt idx="2">
                  <c:v>75</c:v>
                </c:pt>
                <c:pt idx="3">
                  <c:v>75.32</c:v>
                </c:pt>
                <c:pt idx="4">
                  <c:v>67.01</c:v>
                </c:pt>
                <c:pt idx="5">
                  <c:v>76.64</c:v>
                </c:pt>
                <c:pt idx="6">
                  <c:v>68.06</c:v>
                </c:pt>
                <c:pt idx="7">
                  <c:v>75.88</c:v>
                </c:pt>
                <c:pt idx="8">
                  <c:v>77.37</c:v>
                </c:pt>
                <c:pt idx="9">
                  <c:v>75.01</c:v>
                </c:pt>
                <c:pt idx="10">
                  <c:v>75.94</c:v>
                </c:pt>
                <c:pt idx="11">
                  <c:v>74.81</c:v>
                </c:pt>
                <c:pt idx="12">
                  <c:v>77.6</c:v>
                </c:pt>
                <c:pt idx="13">
                  <c:v>75.77</c:v>
                </c:pt>
                <c:pt idx="14">
                  <c:v>75.1</c:v>
                </c:pt>
                <c:pt idx="15">
                  <c:v>78.39</c:v>
                </c:pt>
                <c:pt idx="16">
                  <c:v>78.59</c:v>
                </c:pt>
                <c:pt idx="17">
                  <c:v>84.99</c:v>
                </c:pt>
                <c:pt idx="18">
                  <c:v>75.29</c:v>
                </c:pt>
                <c:pt idx="19">
                  <c:v>75.63</c:v>
                </c:pt>
                <c:pt idx="20">
                  <c:v>78.32</c:v>
                </c:pt>
                <c:pt idx="21">
                  <c:v>75.59</c:v>
                </c:pt>
                <c:pt idx="22">
                  <c:v>79.61</c:v>
                </c:pt>
                <c:pt idx="23">
                  <c:v>79.55</c:v>
                </c:pt>
                <c:pt idx="24">
                  <c:v>74.22</c:v>
                </c:pt>
                <c:pt idx="25">
                  <c:v>85.08</c:v>
                </c:pt>
                <c:pt idx="26">
                  <c:v>80.44</c:v>
                </c:pt>
                <c:pt idx="27">
                  <c:v>75.61</c:v>
                </c:pt>
                <c:pt idx="28">
                  <c:v>76.26</c:v>
                </c:pt>
                <c:pt idx="29">
                  <c:v>76.29</c:v>
                </c:pt>
                <c:pt idx="30">
                  <c:v>44.57</c:v>
                </c:pt>
                <c:pt idx="31">
                  <c:v>77.72</c:v>
                </c:pt>
                <c:pt idx="32">
                  <c:v>75.92</c:v>
                </c:pt>
                <c:pt idx="33">
                  <c:v>76.02</c:v>
                </c:pt>
                <c:pt idx="34">
                  <c:v>77.11</c:v>
                </c:pt>
              </c:numCache>
            </c:numRef>
          </c:val>
        </c:ser>
        <c:ser>
          <c:idx val="1"/>
          <c:order val="1"/>
          <c:tx>
            <c:strRef>
              <c:f>'Лист2'!$C$160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</a:ln>
          </c:spPr>
          <c:invertIfNegative val="0"/>
          <c:cat>
            <c:strRef>
              <c:f>'Лист2'!$A$161:$A$195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'Лист2'!$C$161:$C$195</c:f>
              <c:numCache>
                <c:formatCode>#,##0</c:formatCode>
                <c:ptCount val="35"/>
                <c:pt idx="0" formatCode="General">
                  <c:v>72.88</c:v>
                </c:pt>
                <c:pt idx="1">
                  <c:v>85.24</c:v>
                </c:pt>
                <c:pt idx="2">
                  <c:v>82.67</c:v>
                </c:pt>
                <c:pt idx="3">
                  <c:v>75.01</c:v>
                </c:pt>
                <c:pt idx="4">
                  <c:v>83.1</c:v>
                </c:pt>
                <c:pt idx="5">
                  <c:v>90.8</c:v>
                </c:pt>
                <c:pt idx="6">
                  <c:v>86.13</c:v>
                </c:pt>
                <c:pt idx="7">
                  <c:v>96.51</c:v>
                </c:pt>
                <c:pt idx="8">
                  <c:v>89.67</c:v>
                </c:pt>
                <c:pt idx="9">
                  <c:v>85.72</c:v>
                </c:pt>
                <c:pt idx="10">
                  <c:v>90.1</c:v>
                </c:pt>
                <c:pt idx="11">
                  <c:v>75.14</c:v>
                </c:pt>
                <c:pt idx="12">
                  <c:v>93.4</c:v>
                </c:pt>
                <c:pt idx="13">
                  <c:v>91.37</c:v>
                </c:pt>
                <c:pt idx="14">
                  <c:v>83.83</c:v>
                </c:pt>
                <c:pt idx="15">
                  <c:v>76.41</c:v>
                </c:pt>
                <c:pt idx="16">
                  <c:v>91.44</c:v>
                </c:pt>
                <c:pt idx="17">
                  <c:v>87.45</c:v>
                </c:pt>
                <c:pt idx="18">
                  <c:v>88.91</c:v>
                </c:pt>
                <c:pt idx="19">
                  <c:v>84.53</c:v>
                </c:pt>
                <c:pt idx="20">
                  <c:v>79.01</c:v>
                </c:pt>
                <c:pt idx="21" formatCode="General">
                  <c:v>76.22</c:v>
                </c:pt>
                <c:pt idx="22">
                  <c:v>75.08</c:v>
                </c:pt>
                <c:pt idx="23">
                  <c:v>88.17</c:v>
                </c:pt>
                <c:pt idx="24">
                  <c:v>77.12</c:v>
                </c:pt>
                <c:pt idx="25">
                  <c:v>62.77</c:v>
                </c:pt>
                <c:pt idx="26">
                  <c:v>77.01</c:v>
                </c:pt>
                <c:pt idx="27">
                  <c:v>73.94</c:v>
                </c:pt>
                <c:pt idx="28">
                  <c:v>85.88</c:v>
                </c:pt>
                <c:pt idx="29">
                  <c:v>75.98</c:v>
                </c:pt>
                <c:pt idx="30">
                  <c:v>42.48</c:v>
                </c:pt>
                <c:pt idx="31">
                  <c:v>99.58</c:v>
                </c:pt>
                <c:pt idx="32">
                  <c:v>100</c:v>
                </c:pt>
                <c:pt idx="33">
                  <c:v>99.44</c:v>
                </c:pt>
                <c:pt idx="34">
                  <c:v>79.33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697"/>
        <c:axId val="1998337698"/>
      </c:barChart>
      <c:catAx>
        <c:axId val="199833769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698"/>
        <c:crosses val="autoZero"/>
        <c:auto val="1"/>
        <c:lblAlgn val="ctr"/>
        <c:lblOffset val="100"/>
        <c:noMultiLvlLbl val="0"/>
      </c:catAx>
      <c:valAx>
        <c:axId val="1998337698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697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963148" cy="5910357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ru-RU" sz="1200">
                <a:solidFill>
                  <a:schemeClr val="tx1"/>
                </a:solidFill>
                <a:latin typeface="Times New Roman"/>
                <a:cs typeface="Times New Roman"/>
              </a:rPr>
              <a:t>Доля населения, систематически занимающегося физической культурой и спортом, процентов </a:t>
            </a:r>
            <a:endParaRPr lang="ru-RU">
              <a:solidFill>
                <a:schemeClr val="tx1"/>
              </a:solidFill>
              <a:latin typeface="Times New Roman"/>
              <a:cs typeface="Times New Roman"/>
            </a:endParaRPr>
          </a:p>
        </c:rich>
      </c:tx>
      <c:layout/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'Лист2'!$B$199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/>
            </a:solidFill>
            <a:ln>
              <a:noFill/>
            </a:ln>
          </c:spPr>
          <c:invertIfNegative val="0"/>
          <c:cat>
            <c:strRef>
              <c:f>'Лист2'!$A$200:$A$234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'Лист2'!$B$200:$B$234</c:f>
              <c:numCache>
                <c:formatCode>General</c:formatCode>
                <c:ptCount val="35"/>
                <c:pt idx="0">
                  <c:v>49.7</c:v>
                </c:pt>
                <c:pt idx="1">
                  <c:v>47.9</c:v>
                </c:pt>
                <c:pt idx="2">
                  <c:v>51.9</c:v>
                </c:pt>
                <c:pt idx="3">
                  <c:v>51.13</c:v>
                </c:pt>
                <c:pt idx="4">
                  <c:v>23.1</c:v>
                </c:pt>
                <c:pt idx="5">
                  <c:v>25.7</c:v>
                </c:pt>
                <c:pt idx="6">
                  <c:v>45.87</c:v>
                </c:pt>
                <c:pt idx="7">
                  <c:v>47.5</c:v>
                </c:pt>
                <c:pt idx="8">
                  <c:v>45.5</c:v>
                </c:pt>
                <c:pt idx="9">
                  <c:v>41.9</c:v>
                </c:pt>
                <c:pt idx="10">
                  <c:v>49.3</c:v>
                </c:pt>
                <c:pt idx="11">
                  <c:v>43.7</c:v>
                </c:pt>
                <c:pt idx="12">
                  <c:v>46</c:v>
                </c:pt>
                <c:pt idx="13">
                  <c:v>55</c:v>
                </c:pt>
                <c:pt idx="14">
                  <c:v>49.5</c:v>
                </c:pt>
                <c:pt idx="15">
                  <c:v>55.3</c:v>
                </c:pt>
                <c:pt idx="16">
                  <c:v>50.3</c:v>
                </c:pt>
                <c:pt idx="17">
                  <c:v>43</c:v>
                </c:pt>
                <c:pt idx="18">
                  <c:v>43.9</c:v>
                </c:pt>
                <c:pt idx="19">
                  <c:v>51.3</c:v>
                </c:pt>
                <c:pt idx="20">
                  <c:v>23.1</c:v>
                </c:pt>
                <c:pt idx="21">
                  <c:v>50.6</c:v>
                </c:pt>
                <c:pt idx="22">
                  <c:v>49.4</c:v>
                </c:pt>
                <c:pt idx="23">
                  <c:v>47.3</c:v>
                </c:pt>
                <c:pt idx="24">
                  <c:v>43.45</c:v>
                </c:pt>
                <c:pt idx="25">
                  <c:v>40.4</c:v>
                </c:pt>
                <c:pt idx="26">
                  <c:v>60.1</c:v>
                </c:pt>
                <c:pt idx="27">
                  <c:v>42.6</c:v>
                </c:pt>
                <c:pt idx="28">
                  <c:v>53.8</c:v>
                </c:pt>
                <c:pt idx="29">
                  <c:v>50.8</c:v>
                </c:pt>
                <c:pt idx="30">
                  <c:v>45.7</c:v>
                </c:pt>
                <c:pt idx="31">
                  <c:v>46.7</c:v>
                </c:pt>
                <c:pt idx="32">
                  <c:v>44.8</c:v>
                </c:pt>
                <c:pt idx="33">
                  <c:v>46.2</c:v>
                </c:pt>
                <c:pt idx="34">
                  <c:v>46.1</c:v>
                </c:pt>
              </c:numCache>
            </c:numRef>
          </c:val>
        </c:ser>
        <c:ser>
          <c:idx val="1"/>
          <c:order val="1"/>
          <c:tx>
            <c:strRef>
              <c:f>'Лист2'!$C$199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</a:ln>
          </c:spPr>
          <c:invertIfNegative val="0"/>
          <c:cat>
            <c:strRef>
              <c:f>'Лист2'!$A$200:$A$234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'Лист2'!$C$200:$C$234</c:f>
              <c:numCache>
                <c:formatCode>General</c:formatCode>
                <c:ptCount val="35"/>
                <c:pt idx="0">
                  <c:v>52.1</c:v>
                </c:pt>
                <c:pt idx="1">
                  <c:v>51.2</c:v>
                </c:pt>
                <c:pt idx="2">
                  <c:v>52.88</c:v>
                </c:pt>
                <c:pt idx="3">
                  <c:v>51.14</c:v>
                </c:pt>
                <c:pt idx="4">
                  <c:v>33.76</c:v>
                </c:pt>
                <c:pt idx="5">
                  <c:v>42.29</c:v>
                </c:pt>
                <c:pt idx="6">
                  <c:v>48.28</c:v>
                </c:pt>
                <c:pt idx="7">
                  <c:v>49.01</c:v>
                </c:pt>
                <c:pt idx="8">
                  <c:v>47.78</c:v>
                </c:pt>
                <c:pt idx="9">
                  <c:v>45.7</c:v>
                </c:pt>
                <c:pt idx="10">
                  <c:v>49.7</c:v>
                </c:pt>
                <c:pt idx="11">
                  <c:v>46.83</c:v>
                </c:pt>
                <c:pt idx="12">
                  <c:v>50.71</c:v>
                </c:pt>
                <c:pt idx="13">
                  <c:v>56.62</c:v>
                </c:pt>
                <c:pt idx="14">
                  <c:v>47.6</c:v>
                </c:pt>
                <c:pt idx="15">
                  <c:v>55.4</c:v>
                </c:pt>
                <c:pt idx="16">
                  <c:v>51.04</c:v>
                </c:pt>
                <c:pt idx="17">
                  <c:v>46.8</c:v>
                </c:pt>
                <c:pt idx="18">
                  <c:v>47.6</c:v>
                </c:pt>
                <c:pt idx="19">
                  <c:v>55.1</c:v>
                </c:pt>
                <c:pt idx="20">
                  <c:v>49</c:v>
                </c:pt>
                <c:pt idx="21">
                  <c:v>49.81</c:v>
                </c:pt>
                <c:pt idx="22">
                  <c:v>47.8</c:v>
                </c:pt>
                <c:pt idx="23">
                  <c:v>48.4</c:v>
                </c:pt>
                <c:pt idx="24">
                  <c:v>48.79</c:v>
                </c:pt>
                <c:pt idx="25">
                  <c:v>45.18</c:v>
                </c:pt>
                <c:pt idx="26">
                  <c:v>54.15</c:v>
                </c:pt>
                <c:pt idx="27">
                  <c:v>46.5</c:v>
                </c:pt>
                <c:pt idx="28">
                  <c:v>54.98</c:v>
                </c:pt>
                <c:pt idx="29">
                  <c:v>50</c:v>
                </c:pt>
                <c:pt idx="30">
                  <c:v>48.4</c:v>
                </c:pt>
                <c:pt idx="31">
                  <c:v>49.3</c:v>
                </c:pt>
                <c:pt idx="32">
                  <c:v>49.8</c:v>
                </c:pt>
                <c:pt idx="33">
                  <c:v>48.73</c:v>
                </c:pt>
                <c:pt idx="34">
                  <c:v>47.77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721"/>
        <c:axId val="1998337722"/>
      </c:barChart>
      <c:catAx>
        <c:axId val="199833772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98337722"/>
        <c:crosses val="autoZero"/>
        <c:auto val="1"/>
        <c:lblAlgn val="ctr"/>
        <c:lblOffset val="100"/>
        <c:noMultiLvlLbl val="0"/>
      </c:catAx>
      <c:valAx>
        <c:axId val="1998337722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98337721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066067" cy="5779036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100" b="0" i="0">
                <a:solidFill>
                  <a:srgbClr val="000000"/>
                </a:solidFill>
                <a:latin typeface="Times New Roman"/>
                <a:cs typeface="Times New Roman"/>
              </a:rPr>
              <a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субвенций), процентов </a:t>
            </a:r>
            <a:endParaRPr lang="ru-RU"/>
          </a:p>
        </c:rich>
      </c:tx>
      <c:layout/>
      <c:overlay val="0"/>
      <c:spPr bwMode="auto">
        <a:prstGeom prst="rect">
          <a:avLst/>
        </a:prstGeom>
        <a:noFill/>
        <a:ln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'Лист2'!$B$241</c:f>
              <c:strCache>
                <c:ptCount val="1"/>
                <c:pt idx="0">
                  <c:v>2021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/>
            </a:solidFill>
            <a:ln>
              <a:noFill/>
            </a:ln>
          </c:spPr>
          <c:invertIfNegative val="0"/>
          <c:cat>
            <c:strRef>
              <c:f>'Лист2'!$A$242:$A$276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'Лист2'!$B$242:$B$276</c:f>
              <c:numCache>
                <c:formatCode>General</c:formatCode>
                <c:ptCount val="35"/>
                <c:pt idx="0">
                  <c:v>7.67</c:v>
                </c:pt>
                <c:pt idx="1">
                  <c:v>14.9</c:v>
                </c:pt>
                <c:pt idx="2">
                  <c:v>12.55</c:v>
                </c:pt>
                <c:pt idx="3">
                  <c:v>8.29</c:v>
                </c:pt>
                <c:pt idx="4">
                  <c:v>12.56</c:v>
                </c:pt>
                <c:pt idx="5">
                  <c:v>11.24</c:v>
                </c:pt>
                <c:pt idx="6">
                  <c:v>29.82</c:v>
                </c:pt>
                <c:pt idx="7">
                  <c:v>12.25</c:v>
                </c:pt>
                <c:pt idx="8">
                  <c:v>10.7</c:v>
                </c:pt>
                <c:pt idx="9">
                  <c:v>17.81</c:v>
                </c:pt>
                <c:pt idx="10">
                  <c:v>22.99</c:v>
                </c:pt>
                <c:pt idx="11">
                  <c:v>13.11</c:v>
                </c:pt>
                <c:pt idx="12">
                  <c:v>15.04</c:v>
                </c:pt>
                <c:pt idx="13">
                  <c:v>19.74</c:v>
                </c:pt>
                <c:pt idx="14">
                  <c:v>11.55</c:v>
                </c:pt>
                <c:pt idx="15">
                  <c:v>7.56</c:v>
                </c:pt>
                <c:pt idx="16">
                  <c:v>11.77</c:v>
                </c:pt>
                <c:pt idx="17">
                  <c:v>17.77</c:v>
                </c:pt>
                <c:pt idx="18">
                  <c:v>51.08</c:v>
                </c:pt>
                <c:pt idx="19">
                  <c:v>17.92</c:v>
                </c:pt>
                <c:pt idx="20">
                  <c:v>8.52</c:v>
                </c:pt>
                <c:pt idx="21">
                  <c:v>15.22</c:v>
                </c:pt>
                <c:pt idx="22">
                  <c:v>13.89</c:v>
                </c:pt>
                <c:pt idx="23">
                  <c:v>17.5</c:v>
                </c:pt>
                <c:pt idx="24">
                  <c:v>8.46</c:v>
                </c:pt>
                <c:pt idx="25">
                  <c:v>9.97</c:v>
                </c:pt>
                <c:pt idx="26">
                  <c:v>11.2</c:v>
                </c:pt>
                <c:pt idx="27">
                  <c:v>19.36</c:v>
                </c:pt>
                <c:pt idx="28">
                  <c:v>9.59</c:v>
                </c:pt>
                <c:pt idx="29">
                  <c:v>13.05</c:v>
                </c:pt>
                <c:pt idx="30">
                  <c:v>75.19</c:v>
                </c:pt>
                <c:pt idx="31">
                  <c:v>37.55</c:v>
                </c:pt>
                <c:pt idx="32">
                  <c:v>61.9</c:v>
                </c:pt>
                <c:pt idx="33">
                  <c:v>72.58</c:v>
                </c:pt>
                <c:pt idx="34">
                  <c:v>50.94</c:v>
                </c:pt>
              </c:numCache>
            </c:numRef>
          </c:val>
        </c:ser>
        <c:ser>
          <c:idx val="1"/>
          <c:order val="1"/>
          <c:tx>
            <c:strRef>
              <c:f>'Лист2'!$C$241</c:f>
              <c:strCache>
                <c:ptCount val="1"/>
                <c:pt idx="0">
                  <c:v>2022</c:v>
                </c:pt>
              </c:strCache>
            </c:strRef>
          </c:tx>
          <c:spPr bwMode="auto">
            <a:prstGeom prst="rect">
              <a:avLst/>
            </a:prstGeom>
            <a:solidFill>
              <a:srgbClr val="00B050"/>
            </a:solidFill>
            <a:ln>
              <a:noFill/>
              <a:round/>
            </a:ln>
          </c:spPr>
          <c:invertIfNegative val="0"/>
          <c:cat>
            <c:strRef>
              <c:f>'Лист2'!$A$242:$A$276</c:f>
              <c:strCache>
                <c:ptCount val="35"/>
                <c:pt idx="0">
                  <c:v>Баганский</c:v>
                </c:pt>
                <c:pt idx="1">
                  <c:v>Барабинский</c:v>
                </c:pt>
                <c:pt idx="2">
                  <c:v>Болотнинский</c:v>
                </c:pt>
                <c:pt idx="3">
                  <c:v>Венгеровский</c:v>
                </c:pt>
                <c:pt idx="4">
                  <c:v>Доволенский</c:v>
                </c:pt>
                <c:pt idx="5">
                  <c:v xml:space="preserve">Здвинский </c:v>
                </c:pt>
                <c:pt idx="6">
                  <c:v>Искитимский</c:v>
                </c:pt>
                <c:pt idx="7">
                  <c:v>Карасукский</c:v>
                </c:pt>
                <c:pt idx="8">
                  <c:v>Каргатский</c:v>
                </c:pt>
                <c:pt idx="9">
                  <c:v>Колыванский</c:v>
                </c:pt>
                <c:pt idx="10">
                  <c:v>Коченевский</c:v>
                </c:pt>
                <c:pt idx="11">
                  <c:v>Кочковский</c:v>
                </c:pt>
                <c:pt idx="12">
                  <c:v>Краснозерский</c:v>
                </c:pt>
                <c:pt idx="13">
                  <c:v>Куйбышевский</c:v>
                </c:pt>
                <c:pt idx="14">
                  <c:v>Купинский</c:v>
                </c:pt>
                <c:pt idx="15">
                  <c:v>Кыштовский</c:v>
                </c:pt>
                <c:pt idx="16">
                  <c:v>Маслянинский</c:v>
                </c:pt>
                <c:pt idx="17">
                  <c:v>Мошковский</c:v>
                </c:pt>
                <c:pt idx="18">
                  <c:v>Новосибирский</c:v>
                </c:pt>
                <c:pt idx="19">
                  <c:v>Ордынский</c:v>
                </c:pt>
                <c:pt idx="20">
                  <c:v>Северный</c:v>
                </c:pt>
                <c:pt idx="21">
                  <c:v>Сузунский</c:v>
                </c:pt>
                <c:pt idx="22">
                  <c:v>Татарский</c:v>
                </c:pt>
                <c:pt idx="23">
                  <c:v>Тогучинский</c:v>
                </c:pt>
                <c:pt idx="24">
                  <c:v>Убинский</c:v>
                </c:pt>
                <c:pt idx="25">
                  <c:v>Усть-Таркский</c:v>
                </c:pt>
                <c:pt idx="26">
                  <c:v>Чановский</c:v>
                </c:pt>
                <c:pt idx="27">
                  <c:v>Черепановский</c:v>
                </c:pt>
                <c:pt idx="28">
                  <c:v>Чистоозерный</c:v>
                </c:pt>
                <c:pt idx="29">
                  <c:v>Чулымский</c:v>
                </c:pt>
                <c:pt idx="30">
                  <c:v xml:space="preserve">г. Новосибирск</c:v>
                </c:pt>
                <c:pt idx="31">
                  <c:v xml:space="preserve">г. Бердск</c:v>
                </c:pt>
                <c:pt idx="32">
                  <c:v xml:space="preserve">г. Искитим</c:v>
                </c:pt>
                <c:pt idx="33">
                  <c:v xml:space="preserve">г. Обь</c:v>
                </c:pt>
                <c:pt idx="34">
                  <c:v xml:space="preserve">р.п. Кольцово</c:v>
                </c:pt>
              </c:strCache>
            </c:strRef>
          </c:cat>
          <c:val>
            <c:numRef>
              <c:f>'Лист2'!$C$242:$C$276</c:f>
              <c:numCache>
                <c:formatCode>General</c:formatCode>
                <c:ptCount val="35"/>
                <c:pt idx="0">
                  <c:v>8.77</c:v>
                </c:pt>
                <c:pt idx="1">
                  <c:v>14.33</c:v>
                </c:pt>
                <c:pt idx="2">
                  <c:v>12.75</c:v>
                </c:pt>
                <c:pt idx="3">
                  <c:v>8.44</c:v>
                </c:pt>
                <c:pt idx="4">
                  <c:v>9.59</c:v>
                </c:pt>
                <c:pt idx="5">
                  <c:v>12.45</c:v>
                </c:pt>
                <c:pt idx="6">
                  <c:v>61.9</c:v>
                </c:pt>
                <c:pt idx="7">
                  <c:v>12.37</c:v>
                </c:pt>
                <c:pt idx="8">
                  <c:v>10.33</c:v>
                </c:pt>
                <c:pt idx="9">
                  <c:v>18.55</c:v>
                </c:pt>
                <c:pt idx="10">
                  <c:v>27.02</c:v>
                </c:pt>
                <c:pt idx="11">
                  <c:v>11.18</c:v>
                </c:pt>
                <c:pt idx="12">
                  <c:v>15.14</c:v>
                </c:pt>
                <c:pt idx="13">
                  <c:v>17.95</c:v>
                </c:pt>
                <c:pt idx="14">
                  <c:v>19.12</c:v>
                </c:pt>
                <c:pt idx="15">
                  <c:v>7.18</c:v>
                </c:pt>
                <c:pt idx="16">
                  <c:v>8.89</c:v>
                </c:pt>
                <c:pt idx="17">
                  <c:v>18.68</c:v>
                </c:pt>
                <c:pt idx="18">
                  <c:v>51.63</c:v>
                </c:pt>
                <c:pt idx="19">
                  <c:v>15.39</c:v>
                </c:pt>
                <c:pt idx="20">
                  <c:v>13.6</c:v>
                </c:pt>
                <c:pt idx="21">
                  <c:v>12.72</c:v>
                </c:pt>
                <c:pt idx="22">
                  <c:v>12.27</c:v>
                </c:pt>
                <c:pt idx="23">
                  <c:v>18.31</c:v>
                </c:pt>
                <c:pt idx="24">
                  <c:v>7.98</c:v>
                </c:pt>
                <c:pt idx="25">
                  <c:v>15.1</c:v>
                </c:pt>
                <c:pt idx="26">
                  <c:v>18.09</c:v>
                </c:pt>
                <c:pt idx="27">
                  <c:v>18.32</c:v>
                </c:pt>
                <c:pt idx="28">
                  <c:v>11.17</c:v>
                </c:pt>
                <c:pt idx="29">
                  <c:v>13.14</c:v>
                </c:pt>
                <c:pt idx="30">
                  <c:v>70.14</c:v>
                </c:pt>
                <c:pt idx="31">
                  <c:v>40.55</c:v>
                </c:pt>
                <c:pt idx="32">
                  <c:v>29.58</c:v>
                </c:pt>
                <c:pt idx="33">
                  <c:v>50.59</c:v>
                </c:pt>
                <c:pt idx="34">
                  <c:v>55.6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219"/>
        <c:overlap val="-26"/>
        <c:axId val="1998337727"/>
        <c:axId val="1998337728"/>
      </c:barChart>
      <c:catAx>
        <c:axId val="19983377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</c:spPr>
        <c:txPr>
          <a:bodyPr/>
          <a:lstStyle/>
          <a:p>
            <a:pPr>
              <a:defRPr sz="900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728"/>
        <c:crosses val="autoZero"/>
        <c:auto val="1"/>
        <c:lblAlgn val="ctr"/>
        <c:lblOffset val="100"/>
        <c:noMultiLvlLbl val="0"/>
      </c:catAx>
      <c:valAx>
        <c:axId val="1998337728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998337727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9168152" cy="5843682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</c:spPr>
  <c:txPr>
    <a:bodyPr/>
    <a:lstStyle/>
    <a:p>
      <a:pPr>
        <a:defRPr sz="1000">
          <a:solidFill>
            <a:schemeClr val="tx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04E557E-7D8D-4F83-8CAA-6D896BBD7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Р7-Офис/7.4.0.223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Коба Анна Алексеевна</dc:creator>
  <cp:keywords/>
  <dc:description/>
  <cp:revision>4</cp:revision>
  <dcterms:created xsi:type="dcterms:W3CDTF">2023-09-27T04:06:00Z</dcterms:created>
  <dcterms:modified xsi:type="dcterms:W3CDTF">2023-09-28T02:20:19Z</dcterms:modified>
</cp:coreProperties>
</file>