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sz w:val="28"/>
          <w:szCs w:val="28"/>
        </w:rPr>
        <w:t>ПРИЛОЖЕНИЕ № 2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sz w:val="28"/>
          <w:szCs w:val="28"/>
        </w:rPr>
        <w:t>Новосибирской области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sz w:val="28"/>
          <w:szCs w:val="28"/>
        </w:rPr>
        <w:t>«ПРИЛОЖЕНИЕ № 2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sz w:val="28"/>
          <w:szCs w:val="28"/>
        </w:rPr>
        <w:t xml:space="preserve">к долгосрочной целевой программе 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bCs/>
          <w:sz w:val="28"/>
          <w:szCs w:val="28"/>
        </w:rPr>
        <w:t>«</w:t>
      </w:r>
      <w:r w:rsidRPr="006F47C5">
        <w:rPr>
          <w:rFonts w:ascii="Times New Roman" w:hAnsi="Times New Roman"/>
          <w:sz w:val="28"/>
          <w:szCs w:val="28"/>
        </w:rPr>
        <w:t xml:space="preserve">Развитие туризма в Новосибирской области 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bCs/>
          <w:sz w:val="28"/>
          <w:szCs w:val="28"/>
        </w:rPr>
      </w:pPr>
      <w:r w:rsidRPr="006F47C5">
        <w:rPr>
          <w:rFonts w:ascii="Times New Roman" w:hAnsi="Times New Roman"/>
          <w:sz w:val="28"/>
          <w:szCs w:val="28"/>
        </w:rPr>
        <w:t>на 2012-2016 годы</w:t>
      </w:r>
      <w:r w:rsidRPr="006F47C5">
        <w:rPr>
          <w:rFonts w:ascii="Times New Roman" w:hAnsi="Times New Roman"/>
          <w:bCs/>
          <w:sz w:val="28"/>
          <w:szCs w:val="28"/>
        </w:rPr>
        <w:t>»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Cs/>
          <w:sz w:val="28"/>
          <w:szCs w:val="28"/>
        </w:rPr>
      </w:pP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Cs/>
          <w:sz w:val="28"/>
          <w:szCs w:val="28"/>
        </w:rPr>
      </w:pP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47C5">
        <w:rPr>
          <w:rFonts w:ascii="Times New Roman" w:hAnsi="Times New Roman"/>
          <w:b/>
          <w:sz w:val="28"/>
          <w:szCs w:val="28"/>
        </w:rPr>
        <w:t>МЕРОПРИЯТИЯ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47C5">
        <w:rPr>
          <w:rFonts w:ascii="Times New Roman" w:hAnsi="Times New Roman"/>
          <w:b/>
          <w:sz w:val="28"/>
          <w:szCs w:val="28"/>
        </w:rPr>
        <w:t xml:space="preserve">долгосрочной целевой программы «Развитие туризма 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F47C5">
        <w:rPr>
          <w:rFonts w:ascii="Times New Roman" w:hAnsi="Times New Roman"/>
          <w:b/>
          <w:sz w:val="28"/>
          <w:szCs w:val="28"/>
        </w:rPr>
        <w:t>в Новосибирской области на 2012-2016 годы»</w:t>
      </w:r>
    </w:p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46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12"/>
        <w:gridCol w:w="192"/>
        <w:gridCol w:w="2016"/>
        <w:gridCol w:w="1056"/>
        <w:gridCol w:w="960"/>
        <w:gridCol w:w="960"/>
        <w:gridCol w:w="1056"/>
        <w:gridCol w:w="1056"/>
        <w:gridCol w:w="1056"/>
        <w:gridCol w:w="1056"/>
        <w:gridCol w:w="768"/>
        <w:gridCol w:w="2400"/>
      </w:tblGrid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мероприятия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показателя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Единица измерения</w:t>
            </w:r>
          </w:p>
        </w:tc>
        <w:tc>
          <w:tcPr>
            <w:tcW w:w="6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Значение показателя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6F47C5">
              <w:rPr>
                <w:rFonts w:ascii="Courier New" w:hAnsi="Courier New" w:cs="Courier New"/>
                <w:sz w:val="16"/>
                <w:szCs w:val="16"/>
              </w:rPr>
              <w:t>Ответ-ствен-ный</w:t>
            </w:r>
            <w:proofErr w:type="spellEnd"/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F47C5">
              <w:rPr>
                <w:rFonts w:ascii="Courier New" w:hAnsi="Courier New" w:cs="Courier New"/>
                <w:sz w:val="16"/>
                <w:szCs w:val="16"/>
              </w:rPr>
              <w:t>испол-нитель</w:t>
            </w:r>
            <w:proofErr w:type="spellEnd"/>
            <w:proofErr w:type="gram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Ожидаемый результат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1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 том числе по годам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2012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2013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2014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2015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2016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итого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2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1468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85342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Цель: формирование туристского комплекса, интегрированного в экономику Новосибирской области и удовлетворяющего потребности жителей и гостей Новосибирской области в отдыхе, а также популяризация историко-культурного наследия Новосибирской области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F60BC9" w:rsidRPr="006F47C5" w:rsidTr="0077718E">
        <w:trPr>
          <w:tblCellSpacing w:w="5" w:type="nil"/>
        </w:trPr>
        <w:tc>
          <w:tcPr>
            <w:tcW w:w="1468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Задача 1. Создание условий для формирования и размещения туристско-рекреационных объектов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85342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1.1. Проведение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аналитического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(маркетингового)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исследования состояния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рынка туристских услуг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Новосибирской </w:t>
            </w:r>
            <w:proofErr w:type="spellStart"/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области</w:t>
            </w:r>
            <w:proofErr w:type="gramStart"/>
            <w:r w:rsidRPr="006F47C5">
              <w:rPr>
                <w:rFonts w:ascii="Courier New" w:hAnsi="Courier New" w:cs="Courier New"/>
                <w:sz w:val="16"/>
                <w:szCs w:val="16"/>
              </w:rPr>
              <w:t>,в</w:t>
            </w:r>
            <w:proofErr w:type="spellEnd"/>
            <w:proofErr w:type="gramEnd"/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 том числе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определение емкости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рынка и оценка условий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развития туризма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Новосибирской области 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Исследование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ед.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МЭР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НСО</w:t>
            </w:r>
          </w:p>
        </w:tc>
        <w:tc>
          <w:tcPr>
            <w:tcW w:w="2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Аналитический отчет.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Разработка обоснованных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предложений по наиболее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эффективному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использованию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туристского потенциала 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Стоимость единицы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1 124,0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1 124,0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Сумма затрат, в том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1 124,0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1 124,0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федеральный бюджет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1 124,0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1 124,0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640"/>
          <w:tblCellSpacing w:w="5" w:type="nil"/>
        </w:trPr>
        <w:tc>
          <w:tcPr>
            <w:tcW w:w="230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85342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1.2. Разработка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концепций (паспортов)</w:t>
            </w:r>
            <w:proofErr w:type="gramStart"/>
            <w:r w:rsidRPr="006F47C5">
              <w:rPr>
                <w:rFonts w:ascii="Courier New" w:hAnsi="Courier New" w:cs="Courier New"/>
                <w:sz w:val="16"/>
                <w:szCs w:val="16"/>
              </w:rPr>
              <w:t>,т</w:t>
            </w:r>
            <w:proofErr w:type="gramEnd"/>
            <w:r w:rsidRPr="006F47C5">
              <w:rPr>
                <w:rFonts w:ascii="Courier New" w:hAnsi="Courier New" w:cs="Courier New"/>
                <w:sz w:val="16"/>
                <w:szCs w:val="16"/>
              </w:rPr>
              <w:t>ехнико-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>экономических обоснований,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бизнес-планов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туристских объектов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приоритетного развития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>Количество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разработанных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документов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ед.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МЭР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НСО,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АРМ</w:t>
            </w:r>
          </w:p>
        </w:tc>
        <w:tc>
          <w:tcPr>
            <w:tcW w:w="2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Расширение рынка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туристских услуг 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продуктов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Стоимость единицы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Сумма затрат, в том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7 000,0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федеральный бюджет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7 000,0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Итого затрат на решение задачи 1,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 том 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2 124,0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8 124,0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федеральный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2 124,0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2 000,0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8 124,0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местные бюджеты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 источники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1468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Задача 2. Стимулирование инвестиционной активности в сфере организации досуга, туризма и рекреации</w:t>
            </w: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2.1. Предоставление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субсидий инвесторам,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реализующим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инвестиционные проекты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 сфере развития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туризма и рекреации на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территории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Новосибирской области,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для возмещения части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их затрат на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выполнение работ,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связанных с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реализацией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инвестиционных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проектов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Количество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инвесторов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ед.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МЭР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НСО</w:t>
            </w:r>
          </w:p>
        </w:tc>
        <w:tc>
          <w:tcPr>
            <w:tcW w:w="2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Обеспечение туристских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объектов приоритетного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развития комплексом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обеспечивающей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инфраструктуры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(подъездные дороги,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сети электроснабжения,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связи и теплоснабжения,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газопровод, водопровод,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канализация, очистные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сооружения).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Привлечение более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2,0 млрд. рублей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инвестиций. Создание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более 500 рабочих мест.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Объем налоговых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поступлений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консолидированный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бюджет Новосибирской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области не менее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700 млн. руб. </w:t>
            </w:r>
            <w:hyperlink w:anchor="Par577" w:history="1">
              <w:r w:rsidRPr="006F47C5">
                <w:rPr>
                  <w:rFonts w:ascii="Courier New" w:hAnsi="Courier New" w:cs="Courier New"/>
                  <w:sz w:val="16"/>
                  <w:szCs w:val="16"/>
                </w:rPr>
                <w:t>&lt;1&gt;</w:t>
              </w:r>
            </w:hyperlink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Стоимость единицы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Сумма затрат, в том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32 500,0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федеральный бюджет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>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32 500,0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местные бюджеты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>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960"/>
          <w:tblCellSpacing w:w="5" w:type="nil"/>
        </w:trPr>
        <w:tc>
          <w:tcPr>
            <w:tcW w:w="2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Итого затрат на решение задачи 2,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 том 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32 500,0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федеральный бюджет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7 500,0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32 500,0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 источники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1468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Задача 3. Информирование о туристском потенциале Новосибирской области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3.1. Финансирование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затрат, связанных с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разработкой 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функционированием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портала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информационн</w:t>
            </w:r>
            <w:proofErr w:type="gramStart"/>
            <w:r w:rsidRPr="006F47C5"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телекоммуникационной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сети Интернет 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туризме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Новосибирской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области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>Количество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портал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МЭР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>НСО,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АРМ</w:t>
            </w:r>
          </w:p>
        </w:tc>
        <w:tc>
          <w:tcPr>
            <w:tcW w:w="2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Широкая информационная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>поддержка имеющихся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условий и инициатив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сфере туризма 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рекреации.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Популяризация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туристских услуг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Новосибирской области.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Создание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специализированного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сайта о туризме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Стоимость единицы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398,0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Сумма затрат, в том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398,0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1 398,0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федеральный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398,0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1 398,0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3.2. Финансирование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затрат, связанных с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проведением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научно-практических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конференций,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семинаров, форумов,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круглых столов,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деловых встреч 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других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научно-практических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мероприятий,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посвященных вопросам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развития туризма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Новосибирской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области и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межрегионального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взаимодействия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сфере внутреннего и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въездного туризма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hyperlink w:anchor="Par579" w:history="1">
              <w:r w:rsidRPr="006F47C5">
                <w:rPr>
                  <w:rFonts w:ascii="Courier New" w:hAnsi="Courier New" w:cs="Courier New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Количество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ед.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МЭР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НСО,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АРМ,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АИР</w:t>
            </w:r>
          </w:p>
        </w:tc>
        <w:tc>
          <w:tcPr>
            <w:tcW w:w="2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Популяризация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туристских услуг в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Новосибирской области,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анализ ключевых проблем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развития,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совершенствование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политики в сфере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туризма, изучение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лучшей практики.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Стоимость единицы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Сумма затрат, в том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1 900,0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федеральный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1 000,0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300,0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1 900,0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96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3.3. Финансирование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затрат, связанных с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подготовкой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информационных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материалов 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туристском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потенциале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Новосибирской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области </w:t>
            </w:r>
            <w:hyperlink w:anchor="Par579" w:history="1">
              <w:r w:rsidRPr="006F47C5">
                <w:rPr>
                  <w:rFonts w:ascii="Courier New" w:hAnsi="Courier New" w:cs="Courier New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Количество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ед.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8C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МЭР</w:t>
            </w:r>
            <w:r w:rsidR="000E008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t>НСО,</w:t>
            </w:r>
          </w:p>
          <w:p w:rsidR="00F60BC9" w:rsidRPr="006F47C5" w:rsidRDefault="00F60BC9" w:rsidP="000E008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АРМ</w:t>
            </w:r>
          </w:p>
        </w:tc>
        <w:tc>
          <w:tcPr>
            <w:tcW w:w="2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Популяризация сферы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туризма в Новосибирской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области, привлечение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инвестиционных ресурсов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и туристических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потоков. Подготовка не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менее одного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специализированного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каталога в год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Стоимость единицы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Сумма затрат, в том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290,0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1 390,0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48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федеральный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290,0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1 390,0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внебюджетные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Итого затрат на решение задачи 3,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 том 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2 500,0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688,0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4 688,00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федеральный бюджет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2 500,0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688,0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500,0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4 688,00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внебюджетные 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rHeight w:val="320"/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Итого затрат на достижение цели,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47C5">
              <w:rPr>
                <w:rFonts w:ascii="Courier New" w:hAnsi="Courier New" w:cs="Courier New"/>
                <w:sz w:val="16"/>
                <w:szCs w:val="16"/>
              </w:rPr>
              <w:br/>
              <w:t>в том числе: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14 624,0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688,00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45 312,00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федеральный бюджет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областной бюджет</w:t>
            </w:r>
            <w:r w:rsidR="008534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14 624,0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688,00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10 000,00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BC9" w:rsidRPr="006F47C5" w:rsidRDefault="00F60BC9" w:rsidP="0077718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45 312,00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местные бюджеты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0BC9" w:rsidRPr="006F47C5" w:rsidTr="0077718E">
        <w:trPr>
          <w:tblCellSpacing w:w="5" w:type="nil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 xml:space="preserve">внебюджетные источники </w:t>
            </w:r>
            <w:hyperlink w:anchor="Par578" w:history="1">
              <w:r w:rsidR="006F47C5" w:rsidRPr="006F47C5">
                <w:rPr>
                  <w:rFonts w:ascii="Courier New" w:hAnsi="Courier New" w:cs="Courier New"/>
                  <w:sz w:val="16"/>
                  <w:szCs w:val="16"/>
                </w:rPr>
                <w:t xml:space="preserve"> *</w:t>
              </w:r>
            </w:hyperlink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F47C5">
              <w:rPr>
                <w:rFonts w:ascii="Courier New" w:hAnsi="Courier New" w:cs="Courier New"/>
                <w:sz w:val="16"/>
                <w:szCs w:val="16"/>
              </w:rPr>
              <w:t>тыс. руб.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85342C" w:rsidP="0077718E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60BC9" w:rsidRPr="006F47C5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BC9" w:rsidRPr="006F47C5" w:rsidRDefault="00F60BC9" w:rsidP="007771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60BC9" w:rsidRPr="006F47C5" w:rsidRDefault="00F60BC9" w:rsidP="00F60B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--------------------------------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577"/>
      <w:bookmarkEnd w:id="0"/>
      <w:r w:rsidRPr="006F47C5">
        <w:rPr>
          <w:rFonts w:ascii="Times New Roman" w:hAnsi="Times New Roman"/>
          <w:sz w:val="24"/>
          <w:szCs w:val="24"/>
        </w:rPr>
        <w:t xml:space="preserve">&lt;1&gt; Бюджетная эффективность рассчитывается в соответствии с </w:t>
      </w:r>
      <w:hyperlink r:id="rId6" w:history="1">
        <w:r w:rsidRPr="006F47C5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6F47C5">
        <w:rPr>
          <w:rFonts w:ascii="Times New Roman" w:hAnsi="Times New Roman"/>
          <w:sz w:val="24"/>
          <w:szCs w:val="24"/>
        </w:rPr>
        <w:t xml:space="preserve"> Правительства Новосибирской области от 29.09.2011 N 418-п "О перспективных направлениях инвестиционной деятельности и нормативных значениях показателей бюджетной эффективности".</w:t>
      </w:r>
    </w:p>
    <w:p w:rsidR="00F60BC9" w:rsidRPr="006F47C5" w:rsidRDefault="006F47C5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578"/>
      <w:bookmarkEnd w:id="1"/>
      <w:r w:rsidRPr="006F47C5">
        <w:rPr>
          <w:rFonts w:ascii="Times New Roman" w:hAnsi="Times New Roman"/>
          <w:sz w:val="24"/>
          <w:szCs w:val="24"/>
        </w:rPr>
        <w:t xml:space="preserve"> *</w:t>
      </w:r>
      <w:r w:rsidR="00F60BC9" w:rsidRPr="006F47C5">
        <w:rPr>
          <w:rFonts w:ascii="Times New Roman" w:hAnsi="Times New Roman"/>
          <w:sz w:val="24"/>
          <w:szCs w:val="24"/>
        </w:rPr>
        <w:t xml:space="preserve"> Указываются прогнозные объемы.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579"/>
      <w:bookmarkEnd w:id="2"/>
      <w:r w:rsidRPr="006F47C5">
        <w:rPr>
          <w:rFonts w:ascii="Times New Roman" w:hAnsi="Times New Roman"/>
          <w:sz w:val="24"/>
          <w:szCs w:val="24"/>
        </w:rPr>
        <w:t>&lt;**&gt; Объем и содержание информационных материалов, научно-практических конференций, семинаров, форумов, круглых столов и пр. будет определяться по результатам составления технического задания.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Применяемые сокращения: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АИР - открытое акционерное общество "Агентство инвестиционного развития Новосибирской области";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АРМ - государственное бюджетное учреждение Новосибирской области "Агентство регионального маркетинга";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МЭР НСО - министерство экономического развития Новосибирский области;</w:t>
      </w:r>
    </w:p>
    <w:p w:rsidR="00F60BC9" w:rsidRPr="006F47C5" w:rsidRDefault="00F60BC9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областной бюджет - областной бюджет Новосибирской области.</w:t>
      </w:r>
    </w:p>
    <w:p w:rsidR="007D4F5B" w:rsidRPr="006F47C5" w:rsidRDefault="007D4F5B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D4F5B" w:rsidRPr="006F47C5" w:rsidRDefault="007D4F5B" w:rsidP="00F60B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D4F5B" w:rsidRPr="006F47C5" w:rsidRDefault="007D4F5B" w:rsidP="007D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6F47C5">
        <w:rPr>
          <w:rFonts w:ascii="Times New Roman" w:hAnsi="Times New Roman"/>
          <w:sz w:val="24"/>
          <w:szCs w:val="24"/>
        </w:rPr>
        <w:t>_________</w:t>
      </w:r>
    </w:p>
    <w:sectPr w:rsidR="007D4F5B" w:rsidRPr="006F47C5" w:rsidSect="00F60BC9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C42CC6"/>
    <w:lvl w:ilvl="0">
      <w:numFmt w:val="bullet"/>
      <w:lvlText w:val="*"/>
      <w:lvlJc w:val="left"/>
    </w:lvl>
  </w:abstractNum>
  <w:abstractNum w:abstractNumId="1">
    <w:nsid w:val="08374647"/>
    <w:multiLevelType w:val="hybridMultilevel"/>
    <w:tmpl w:val="CDEC7E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D9533BD"/>
    <w:multiLevelType w:val="hybridMultilevel"/>
    <w:tmpl w:val="D252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61CC4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1339E4"/>
    <w:multiLevelType w:val="hybridMultilevel"/>
    <w:tmpl w:val="534AB9A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BF6DB9"/>
    <w:multiLevelType w:val="hybridMultilevel"/>
    <w:tmpl w:val="740C8908"/>
    <w:lvl w:ilvl="0" w:tplc="EACA0E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99B1617"/>
    <w:multiLevelType w:val="multilevel"/>
    <w:tmpl w:val="43B4DE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BFB27E3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71581C"/>
    <w:multiLevelType w:val="multilevel"/>
    <w:tmpl w:val="06DA28F4"/>
    <w:lvl w:ilvl="0">
      <w:start w:val="1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2B10481D"/>
    <w:multiLevelType w:val="hybridMultilevel"/>
    <w:tmpl w:val="455A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AE44DE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9277FE"/>
    <w:multiLevelType w:val="hybridMultilevel"/>
    <w:tmpl w:val="4830C9A2"/>
    <w:lvl w:ilvl="0" w:tplc="31AAAB7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3DBD4224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950D1C"/>
    <w:multiLevelType w:val="hybridMultilevel"/>
    <w:tmpl w:val="84D4416A"/>
    <w:lvl w:ilvl="0" w:tplc="0278FEC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BA088D"/>
    <w:multiLevelType w:val="multilevel"/>
    <w:tmpl w:val="703890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>
    <w:nsid w:val="510E52CD"/>
    <w:multiLevelType w:val="hybridMultilevel"/>
    <w:tmpl w:val="E820B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3F646A5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44515C"/>
    <w:multiLevelType w:val="hybridMultilevel"/>
    <w:tmpl w:val="459012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196C6A4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A7336C4"/>
    <w:multiLevelType w:val="hybridMultilevel"/>
    <w:tmpl w:val="81E4AA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F1773F"/>
    <w:multiLevelType w:val="hybridMultilevel"/>
    <w:tmpl w:val="CA469EDA"/>
    <w:lvl w:ilvl="0" w:tplc="AFF4964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30506B1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9A52D44"/>
    <w:multiLevelType w:val="multilevel"/>
    <w:tmpl w:val="9BB4D2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>
    <w:nsid w:val="6C636505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5409F4"/>
    <w:multiLevelType w:val="hybridMultilevel"/>
    <w:tmpl w:val="548CE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F3D430C"/>
    <w:multiLevelType w:val="multilevel"/>
    <w:tmpl w:val="E02A36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73710DB9"/>
    <w:multiLevelType w:val="multilevel"/>
    <w:tmpl w:val="65FCE98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76DD582C"/>
    <w:multiLevelType w:val="multilevel"/>
    <w:tmpl w:val="64908350"/>
    <w:lvl w:ilvl="0">
      <w:start w:val="1"/>
      <w:numFmt w:val="decimal"/>
      <w:lvlText w:val="%1."/>
      <w:lvlJc w:val="left"/>
      <w:pPr>
        <w:ind w:left="1002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48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440"/>
      </w:pPr>
      <w:rPr>
        <w:rFonts w:cs="Times New Roman" w:hint="default"/>
      </w:rPr>
    </w:lvl>
  </w:abstractNum>
  <w:abstractNum w:abstractNumId="27">
    <w:nsid w:val="79A0486D"/>
    <w:multiLevelType w:val="hybridMultilevel"/>
    <w:tmpl w:val="4830C9A2"/>
    <w:lvl w:ilvl="0" w:tplc="31AAAB7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7D697E48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DAF7F0C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E235B2E"/>
    <w:multiLevelType w:val="hybridMultilevel"/>
    <w:tmpl w:val="7778D5AA"/>
    <w:lvl w:ilvl="0" w:tplc="FA6A5E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7E7069D4"/>
    <w:multiLevelType w:val="hybridMultilevel"/>
    <w:tmpl w:val="9166771A"/>
    <w:lvl w:ilvl="0" w:tplc="08D646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F1759BC"/>
    <w:multiLevelType w:val="hybridMultilevel"/>
    <w:tmpl w:val="FC9A407C"/>
    <w:lvl w:ilvl="0" w:tplc="994C96F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3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3"/>
  </w:num>
  <w:num w:numId="6">
    <w:abstractNumId w:val="30"/>
  </w:num>
  <w:num w:numId="7">
    <w:abstractNumId w:val="11"/>
  </w:num>
  <w:num w:numId="8">
    <w:abstractNumId w:val="27"/>
  </w:num>
  <w:num w:numId="9">
    <w:abstractNumId w:val="4"/>
  </w:num>
  <w:num w:numId="10">
    <w:abstractNumId w:val="1"/>
  </w:num>
  <w:num w:numId="11">
    <w:abstractNumId w:val="17"/>
  </w:num>
  <w:num w:numId="12">
    <w:abstractNumId w:val="14"/>
  </w:num>
  <w:num w:numId="13">
    <w:abstractNumId w:val="24"/>
  </w:num>
  <w:num w:numId="14">
    <w:abstractNumId w:val="2"/>
  </w:num>
  <w:num w:numId="15">
    <w:abstractNumId w:val="15"/>
  </w:num>
  <w:num w:numId="16">
    <w:abstractNumId w:val="21"/>
  </w:num>
  <w:num w:numId="17">
    <w:abstractNumId w:val="31"/>
  </w:num>
  <w:num w:numId="18">
    <w:abstractNumId w:val="16"/>
  </w:num>
  <w:num w:numId="19">
    <w:abstractNumId w:val="26"/>
  </w:num>
  <w:num w:numId="20">
    <w:abstractNumId w:val="19"/>
  </w:num>
  <w:num w:numId="21">
    <w:abstractNumId w:val="22"/>
  </w:num>
  <w:num w:numId="22">
    <w:abstractNumId w:val="7"/>
  </w:num>
  <w:num w:numId="23">
    <w:abstractNumId w:val="32"/>
  </w:num>
  <w:num w:numId="24">
    <w:abstractNumId w:val="28"/>
  </w:num>
  <w:num w:numId="25">
    <w:abstractNumId w:val="12"/>
  </w:num>
  <w:num w:numId="26">
    <w:abstractNumId w:val="10"/>
  </w:num>
  <w:num w:numId="27">
    <w:abstractNumId w:val="3"/>
  </w:num>
  <w:num w:numId="28">
    <w:abstractNumId w:val="20"/>
  </w:num>
  <w:num w:numId="29">
    <w:abstractNumId w:val="25"/>
  </w:num>
  <w:num w:numId="30">
    <w:abstractNumId w:val="8"/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29"/>
  </w:num>
  <w:num w:numId="33">
    <w:abstractNumId w:val="9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0BC9"/>
    <w:rsid w:val="000E008C"/>
    <w:rsid w:val="006F47C5"/>
    <w:rsid w:val="007D4F5B"/>
    <w:rsid w:val="0085342C"/>
    <w:rsid w:val="00B96D9B"/>
    <w:rsid w:val="00F6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0B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uiPriority w:val="99"/>
    <w:rsid w:val="00F60BC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60BC9"/>
    <w:pPr>
      <w:ind w:left="720"/>
      <w:contextualSpacing/>
    </w:pPr>
  </w:style>
  <w:style w:type="paragraph" w:customStyle="1" w:styleId="ConsPlusTitle">
    <w:name w:val="ConsPlusTitle"/>
    <w:uiPriority w:val="99"/>
    <w:rsid w:val="00F60B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b/>
      <w:bCs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F60B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99"/>
    <w:rsid w:val="00F60B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F60BC9"/>
    <w:pPr>
      <w:widowControl w:val="0"/>
      <w:autoSpaceDE w:val="0"/>
      <w:autoSpaceDN w:val="0"/>
      <w:adjustRightInd w:val="0"/>
      <w:spacing w:after="0" w:line="318" w:lineRule="exact"/>
      <w:jc w:val="center"/>
    </w:pPr>
    <w:rPr>
      <w:rFonts w:ascii="Times New Roman" w:eastAsia="Calibri" w:hAnsi="Times New Roman"/>
      <w:sz w:val="24"/>
      <w:szCs w:val="24"/>
    </w:rPr>
  </w:style>
  <w:style w:type="character" w:customStyle="1" w:styleId="FontStyle15">
    <w:name w:val="Font Style15"/>
    <w:uiPriority w:val="99"/>
    <w:rsid w:val="00F60BC9"/>
    <w:rPr>
      <w:rFonts w:ascii="Times New Roman" w:hAnsi="Times New Roman"/>
      <w:b/>
      <w:sz w:val="26"/>
    </w:rPr>
  </w:style>
  <w:style w:type="paragraph" w:customStyle="1" w:styleId="Style4">
    <w:name w:val="Style4"/>
    <w:basedOn w:val="a"/>
    <w:uiPriority w:val="99"/>
    <w:rsid w:val="00F60BC9"/>
    <w:pPr>
      <w:widowControl w:val="0"/>
      <w:autoSpaceDE w:val="0"/>
      <w:autoSpaceDN w:val="0"/>
      <w:adjustRightInd w:val="0"/>
      <w:spacing w:after="0" w:line="317" w:lineRule="exact"/>
      <w:ind w:firstLine="696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ntStyle19">
    <w:name w:val="Font Style19"/>
    <w:uiPriority w:val="99"/>
    <w:rsid w:val="00F60BC9"/>
    <w:rPr>
      <w:rFonts w:ascii="Times New Roman" w:hAnsi="Times New Roman"/>
      <w:sz w:val="26"/>
    </w:rPr>
  </w:style>
  <w:style w:type="paragraph" w:customStyle="1" w:styleId="ConsPlusNormal">
    <w:name w:val="ConsPlusNormal"/>
    <w:uiPriority w:val="99"/>
    <w:rsid w:val="00F60B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rsid w:val="00F60BC9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BC9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uiPriority w:val="99"/>
    <w:rsid w:val="00F60BC9"/>
    <w:pPr>
      <w:spacing w:after="0" w:line="240" w:lineRule="auto"/>
      <w:ind w:left="720"/>
      <w:contextualSpacing/>
    </w:pPr>
  </w:style>
  <w:style w:type="character" w:styleId="a8">
    <w:name w:val="line number"/>
    <w:uiPriority w:val="99"/>
    <w:semiHidden/>
    <w:rsid w:val="00F60BC9"/>
    <w:rPr>
      <w:rFonts w:cs="Times New Roman"/>
    </w:rPr>
  </w:style>
  <w:style w:type="paragraph" w:customStyle="1" w:styleId="a9">
    <w:name w:val="Базовый"/>
    <w:uiPriority w:val="99"/>
    <w:rsid w:val="00F60BC9"/>
    <w:pPr>
      <w:tabs>
        <w:tab w:val="left" w:pos="709"/>
      </w:tabs>
      <w:suppressAutoHyphens/>
      <w:spacing w:after="0" w:line="240" w:lineRule="auto"/>
    </w:pPr>
    <w:rPr>
      <w:rFonts w:ascii="Calibri" w:eastAsia="Calibri" w:hAnsi="Calibri" w:cs="Times New Roman"/>
      <w:color w:val="00000A"/>
      <w:lang w:eastAsia="ru-RU"/>
    </w:rPr>
  </w:style>
  <w:style w:type="character" w:styleId="aa">
    <w:name w:val="annotation reference"/>
    <w:uiPriority w:val="99"/>
    <w:semiHidden/>
    <w:rsid w:val="00F60BC9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F60BC9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0BC9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F60B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BC9"/>
    <w:rPr>
      <w:b/>
      <w:bCs/>
    </w:rPr>
  </w:style>
  <w:style w:type="paragraph" w:styleId="af">
    <w:name w:val="Normal (Web)"/>
    <w:basedOn w:val="a"/>
    <w:uiPriority w:val="99"/>
    <w:rsid w:val="00F60B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uiPriority w:val="99"/>
    <w:rsid w:val="00F60B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60BC9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F60BC9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60BC9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F60BC9"/>
    <w:rPr>
      <w:rFonts w:ascii="Calibri" w:eastAsia="Calibri" w:hAnsi="Calibri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F60B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uiPriority w:val="99"/>
    <w:semiHidden/>
    <w:rsid w:val="00F60BC9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64">
    <w:name w:val="xl64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65">
    <w:name w:val="xl65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66">
    <w:name w:val="xl66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67">
    <w:name w:val="xl67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8"/>
      <w:szCs w:val="18"/>
    </w:rPr>
  </w:style>
  <w:style w:type="paragraph" w:customStyle="1" w:styleId="xl70">
    <w:name w:val="xl70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18"/>
      <w:szCs w:val="18"/>
    </w:rPr>
  </w:style>
  <w:style w:type="paragraph" w:customStyle="1" w:styleId="xl71">
    <w:name w:val="xl71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72">
    <w:name w:val="xl72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F60BC9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8"/>
      <w:szCs w:val="18"/>
    </w:rPr>
  </w:style>
  <w:style w:type="paragraph" w:customStyle="1" w:styleId="xl76">
    <w:name w:val="xl76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8"/>
      <w:szCs w:val="18"/>
    </w:rPr>
  </w:style>
  <w:style w:type="paragraph" w:customStyle="1" w:styleId="xl74">
    <w:name w:val="xl74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F60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3DA6E0EAD5A09C0AD399BF270103AFE77855779D014019D2FA8655CAC75ED8N4N2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1FC9-3386-4EE1-80D3-533BAAEB4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1317</Words>
  <Characters>7508</Characters>
  <Application>Microsoft Office Word</Application>
  <DocSecurity>0</DocSecurity>
  <Lines>62</Lines>
  <Paragraphs>17</Paragraphs>
  <ScaleCrop>false</ScaleCrop>
  <Company>mineconom</Company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yuam</dc:creator>
  <cp:keywords/>
  <dc:description/>
  <cp:lastModifiedBy>yuam</cp:lastModifiedBy>
  <cp:revision>6</cp:revision>
  <dcterms:created xsi:type="dcterms:W3CDTF">2013-11-06T03:18:00Z</dcterms:created>
  <dcterms:modified xsi:type="dcterms:W3CDTF">2013-11-06T03:28:00Z</dcterms:modified>
</cp:coreProperties>
</file>